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D1" w:rsidRDefault="00EC331F">
      <w:pPr>
        <w:widowControl/>
        <w:spacing w:after="300"/>
        <w:jc w:val="center"/>
        <w:rPr>
          <w:rFonts w:ascii="宋体" w:eastAsia="宋体" w:hAnsi="宋体" w:cs="宋体"/>
          <w:color w:val="333333"/>
          <w:kern w:val="0"/>
          <w:sz w:val="45"/>
          <w:szCs w:val="45"/>
        </w:rPr>
      </w:pPr>
      <w:r>
        <w:rPr>
          <w:rFonts w:ascii="宋体" w:eastAsia="宋体" w:hAnsi="宋体" w:cs="宋体"/>
          <w:color w:val="333333"/>
          <w:kern w:val="0"/>
          <w:sz w:val="45"/>
          <w:szCs w:val="45"/>
        </w:rPr>
        <w:t>渝</w:t>
      </w:r>
      <w:r>
        <w:rPr>
          <w:rFonts w:ascii="宋体" w:eastAsia="宋体" w:hAnsi="宋体" w:cs="宋体" w:hint="eastAsia"/>
          <w:color w:val="333333"/>
          <w:kern w:val="0"/>
          <w:sz w:val="45"/>
          <w:szCs w:val="45"/>
        </w:rPr>
        <w:t>璧</w:t>
      </w:r>
      <w:r>
        <w:rPr>
          <w:rFonts w:ascii="宋体" w:eastAsia="宋体" w:hAnsi="宋体" w:cs="宋体"/>
          <w:color w:val="333333"/>
          <w:kern w:val="0"/>
          <w:sz w:val="45"/>
          <w:szCs w:val="45"/>
        </w:rPr>
        <w:t>城违建罚决字〔</w:t>
      </w:r>
      <w:r>
        <w:rPr>
          <w:rFonts w:ascii="宋体" w:eastAsia="宋体" w:hAnsi="宋体" w:cs="宋体"/>
          <w:color w:val="333333"/>
          <w:kern w:val="0"/>
          <w:sz w:val="45"/>
          <w:szCs w:val="45"/>
        </w:rPr>
        <w:t>202</w:t>
      </w:r>
      <w:r>
        <w:rPr>
          <w:rFonts w:ascii="宋体" w:eastAsia="宋体" w:hAnsi="宋体" w:cs="宋体" w:hint="eastAsia"/>
          <w:color w:val="333333"/>
          <w:kern w:val="0"/>
          <w:sz w:val="45"/>
          <w:szCs w:val="45"/>
        </w:rPr>
        <w:t>3</w:t>
      </w:r>
      <w:r>
        <w:rPr>
          <w:rFonts w:ascii="宋体" w:eastAsia="宋体" w:hAnsi="宋体" w:cs="宋体"/>
          <w:color w:val="333333"/>
          <w:kern w:val="0"/>
          <w:sz w:val="45"/>
          <w:szCs w:val="45"/>
        </w:rPr>
        <w:t>〕</w:t>
      </w:r>
      <w:r>
        <w:rPr>
          <w:rFonts w:ascii="宋体" w:eastAsia="宋体" w:hAnsi="宋体" w:cs="宋体" w:hint="eastAsia"/>
          <w:color w:val="333333"/>
          <w:kern w:val="0"/>
          <w:sz w:val="45"/>
          <w:szCs w:val="45"/>
        </w:rPr>
        <w:t>8104</w:t>
      </w:r>
      <w:bookmarkStart w:id="0" w:name="_GoBack"/>
      <w:bookmarkEnd w:id="0"/>
      <w:r>
        <w:rPr>
          <w:rFonts w:ascii="宋体" w:eastAsia="宋体" w:hAnsi="宋体" w:cs="宋体"/>
          <w:color w:val="333333"/>
          <w:kern w:val="0"/>
          <w:sz w:val="45"/>
          <w:szCs w:val="45"/>
        </w:rPr>
        <w:t>号</w:t>
      </w:r>
    </w:p>
    <w:tbl>
      <w:tblPr>
        <w:tblW w:w="886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426"/>
        <w:gridCol w:w="1666"/>
        <w:gridCol w:w="5768"/>
      </w:tblGrid>
      <w:tr w:rsidR="005C2FD1">
        <w:trPr>
          <w:trHeight w:val="360"/>
          <w:jc w:val="center"/>
        </w:trPr>
        <w:tc>
          <w:tcPr>
            <w:tcW w:w="3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 w:rsidR="005C2FD1">
        <w:trPr>
          <w:trHeight w:val="435"/>
          <w:jc w:val="center"/>
        </w:trPr>
        <w:tc>
          <w:tcPr>
            <w:tcW w:w="3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行政相对人名称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重庆普罗旺斯房地产开发有限责任公司</w:t>
            </w:r>
          </w:p>
        </w:tc>
      </w:tr>
      <w:tr w:rsidR="005C2FD1">
        <w:trPr>
          <w:trHeight w:val="360"/>
          <w:jc w:val="center"/>
        </w:trPr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行政相对人代码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915002273556651913</w:t>
            </w:r>
          </w:p>
        </w:tc>
      </w:tr>
      <w:tr w:rsidR="005C2FD1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5C2FD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工商注册号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5C2FD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C2FD1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5C2FD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5C2FD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C2FD1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5C2FD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税务登记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5C2FD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C2FD1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5C2FD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事业单位证书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5C2FD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C2FD1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5C2FD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社会组织登记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5C2FD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C2FD1">
        <w:trPr>
          <w:trHeight w:val="360"/>
          <w:jc w:val="center"/>
        </w:trPr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法人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张鹏</w:t>
            </w:r>
          </w:p>
        </w:tc>
      </w:tr>
      <w:tr w:rsidR="005C2FD1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5C2FD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法定代表人身份证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5C2FD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C2FD1">
        <w:trPr>
          <w:trHeight w:val="360"/>
          <w:jc w:val="center"/>
        </w:trPr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5C2FD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C2FD1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5C2FD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5C2FD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C2FD1">
        <w:trPr>
          <w:trHeight w:val="360"/>
          <w:jc w:val="center"/>
        </w:trPr>
        <w:tc>
          <w:tcPr>
            <w:tcW w:w="3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行政处罚决定书文号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渝璧城违建罚决字〔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2023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〕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8104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号</w:t>
            </w:r>
          </w:p>
        </w:tc>
      </w:tr>
      <w:tr w:rsidR="005C2FD1">
        <w:trPr>
          <w:trHeight w:val="360"/>
          <w:jc w:val="center"/>
        </w:trPr>
        <w:tc>
          <w:tcPr>
            <w:tcW w:w="3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违法行为类型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未取得规划许可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手续</w:t>
            </w:r>
          </w:p>
        </w:tc>
      </w:tr>
      <w:tr w:rsidR="005C2FD1">
        <w:trPr>
          <w:trHeight w:val="1170"/>
          <w:jc w:val="center"/>
        </w:trPr>
        <w:tc>
          <w:tcPr>
            <w:tcW w:w="3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违法事实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重庆普罗旺斯房地产开发有限责任公司在璧山区璧泉街道双星大道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号茅莱山居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栋后绿地修建现浇房屋未取得规划许可手续修建面积为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105.48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平方米的建筑物，属于《重庆市城乡规划条例》第九十六条第一款第五项规定的违法建筑。</w:t>
            </w:r>
          </w:p>
        </w:tc>
      </w:tr>
      <w:tr w:rsidR="005C2FD1">
        <w:trPr>
          <w:trHeight w:val="360"/>
          <w:jc w:val="center"/>
        </w:trPr>
        <w:tc>
          <w:tcPr>
            <w:tcW w:w="3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处罚依据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根据《重庆市城乡规划条例》第八十八条第四款</w:t>
            </w:r>
          </w:p>
        </w:tc>
      </w:tr>
      <w:tr w:rsidR="005C2FD1">
        <w:trPr>
          <w:trHeight w:val="360"/>
          <w:jc w:val="center"/>
        </w:trPr>
        <w:tc>
          <w:tcPr>
            <w:tcW w:w="3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处罚类别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wordWrap w:val="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罚款</w:t>
            </w:r>
          </w:p>
        </w:tc>
      </w:tr>
      <w:tr w:rsidR="005C2FD1">
        <w:trPr>
          <w:trHeight w:val="615"/>
          <w:jc w:val="center"/>
        </w:trPr>
        <w:tc>
          <w:tcPr>
            <w:tcW w:w="3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处罚内容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重庆普罗旺斯房地产开发有限责任公司在璧山区璧泉街道双星大道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111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号茅莱山居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29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栋后绿地修建现浇房屋未取得规划许可手续修建面积为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105.48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平方米的建筑物，属于《重庆市城乡规划条例》第九十六条第一款第五项规定的违法建筑。按照《重庆市城乡规划条例》第八十八条第四款的规定，对未取得规划许可手续修建面积为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105.48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平方米的建筑物予以没收违法收入。即没收金额为：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4110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元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平方米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*105.48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平方米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=433522.8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元。</w:t>
            </w:r>
          </w:p>
        </w:tc>
      </w:tr>
      <w:tr w:rsidR="005C2FD1">
        <w:trPr>
          <w:trHeight w:val="360"/>
          <w:jc w:val="center"/>
        </w:trPr>
        <w:tc>
          <w:tcPr>
            <w:tcW w:w="3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罚款金额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43.35228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万元</w:t>
            </w:r>
          </w:p>
        </w:tc>
      </w:tr>
      <w:tr w:rsidR="005C2FD1">
        <w:trPr>
          <w:trHeight w:val="360"/>
          <w:jc w:val="center"/>
        </w:trPr>
        <w:tc>
          <w:tcPr>
            <w:tcW w:w="3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没收违法所得、没收非法财物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的金额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5C2FD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C2FD1">
        <w:trPr>
          <w:trHeight w:val="360"/>
          <w:jc w:val="center"/>
        </w:trPr>
        <w:tc>
          <w:tcPr>
            <w:tcW w:w="3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lastRenderedPageBreak/>
              <w:t>暂扣或吊销证照名称及编号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5C2FD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C2FD1">
        <w:trPr>
          <w:trHeight w:val="360"/>
          <w:jc w:val="center"/>
        </w:trPr>
        <w:tc>
          <w:tcPr>
            <w:tcW w:w="3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处罚决定日期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2023-7-4</w:t>
            </w:r>
          </w:p>
        </w:tc>
      </w:tr>
      <w:tr w:rsidR="005C2FD1">
        <w:trPr>
          <w:trHeight w:val="360"/>
          <w:jc w:val="center"/>
        </w:trPr>
        <w:tc>
          <w:tcPr>
            <w:tcW w:w="3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处罚有效期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2023-7-19</w:t>
            </w:r>
          </w:p>
        </w:tc>
      </w:tr>
      <w:tr w:rsidR="005C2FD1">
        <w:trPr>
          <w:trHeight w:val="360"/>
          <w:jc w:val="center"/>
        </w:trPr>
        <w:tc>
          <w:tcPr>
            <w:tcW w:w="3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公示截止期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2024-7-19</w:t>
            </w:r>
          </w:p>
        </w:tc>
      </w:tr>
      <w:tr w:rsidR="005C2FD1">
        <w:trPr>
          <w:trHeight w:val="360"/>
          <w:jc w:val="center"/>
        </w:trPr>
        <w:tc>
          <w:tcPr>
            <w:tcW w:w="3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处罚机关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重庆市城市管理局</w:t>
            </w:r>
          </w:p>
        </w:tc>
      </w:tr>
      <w:tr w:rsidR="005C2FD1">
        <w:trPr>
          <w:trHeight w:val="360"/>
          <w:jc w:val="center"/>
        </w:trPr>
        <w:tc>
          <w:tcPr>
            <w:tcW w:w="3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处罚机关统一社会信用代码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color w:val="333333"/>
                <w:kern w:val="0"/>
                <w:sz w:val="24"/>
                <w:szCs w:val="24"/>
              </w:rPr>
              <w:t> </w:t>
            </w:r>
            <w:r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szCs w:val="24"/>
              </w:rPr>
              <w:t>115002277094554590</w:t>
            </w:r>
          </w:p>
        </w:tc>
      </w:tr>
      <w:tr w:rsidR="005C2FD1">
        <w:trPr>
          <w:trHeight w:val="360"/>
          <w:jc w:val="center"/>
        </w:trPr>
        <w:tc>
          <w:tcPr>
            <w:tcW w:w="3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数据来源单位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5C2FD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C2FD1">
        <w:trPr>
          <w:trHeight w:val="360"/>
          <w:jc w:val="center"/>
        </w:trPr>
        <w:tc>
          <w:tcPr>
            <w:tcW w:w="3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数据来源单位统一社会信用代码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5C2FD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C2FD1">
        <w:trPr>
          <w:trHeight w:val="360"/>
          <w:jc w:val="center"/>
        </w:trPr>
        <w:tc>
          <w:tcPr>
            <w:tcW w:w="30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EC331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FD1" w:rsidRDefault="005C2FD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5C2FD1" w:rsidRDefault="005C2FD1"/>
    <w:sectPr w:rsidR="005C2FD1" w:rsidSect="005C2FD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DNmODkzZWQ3MjQ3ZmY4NWMwMDUwYzZkNmNhMjE2ODIifQ=="/>
  </w:docVars>
  <w:rsids>
    <w:rsidRoot w:val="006044B3"/>
    <w:rsid w:val="005C2FD1"/>
    <w:rsid w:val="006044B3"/>
    <w:rsid w:val="00A77D8C"/>
    <w:rsid w:val="00EC331F"/>
    <w:rsid w:val="00FB6B8D"/>
    <w:rsid w:val="01791910"/>
    <w:rsid w:val="01B13E1B"/>
    <w:rsid w:val="03404493"/>
    <w:rsid w:val="03E33071"/>
    <w:rsid w:val="04885E6D"/>
    <w:rsid w:val="05E732EC"/>
    <w:rsid w:val="079C288F"/>
    <w:rsid w:val="13881F85"/>
    <w:rsid w:val="185A794E"/>
    <w:rsid w:val="1EA85E42"/>
    <w:rsid w:val="220D5A31"/>
    <w:rsid w:val="28267B7B"/>
    <w:rsid w:val="2A783C63"/>
    <w:rsid w:val="33D97E69"/>
    <w:rsid w:val="35A0505F"/>
    <w:rsid w:val="35C7296D"/>
    <w:rsid w:val="36801E51"/>
    <w:rsid w:val="47A26911"/>
    <w:rsid w:val="4E9B5FEF"/>
    <w:rsid w:val="5302663C"/>
    <w:rsid w:val="5AF727FF"/>
    <w:rsid w:val="5FB137C1"/>
    <w:rsid w:val="68435CC2"/>
    <w:rsid w:val="6B686878"/>
    <w:rsid w:val="721B4BCD"/>
    <w:rsid w:val="7B336517"/>
    <w:rsid w:val="7BD1454E"/>
    <w:rsid w:val="7D3C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2F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2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5C2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5C2FD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2FD1"/>
    <w:rPr>
      <w:sz w:val="18"/>
      <w:szCs w:val="18"/>
    </w:rPr>
  </w:style>
  <w:style w:type="paragraph" w:customStyle="1" w:styleId="tit">
    <w:name w:val="tit"/>
    <w:basedOn w:val="a"/>
    <w:rsid w:val="005C2F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1">
    <w:name w:val="tit1"/>
    <w:basedOn w:val="a0"/>
    <w:rsid w:val="005C2FD1"/>
  </w:style>
  <w:style w:type="character" w:customStyle="1" w:styleId="con">
    <w:name w:val="con"/>
    <w:basedOn w:val="a0"/>
    <w:rsid w:val="005C2FD1"/>
  </w:style>
  <w:style w:type="character" w:customStyle="1" w:styleId="Char">
    <w:name w:val="批注框文本 Char"/>
    <w:basedOn w:val="a0"/>
    <w:link w:val="a3"/>
    <w:uiPriority w:val="99"/>
    <w:semiHidden/>
    <w:rsid w:val="005C2F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2023-01-09T08:44:00Z</dcterms:created>
  <dcterms:modified xsi:type="dcterms:W3CDTF">2023-07-14T01:52:00Z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92ECC70921C4402191884BCF15315ADE_12</vt:lpwstr>
  </property>
</Properties>
</file>