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2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984"/>
        <w:gridCol w:w="4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2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spacing w:after="0" w:line="220" w:lineRule="atLeast"/>
              <w:ind w:firstLine="880" w:firstLineChars="2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sz w:val="44"/>
                <w:szCs w:val="44"/>
              </w:rPr>
              <w:t>渝（璧）城罚决字〔</w:t>
            </w:r>
            <w:r>
              <w:rPr>
                <w:rFonts w:hint="eastAsia" w:ascii="方正小标宋_GBK" w:eastAsia="方正小标宋_GBK"/>
                <w:sz w:val="44"/>
                <w:szCs w:val="44"/>
                <w:lang w:eastAsia="zh-CN"/>
              </w:rPr>
              <w:t>2025</w:t>
            </w:r>
            <w:r>
              <w:rPr>
                <w:rFonts w:hint="eastAsia" w:ascii="方正小标宋_GBK" w:eastAsia="方正小标宋_GBK"/>
                <w:sz w:val="44"/>
                <w:szCs w:val="44"/>
              </w:rPr>
              <w:t>〕</w:t>
            </w:r>
            <w:r>
              <w:rPr>
                <w:rFonts w:hint="eastAsia" w:ascii="方正小标宋_GBK" w:eastAsia="方正小标宋_GBK"/>
                <w:sz w:val="44"/>
                <w:szCs w:val="44"/>
                <w:lang w:eastAsia="zh-CN"/>
              </w:rPr>
              <w:t>6008</w:t>
            </w:r>
            <w:r>
              <w:rPr>
                <w:rFonts w:hint="eastAsia" w:ascii="方正小标宋_GBK" w:eastAsia="方正小标宋_GBK"/>
                <w:sz w:val="44"/>
                <w:szCs w:val="4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序号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渝(璧)城罚决字〔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〕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6008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行政相对人名称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重庆凯奥物流有限公司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</w:tcPr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行政相对人代码</w:t>
            </w:r>
          </w:p>
        </w:tc>
        <w:tc>
          <w:tcPr>
            <w:tcW w:w="1984" w:type="dxa"/>
          </w:tcPr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统一社会信用代码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91500115MA5U74BX2F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工商注册号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组织机构代码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税务登记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事业单位证书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社会组织登记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</w:tcPr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法人</w:t>
            </w:r>
          </w:p>
        </w:tc>
        <w:tc>
          <w:tcPr>
            <w:tcW w:w="1984" w:type="dxa"/>
          </w:tcPr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法定代表人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邓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*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法定代表人身份证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</w:tcPr>
          <w:p>
            <w:pPr>
              <w:spacing w:after="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自然人</w:t>
            </w:r>
          </w:p>
        </w:tc>
        <w:tc>
          <w:tcPr>
            <w:tcW w:w="1984" w:type="dxa"/>
          </w:tcPr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证件类型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证件号码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行政处罚决定书文号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渝(璧)城罚决字〔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〕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6008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违法行为类型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违反了《城市建筑垃圾管理规定》第七条第一款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违法事实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重庆凯奥物流有限公司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在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重庆市璧山区中昊港创璧山智造创新产业园一期处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因未经核准擅自处置建筑垃圾，其行为涉嫌违反了《城市建筑垃圾管理规定》第七条第一款的规定，根据《城市建筑垃圾管理规定》第二十五条第一项的规定，给予警告，罚款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处罚依据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《城市建筑垃圾管理规定》第二十五条第一项“违反本规定，有下列情形之一的，由城市人民政府市容环境卫生主管部门责令限期改正，给予警告，对施工单位处1万元以上 10万元以下罚款，对建设单位、运输建筑垃圾的单位 处5000元以上3万元以下罚款：（一）未经核准擅自处置建筑垃圾的；”的规定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处罚类别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警告，罚款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处罚内容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重庆凯奥物流有限公司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于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 xml:space="preserve"> 2025年3月3日22时07分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，在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重庆市璧山区中昊港创璧山智造创新产业园一期处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因未经核准擅自处置建筑垃圾，依据《城市建筑垃圾管理规定》第二十五条第一项“违反本规定，有下列情形之一的，由城市人民政府市容环境卫生主管部门责令限期改正，给予警告，对施工单位处1万元以上 10万元以下罚款，对建设单位、运输建筑垃圾的单位处5000元以上3万元以下罚款：（一）未经核准擅自处置建筑垃圾的；”的规定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罚款金额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1.98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没收违法所得、没收非法财物的金额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暂扣或吊销证照名称及编号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处罚决定日期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年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月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处罚有效期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年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月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公示截止期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202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年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月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处罚机关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重庆市璧山区城市管理局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处罚机关统一社会信用代码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115002277094554590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数据来源单位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重庆市璧山区发展和改革委员会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数据来源单位统一社会信用代码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1150022700934474XW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652" w:type="dxa"/>
            <w:gridSpan w:val="2"/>
          </w:tcPr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备注</w:t>
            </w:r>
          </w:p>
        </w:tc>
        <w:tc>
          <w:tcPr>
            <w:tcW w:w="4870" w:type="dxa"/>
          </w:tcPr>
          <w:p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spacing w:line="220" w:lineRule="atLeast"/>
        <w:rPr>
          <w:rFonts w:ascii="方正小标宋_GBK" w:eastAsia="方正小标宋_GBK"/>
          <w:sz w:val="44"/>
          <w:szCs w:val="44"/>
        </w:rPr>
      </w:pPr>
    </w:p>
    <w:sectPr>
      <w:pgSz w:w="11906" w:h="16838"/>
      <w:pgMar w:top="2098" w:right="1474" w:bottom="1985" w:left="158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1679D"/>
    <w:rsid w:val="0002049D"/>
    <w:rsid w:val="000E263B"/>
    <w:rsid w:val="000F2326"/>
    <w:rsid w:val="00147246"/>
    <w:rsid w:val="00166BB0"/>
    <w:rsid w:val="001D0DE4"/>
    <w:rsid w:val="002112E4"/>
    <w:rsid w:val="002210F5"/>
    <w:rsid w:val="002833C0"/>
    <w:rsid w:val="002A03AB"/>
    <w:rsid w:val="002D295B"/>
    <w:rsid w:val="002E4747"/>
    <w:rsid w:val="002F4C5F"/>
    <w:rsid w:val="002F703E"/>
    <w:rsid w:val="003134C6"/>
    <w:rsid w:val="00323B43"/>
    <w:rsid w:val="00323C94"/>
    <w:rsid w:val="00323CDE"/>
    <w:rsid w:val="003433A2"/>
    <w:rsid w:val="003879E6"/>
    <w:rsid w:val="00391416"/>
    <w:rsid w:val="003C2F1B"/>
    <w:rsid w:val="003D37D8"/>
    <w:rsid w:val="00402CFA"/>
    <w:rsid w:val="00407F3D"/>
    <w:rsid w:val="00426133"/>
    <w:rsid w:val="004358AB"/>
    <w:rsid w:val="00486286"/>
    <w:rsid w:val="004D2C44"/>
    <w:rsid w:val="004D3203"/>
    <w:rsid w:val="004E61E5"/>
    <w:rsid w:val="004F0700"/>
    <w:rsid w:val="005C3F9C"/>
    <w:rsid w:val="005F21A9"/>
    <w:rsid w:val="00624AF0"/>
    <w:rsid w:val="00641ED4"/>
    <w:rsid w:val="007279E7"/>
    <w:rsid w:val="0073368A"/>
    <w:rsid w:val="0073661B"/>
    <w:rsid w:val="00747E72"/>
    <w:rsid w:val="00766AC7"/>
    <w:rsid w:val="007762C4"/>
    <w:rsid w:val="00794907"/>
    <w:rsid w:val="0079758D"/>
    <w:rsid w:val="00797FC2"/>
    <w:rsid w:val="007A5341"/>
    <w:rsid w:val="007D67A9"/>
    <w:rsid w:val="007F4B25"/>
    <w:rsid w:val="008918FC"/>
    <w:rsid w:val="008B7726"/>
    <w:rsid w:val="009541E4"/>
    <w:rsid w:val="00995A45"/>
    <w:rsid w:val="009B4C25"/>
    <w:rsid w:val="009F687D"/>
    <w:rsid w:val="00A4688C"/>
    <w:rsid w:val="00A52B7C"/>
    <w:rsid w:val="00A76002"/>
    <w:rsid w:val="00AA2B70"/>
    <w:rsid w:val="00AC3451"/>
    <w:rsid w:val="00AD2250"/>
    <w:rsid w:val="00AD632C"/>
    <w:rsid w:val="00AE7019"/>
    <w:rsid w:val="00B20D8C"/>
    <w:rsid w:val="00B24795"/>
    <w:rsid w:val="00B4419B"/>
    <w:rsid w:val="00B925FE"/>
    <w:rsid w:val="00BA1978"/>
    <w:rsid w:val="00BF17BF"/>
    <w:rsid w:val="00CD2A67"/>
    <w:rsid w:val="00CD4110"/>
    <w:rsid w:val="00D2714F"/>
    <w:rsid w:val="00D31D50"/>
    <w:rsid w:val="00D570B0"/>
    <w:rsid w:val="00D9302B"/>
    <w:rsid w:val="00DD6969"/>
    <w:rsid w:val="00E03BE5"/>
    <w:rsid w:val="00E75734"/>
    <w:rsid w:val="00E810B3"/>
    <w:rsid w:val="00EB406C"/>
    <w:rsid w:val="00EE4517"/>
    <w:rsid w:val="00EF1190"/>
    <w:rsid w:val="00F54564"/>
    <w:rsid w:val="00F80E61"/>
    <w:rsid w:val="1FFA193E"/>
    <w:rsid w:val="3DDC98CB"/>
    <w:rsid w:val="7D7F566C"/>
    <w:rsid w:val="DBD7E276"/>
    <w:rsid w:val="E7DF3091"/>
    <w:rsid w:val="FD4D2665"/>
    <w:rsid w:val="FF065C3F"/>
    <w:rsid w:val="FFF3C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</Words>
  <Characters>809</Characters>
  <Lines>6</Lines>
  <Paragraphs>1</Paragraphs>
  <TotalTime>6</TotalTime>
  <ScaleCrop>false</ScaleCrop>
  <LinksUpToDate>false</LinksUpToDate>
  <CharactersWithSpaces>949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2023-03-11T19:10:00Z</dcterms:created>
  <dc:creator>Administrator</dc:creator>
  <cp:lastModifiedBy>thtf</cp:lastModifiedBy>
  <cp:lastPrinted>2025-03-24T17:25:00Z</cp:lastPrinted>
  <dcterms:modified xsi:type="dcterms:W3CDTF">2025-03-25T11:09:32Z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AC1E9134A63D4AC6BEC85565B9D06315</vt:lpwstr>
  </property>
</Properties>
</file>