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rPr>
      </w:pPr>
    </w:p>
    <w:p>
      <w:pPr>
        <w:snapToGrid w:val="0"/>
        <w:spacing w:line="600" w:lineRule="exact"/>
        <w:rPr>
          <w:rFonts w:ascii="Times New Roman" w:hAnsi="Times New Roman"/>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重庆市人力资源和社会保障局</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重庆市发展和改革委员会重庆市财政局</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重庆市农业农村委员会重庆市乡村振兴局</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关于切实加强就业帮扶巩固拓展脱贫攻坚成果助力乡村振兴的通知</w:t>
      </w:r>
    </w:p>
    <w:p>
      <w:pPr>
        <w:spacing w:line="600" w:lineRule="exact"/>
        <w:ind w:firstLine="632" w:firstLineChars="200"/>
        <w:rPr>
          <w:rFonts w:ascii="Times New Roman" w:hAnsi="Times New Roman" w:eastAsia="方正仿宋_GBK"/>
        </w:rPr>
      </w:pPr>
    </w:p>
    <w:p>
      <w:pPr>
        <w:spacing w:line="600" w:lineRule="exact"/>
        <w:rPr>
          <w:rFonts w:ascii="Times New Roman" w:hAnsi="Times New Roman" w:eastAsia="方正仿宋_GBK"/>
        </w:rPr>
      </w:pPr>
      <w:r>
        <w:rPr>
          <w:rFonts w:ascii="Times New Roman" w:hAnsi="Times New Roman" w:eastAsia="方正仿宋_GBK"/>
        </w:rPr>
        <w:t>各区县（自治县）人力社保局、发展改革委、财政局、农业农村委、乡村振兴局：</w:t>
      </w:r>
    </w:p>
    <w:p>
      <w:pPr>
        <w:spacing w:line="600" w:lineRule="exact"/>
        <w:ind w:firstLine="632" w:firstLineChars="200"/>
        <w:rPr>
          <w:rFonts w:ascii="Times New Roman" w:hAnsi="Times New Roman" w:eastAsia="方正仿宋_GBK"/>
        </w:rPr>
      </w:pPr>
      <w:r>
        <w:rPr>
          <w:rFonts w:ascii="Times New Roman" w:hAnsi="Times New Roman" w:eastAsia="方正仿宋_GBK"/>
        </w:rPr>
        <w:t>为贯彻党中央、国务院决策部署和市委、市政府工作要求，按照《人力资源社会保障部 国家发展改革委 财政部 农业农村部 国家乡村振兴局关于切实加强就业帮扶巩固拓展脱贫攻坚成果助力乡村振兴的指导意见》（人社部发〔2021〕26号），持续做好脱贫人口、农村低收入人口就业帮扶，保持脱贫人口就业规模总体稳定，巩固拓展脱贫攻坚成果，助力全面推进乡村振兴，现将有关事项通知如下。</w:t>
      </w:r>
    </w:p>
    <w:p>
      <w:pPr>
        <w:spacing w:line="600" w:lineRule="exact"/>
        <w:ind w:firstLine="632" w:firstLineChars="200"/>
        <w:rPr>
          <w:rFonts w:ascii="Times New Roman" w:hAnsi="Times New Roman" w:eastAsia="方正黑体_GBK"/>
        </w:rPr>
      </w:pPr>
      <w:r>
        <w:rPr>
          <w:rFonts w:ascii="Times New Roman" w:hAnsi="Times New Roman" w:eastAsia="方正黑体_GBK"/>
        </w:rPr>
        <w:t>一、稳定外出务工规模</w:t>
      </w:r>
    </w:p>
    <w:p>
      <w:pPr>
        <w:spacing w:line="600" w:lineRule="exact"/>
        <w:ind w:firstLine="632" w:firstLineChars="200"/>
        <w:rPr>
          <w:rFonts w:ascii="Times New Roman" w:hAnsi="Times New Roman" w:eastAsia="方正仿宋_GBK"/>
        </w:rPr>
      </w:pPr>
      <w:r>
        <w:rPr>
          <w:rFonts w:ascii="Times New Roman" w:hAnsi="Times New Roman" w:eastAsia="方正楷体_GBK"/>
        </w:rPr>
        <w:t>（一）推进劳务输出。</w:t>
      </w:r>
      <w:r>
        <w:rPr>
          <w:rFonts w:ascii="Times New Roman" w:hAnsi="Times New Roman" w:eastAsia="方正仿宋_GBK"/>
        </w:rPr>
        <w:t>健全有组织劳务输出工作机制，将脱贫人口作为优先保障对象，为有集中外出务工需求的提供专车、专列等便利出行服务。认定一批农村劳动力转移就业工作示范区县（自治县），发挥示范带动作用。继续执行一次性求职创业补贴、就业创业服务补助及跨区域交通补助。就业创业服务补助对象扩展至人力资源服务机构和劳务经纪人。按规定对跨省就业的脱贫人口适当安排一次性交通补助，由衔接推进乡村振兴补助资金列支。有条件的区县（自治县）可对吸纳脱贫人口就业数量多、成效好的就业帮扶基地给予一定的奖补，认定办法和奖补规则由区县（自治县）制定，并报市人力社保局备案。积极发挥就业帮扶基地、爱心企业作用，鼓励各类市场主体为脱贫人口提供更多就业和培训机会。</w:t>
      </w:r>
    </w:p>
    <w:p>
      <w:pPr>
        <w:spacing w:line="600" w:lineRule="exact"/>
        <w:ind w:firstLine="632" w:firstLineChars="200"/>
        <w:rPr>
          <w:rFonts w:ascii="Times New Roman" w:hAnsi="Times New Roman" w:eastAsia="方正仿宋_GBK"/>
        </w:rPr>
      </w:pPr>
      <w:r>
        <w:rPr>
          <w:rFonts w:ascii="Times New Roman" w:hAnsi="Times New Roman" w:eastAsia="方正楷体_GBK"/>
        </w:rPr>
        <w:t>（二）促进稳定就业。</w:t>
      </w:r>
      <w:r>
        <w:rPr>
          <w:rFonts w:ascii="Times New Roman" w:hAnsi="Times New Roman" w:eastAsia="方正仿宋_GBK"/>
        </w:rPr>
        <w:t>指导企业与脱贫人口依法签订并履行劳动合同、参加社会保险、按时足额发放劳动报酬，积极改善劳动条件，健全常态化驻企联络协调机制。落实培训补贴等政策，引导支持优先留用脱贫人口。对符合条件的吸纳脱贫人口就业的企业，继续执行一次性吸纳就业补贴、社会保险补贴、创业担保贷款及贴息等政策。对失业脱贫人口优先提供转岗服务，帮助尽快在当地实现再就业。</w:t>
      </w:r>
    </w:p>
    <w:p>
      <w:pPr>
        <w:spacing w:line="600" w:lineRule="exact"/>
        <w:ind w:firstLine="632" w:firstLineChars="200"/>
        <w:rPr>
          <w:rFonts w:ascii="Times New Roman" w:hAnsi="Times New Roman" w:eastAsia="方正仿宋_GBK"/>
        </w:rPr>
      </w:pPr>
      <w:r>
        <w:rPr>
          <w:rFonts w:ascii="Times New Roman" w:hAnsi="Times New Roman" w:eastAsia="方正楷体_GBK"/>
        </w:rPr>
        <w:t>（三）强化劳务协作。</w:t>
      </w:r>
      <w:r>
        <w:rPr>
          <w:rFonts w:ascii="Times New Roman" w:hAnsi="Times New Roman" w:eastAsia="方正仿宋_GBK"/>
        </w:rPr>
        <w:t>充分发挥对口帮扶机制作用，搭建完善用工信息对接平台，推广使用就业帮扶直通车，建立常态化的跨区域岗位信息共享和发布机制。14个脱贫重点区县（自治县）要形成本地区就业需求清单，做好有组织输出工作，在外出较集中地区设立劳务工作站，同步加强市内劳务协作。继续执行赴山东一次性求职创业补贴、以工代训补贴。可使用山东提供的东西部协作援助资金，落实一次性交通生活补助、稳岗补贴、培训补贴、职业介绍补贴等政策，援建一批鲁渝乡村振兴就业帮扶基地、劳务品牌、返乡入乡创业园、创业孵化基地，以及开展职业技能培训、公益性岗位开发、技工院校合作等，打造鲁渝劳务协作升级版。</w:t>
      </w:r>
    </w:p>
    <w:p>
      <w:pPr>
        <w:spacing w:line="600" w:lineRule="exact"/>
        <w:ind w:firstLine="632" w:firstLineChars="200"/>
        <w:rPr>
          <w:rFonts w:ascii="Times New Roman" w:hAnsi="Times New Roman" w:eastAsia="方正仿宋_GBK"/>
        </w:rPr>
      </w:pPr>
      <w:r>
        <w:rPr>
          <w:rFonts w:ascii="Times New Roman" w:hAnsi="Times New Roman" w:eastAsia="方正楷体_GBK"/>
        </w:rPr>
        <w:t>（四）培树劳务品牌。</w:t>
      </w:r>
      <w:r>
        <w:rPr>
          <w:rFonts w:ascii="Times New Roman" w:hAnsi="Times New Roman" w:eastAsia="方正仿宋_GBK"/>
        </w:rPr>
        <w:t>各区县（自治县）应结合当地资源禀赋、文化特色、产业基础等优势，培育、创建、发展一批有特色、有口碑、有规模的劳务品牌，借助品牌效应扩大劳务输出规模，提高劳务输出质量。被认定为市级劳务品牌的，可给予适当奖补。坚持技能化开发、市场化运作、组织化输出、产业化打造，制定专门工作计划，确定输出规模和输出质量目标，将脱贫人口作为重点输出对象。</w:t>
      </w:r>
    </w:p>
    <w:p>
      <w:pPr>
        <w:spacing w:line="600" w:lineRule="exact"/>
        <w:ind w:firstLine="632" w:firstLineChars="200"/>
        <w:rPr>
          <w:rFonts w:ascii="Times New Roman" w:hAnsi="Times New Roman" w:eastAsia="方正黑体_GBK"/>
        </w:rPr>
      </w:pPr>
      <w:r>
        <w:rPr>
          <w:rFonts w:ascii="Times New Roman" w:hAnsi="Times New Roman" w:eastAsia="方正黑体_GBK"/>
        </w:rPr>
        <w:t>二、支持就地就近就业</w:t>
      </w:r>
    </w:p>
    <w:p>
      <w:pPr>
        <w:spacing w:line="600" w:lineRule="exact"/>
        <w:ind w:firstLine="632" w:firstLineChars="200"/>
        <w:rPr>
          <w:rFonts w:ascii="Times New Roman" w:hAnsi="Times New Roman" w:eastAsia="方正仿宋_GBK"/>
        </w:rPr>
      </w:pPr>
      <w:r>
        <w:rPr>
          <w:rFonts w:ascii="Times New Roman" w:hAnsi="Times New Roman" w:eastAsia="方正楷体_GBK"/>
        </w:rPr>
        <w:t>（一）支持产业发展促进就业。</w:t>
      </w:r>
      <w:r>
        <w:rPr>
          <w:rFonts w:ascii="Times New Roman" w:hAnsi="Times New Roman" w:eastAsia="方正仿宋_GBK"/>
        </w:rPr>
        <w:t>支持脱贫区县（自治县）大力发展县域经济，建设一批卫星城镇，发展一批当地优势特色产业项目，提高就业承载力。依托乡村特色优势资源，发展壮大乡村特色产业，打造农业全产业链，鼓励发展家庭农场、农民专业合作社，增加就业岗位。加强乡村公共基础设施建设，在脱贫区县（自治县）重点建设一批区域性和跨区域重大基础设施工程，在农业农村基础设施建设领域积极推广以工代赈方式，尽最大幅度提高劳务报酬发放比例，带动更多脱贫人口等农村低收入群体参与乡村建设，充分发挥以工代赈促进就业作用。在农村人居环境整治提升五年行动和提升农村基本公共服务水平过程中，优先安排脱贫人口从事相关工作。</w:t>
      </w:r>
    </w:p>
    <w:p>
      <w:pPr>
        <w:spacing w:line="600" w:lineRule="exact"/>
        <w:ind w:firstLine="632" w:firstLineChars="200"/>
        <w:rPr>
          <w:rFonts w:ascii="Times New Roman" w:hAnsi="Times New Roman" w:eastAsia="方正仿宋_GBK"/>
        </w:rPr>
      </w:pPr>
      <w:r>
        <w:rPr>
          <w:rFonts w:ascii="Times New Roman" w:hAnsi="Times New Roman" w:eastAsia="方正楷体_GBK"/>
        </w:rPr>
        <w:t>（二）发展就业帮扶车间等就业载体。</w:t>
      </w:r>
      <w:r>
        <w:rPr>
          <w:rFonts w:ascii="Times New Roman" w:hAnsi="Times New Roman" w:eastAsia="方正仿宋_GBK"/>
        </w:rPr>
        <w:t>继续发挥就业帮扶车间（原就业扶贫车间）、社区工厂、卫星工厂等就业载体作用，在脱贫地区创造更多就地就近就业机会。支持拓展丰富载体功能，打造集工作车间、公共就业服务中心、公共活动场所等功能为一体的综合性服务机构。延续支持就业帮扶车间等各类就业载体的费用减免以及实施的各项优惠政策。对企业、就业帮扶车间等各类生产经营主体吸纳脱贫人口（已享受过以工代训职业培训补贴政策人员除外）就业并开展以工代训的，根据吸纳人数给予最长不超过6个月的职业培训补贴，政策执行时间至2021年底。</w:t>
      </w:r>
    </w:p>
    <w:p>
      <w:pPr>
        <w:spacing w:line="600" w:lineRule="exact"/>
        <w:ind w:firstLine="632" w:firstLineChars="200"/>
        <w:rPr>
          <w:rFonts w:ascii="Times New Roman" w:hAnsi="Times New Roman" w:eastAsia="方正仿宋_GBK"/>
        </w:rPr>
      </w:pPr>
      <w:r>
        <w:rPr>
          <w:rFonts w:ascii="Times New Roman" w:hAnsi="Times New Roman" w:eastAsia="方正楷体_GBK"/>
        </w:rPr>
        <w:t>（三）鼓励返乡入乡创业。</w:t>
      </w:r>
      <w:r>
        <w:rPr>
          <w:rFonts w:ascii="Times New Roman" w:hAnsi="Times New Roman" w:eastAsia="方正仿宋_GBK"/>
        </w:rPr>
        <w:t>引导农民工等人员返乡入乡创业、乡村能人就地创业，帮助有条件的脱贫人口自主创业，按规定落实税费减免、场地安排、创业担保贷款及贴息、一次性创业补贴和创业培训、创业工位等政策支持。加强返乡创业载体建设，有条件的脱贫区县（自治县）可利用现有园区等资源建设一批区县级返乡入乡创业园、创业孵化基地，根据入驻实体数量、孵化效果和带动就业成效给予奖补。继续执行市级创业孵化基地（园区）补贴政策，对符合条件的市级基地（园区）开展绩效评估，按规定给予示范创建奖励。支持各地设立一批特色鲜明、带动就业作用明显的非遗扶贫就业工坊。</w:t>
      </w:r>
    </w:p>
    <w:p>
      <w:pPr>
        <w:spacing w:line="600" w:lineRule="exact"/>
        <w:ind w:firstLine="632" w:firstLineChars="200"/>
        <w:rPr>
          <w:rFonts w:hint="eastAsia" w:ascii="方正仿宋_GBK" w:hAnsi="方正仿宋_GBK" w:eastAsia="方正仿宋_GBK" w:cs="方正仿宋_GBK"/>
        </w:rPr>
      </w:pPr>
      <w:r>
        <w:rPr>
          <w:rFonts w:ascii="Times New Roman" w:hAnsi="Times New Roman" w:eastAsia="方正楷体_GBK"/>
        </w:rPr>
        <w:t>（四）扶持多渠道灵活就业。</w:t>
      </w:r>
      <w:r>
        <w:rPr>
          <w:rFonts w:ascii="Times New Roman" w:hAnsi="Times New Roman" w:eastAsia="方正仿宋_GBK"/>
        </w:rPr>
        <w:t>鼓励脱贫区县（自治县）</w:t>
      </w:r>
      <w:r>
        <w:rPr>
          <w:rFonts w:hint="eastAsia" w:ascii="方正仿宋_GBK" w:hAnsi="方正仿宋_GBK" w:eastAsia="方正仿宋_GBK" w:cs="方正仿宋_GBK"/>
        </w:rPr>
        <w:t>发展“小店经济”“夜市经济”，支持脱贫人口在县域城镇地区从事个体经营，创办投资小、见效快、易转型、风险小的小规模经济实体，支持脱贫人口通过非全日制、新就业形态等多种形式灵活就业，按照有关规定给予税费减免、场地支持、社会保险补贴等政策。设立一批劳务市场或零工市场，探索组建国有劳务公司，为脱贫人口提供更多家门口的就业机会。因地制宜引进一批特色产业，引导脱贫人口居家从事传统手工艺制作、来料加工。</w:t>
      </w:r>
    </w:p>
    <w:p>
      <w:pPr>
        <w:spacing w:line="600" w:lineRule="exact"/>
        <w:ind w:firstLine="632" w:firstLineChars="200"/>
        <w:rPr>
          <w:rFonts w:ascii="Times New Roman" w:hAnsi="Times New Roman" w:eastAsia="方正仿宋_GBK"/>
        </w:rPr>
      </w:pPr>
      <w:r>
        <w:rPr>
          <w:rFonts w:ascii="Times New Roman" w:hAnsi="Times New Roman" w:eastAsia="方正楷体_GBK"/>
        </w:rPr>
        <w:t>（五）用好乡村公益性岗位。</w:t>
      </w:r>
      <w:r>
        <w:rPr>
          <w:rFonts w:ascii="Times New Roman" w:hAnsi="Times New Roman" w:eastAsia="方正仿宋_GBK"/>
        </w:rPr>
        <w:t>保持乡村公益性岗位规模总体稳定，加大各类岗位统筹使用力度，优先安置</w:t>
      </w:r>
      <w:r>
        <w:rPr>
          <w:rFonts w:hint="eastAsia" w:ascii="方正仿宋_GBK" w:hAnsi="方正仿宋_GBK" w:eastAsia="方正仿宋_GBK" w:cs="方正仿宋_GBK"/>
        </w:rPr>
        <w:t>符合条件的脱贫人口特别是其中的弱劳力、半劳力，动态调整安置对象条件。健全“按需设岗、以岗聘任、在岗领补、有序退岗”管理机制，进一步规范乡村公益性岗位开发管理，及时纠正查处安置不符合条件人员、违规发放补贴等行为。加强岗位统筹管理，保持同一区域内类似岗位间聘任标准、待遇保障水平等基本统一。对公益性岗位安置脱贫人口按规定给予公益性岗位补贴和社保补贴，购买意外伤害商业保险，依法签订劳动合同或劳务协议，每次签订期限不超过</w:t>
      </w:r>
      <w:r>
        <w:rPr>
          <w:rFonts w:ascii="Times New Roman" w:hAnsi="Times New Roman" w:eastAsia="方正仿宋_GBK"/>
        </w:rPr>
        <w:t>1年。</w:t>
      </w:r>
    </w:p>
    <w:p>
      <w:pPr>
        <w:spacing w:line="600" w:lineRule="exact"/>
        <w:ind w:firstLine="632" w:firstLineChars="200"/>
        <w:rPr>
          <w:rFonts w:ascii="Times New Roman" w:hAnsi="Times New Roman" w:eastAsia="方正黑体_GBK"/>
        </w:rPr>
      </w:pPr>
      <w:r>
        <w:rPr>
          <w:rFonts w:ascii="Times New Roman" w:hAnsi="Times New Roman" w:eastAsia="方正黑体_GBK"/>
        </w:rPr>
        <w:t>三、健全就业帮扶长效机制</w:t>
      </w:r>
    </w:p>
    <w:p>
      <w:pPr>
        <w:spacing w:line="600" w:lineRule="exact"/>
        <w:ind w:firstLine="632" w:firstLineChars="200"/>
        <w:rPr>
          <w:rFonts w:ascii="Times New Roman" w:hAnsi="Times New Roman" w:eastAsia="方正仿宋_GBK"/>
        </w:rPr>
      </w:pPr>
      <w:r>
        <w:rPr>
          <w:rFonts w:ascii="Times New Roman" w:hAnsi="Times New Roman" w:eastAsia="方正楷体_GBK"/>
        </w:rPr>
        <w:t>（一）优化提升就业服务。</w:t>
      </w:r>
      <w:r>
        <w:rPr>
          <w:rFonts w:ascii="Times New Roman" w:hAnsi="Times New Roman" w:eastAsia="方正仿宋_GBK"/>
        </w:rPr>
        <w:t>依托全国扶贫开发信息系统对脱贫人口、农村低收入人口、易地扶贫搬迁群众等重点人群就业状态分类实施动态监测，加强大数据比对分析和部门信息共享，完善基层主动发现预警机制，对就业转失业的及时提供职业指导、职业介绍等服务。动态调整就业困难人员认定标准，将符合条件的脱贫人口、农村低收入人口纳入就业援助对象范围。推进公共就业服务向乡村地区延伸，把就业服务功能作为村级综合服务设施建设工程重要内容，将公共就业服务纳入政府购买服务指导性目录，支持经营性人力资源服务机构、社会组织提供专业化服务。有条件的区县（自治县）可在行政村建设一批就业服务超市，每年给予一定的奖补。扩大失业保险保障范围，对国家级乡村振兴重点帮扶县，失业保险金标准按最低工资最高档的90%执行，支持脱贫人口、农村低收入人口更好就业创业。继续执行困难家庭学生一次性在校求职创业补贴和离校未就业求职创业补贴政策。</w:t>
      </w:r>
    </w:p>
    <w:p>
      <w:pPr>
        <w:spacing w:line="600" w:lineRule="exact"/>
        <w:ind w:firstLine="632" w:firstLineChars="200"/>
        <w:rPr>
          <w:rFonts w:hint="eastAsia" w:ascii="方正仿宋_GBK" w:hAnsi="方正仿宋_GBK" w:eastAsia="方正仿宋_GBK" w:cs="方正仿宋_GBK"/>
        </w:rPr>
      </w:pPr>
      <w:r>
        <w:rPr>
          <w:rFonts w:ascii="Times New Roman" w:hAnsi="Times New Roman" w:eastAsia="方正楷体_GBK"/>
        </w:rPr>
        <w:t>（二）精准实施技能提升。</w:t>
      </w:r>
      <w:r>
        <w:rPr>
          <w:rFonts w:ascii="Times New Roman" w:hAnsi="Times New Roman" w:eastAsia="方正仿宋_GBK"/>
        </w:rPr>
        <w:t>实施劳动力职业技能提升工程，加大脱贫人口、农村低收入人口职业技能培训（包括创业培训）</w:t>
      </w:r>
      <w:r>
        <w:rPr>
          <w:rFonts w:hint="eastAsia" w:ascii="方正仿宋_GBK" w:hAnsi="方正仿宋_GBK" w:eastAsia="方正仿宋_GBK" w:cs="方正仿宋_GBK"/>
        </w:rPr>
        <w:t>力度，按规定继续给予培训补贴和生活费（含交通费）补贴。支持脱贫区县（自治县）、乡村振兴重点帮扶县建设一批培训基地和技工院校。继续实施“雨露计划”，按规定给予相应补助。扩大技工院校招生和职业培训规模，支持脱贫户、农村低收入人口所在家庭“两后生”就读技工院校，按规定享受国家免学费和奖助学金政策。定期举办乡村振兴技能大赛，打造一批靠技能就业、靠就业致富的先进典型，激发劳动致富内生动力。</w:t>
      </w:r>
    </w:p>
    <w:p>
      <w:pPr>
        <w:spacing w:line="600" w:lineRule="exact"/>
        <w:ind w:firstLine="632" w:firstLineChars="200"/>
        <w:rPr>
          <w:rFonts w:hint="eastAsia" w:ascii="方正仿宋_GBK" w:hAnsi="方正仿宋_GBK" w:eastAsia="方正仿宋_GBK" w:cs="方正仿宋_GBK"/>
        </w:rPr>
      </w:pPr>
      <w:r>
        <w:rPr>
          <w:rFonts w:ascii="Times New Roman" w:hAnsi="Times New Roman" w:eastAsia="方正楷体_GBK"/>
        </w:rPr>
        <w:t>（三）倾斜支持重点地区。</w:t>
      </w:r>
      <w:r>
        <w:rPr>
          <w:rFonts w:ascii="Times New Roman" w:hAnsi="Times New Roman" w:eastAsia="方正仿宋_GBK"/>
        </w:rPr>
        <w:t>将乡村振兴重点帮扶县、易地扶贫搬迁安置区作为重点地区，积极引进适合当地群众就业需求的劳动密集型、生态友好型项目或企业，扩大当地就业机会，组织专项就业服务活动实施集中帮扶。完善易地扶贫搬迁安置区按比例安排就业机制，政府投资建设项目</w:t>
      </w:r>
      <w:r>
        <w:rPr>
          <w:rFonts w:hint="eastAsia" w:ascii="方正仿宋_GBK" w:hAnsi="方正仿宋_GBK" w:eastAsia="方正仿宋_GBK" w:cs="方正仿宋_GBK"/>
        </w:rPr>
        <w:t>、以工代赈项目、基层社会管理和公共服务项目要安排一定比例的岗位用于吸纳搬迁群众就业。支持乡村振兴重点帮扶县根据巩固拓展脱贫攻坚成果需要，适当加大乡村公益性岗位开发力度。鼓励乡村振兴重点帮扶县立足本地人力资源和传统文化优势，努力打造“一县一品”区域劳务品牌。</w:t>
      </w:r>
    </w:p>
    <w:p>
      <w:pPr>
        <w:spacing w:line="600" w:lineRule="exact"/>
        <w:ind w:firstLine="632" w:firstLineChars="200"/>
        <w:rPr>
          <w:rFonts w:ascii="Times New Roman" w:hAnsi="Times New Roman" w:eastAsia="方正黑体_GBK"/>
        </w:rPr>
      </w:pPr>
      <w:r>
        <w:rPr>
          <w:rFonts w:ascii="Times New Roman" w:hAnsi="Times New Roman" w:eastAsia="方正黑体_GBK"/>
        </w:rPr>
        <w:t>四、保障措施</w:t>
      </w:r>
    </w:p>
    <w:p>
      <w:pPr>
        <w:spacing w:line="600" w:lineRule="exact"/>
        <w:ind w:firstLine="632" w:firstLineChars="200"/>
        <w:rPr>
          <w:rFonts w:ascii="Times New Roman" w:hAnsi="Times New Roman" w:eastAsia="方正仿宋_GBK"/>
        </w:rPr>
      </w:pPr>
      <w:r>
        <w:rPr>
          <w:rFonts w:ascii="Times New Roman" w:hAnsi="Times New Roman" w:eastAsia="方正楷体_GBK"/>
        </w:rPr>
        <w:t>（一）加强组织领导。</w:t>
      </w:r>
      <w:r>
        <w:rPr>
          <w:rFonts w:ascii="Times New Roman" w:hAnsi="Times New Roman" w:eastAsia="方正仿宋_GBK"/>
        </w:rPr>
        <w:t>各区县（自治县）要将促进就业作为巩固拓展脱贫攻坚成果重要内容，列入乡村振兴重要议事日程，健全工作机制，加强制度设计，优化政策供给，明确部门分工，形成工作合力。区县（自治县）人力社保部门要牵头做好相关政策研究制定，抓好政策落实、就业服务和职业培训，深入推进劳务协作。要加强与民政、乡村振兴等部门的对接，建立脱贫人口、农村低收入人口就业帮扶清单，详细掌握其基本信息和就业信息。发展改革部门要统筹协调易地扶贫搬迁后续扶持，围绕安置区和搬迁群众就业，加大以工代赈项目实施力度，积极拓宽农村低收入群体就业增收渠道。农业农村部门要推动乡村地区产业发展，创造更多就地就近就业机会。乡村振兴部门要将就业纳入乡村振兴战略总体部署统筹考虑，加强脱贫人口、农村低收入人口的认定、建档立卡和就业动态监测，将脱贫人口、农村低收入人口就业帮扶情况纳入各级党政领导班子和领导干部乡村振兴实绩考核范围。各级财政部门要按照预算法等有关规定对就业帮扶予以支持。</w:t>
      </w:r>
    </w:p>
    <w:p>
      <w:pPr>
        <w:spacing w:line="600" w:lineRule="exact"/>
        <w:ind w:firstLine="632" w:firstLineChars="200"/>
        <w:rPr>
          <w:rFonts w:ascii="Times New Roman" w:hAnsi="Times New Roman" w:eastAsia="方正仿宋_GBK"/>
        </w:rPr>
      </w:pPr>
      <w:r>
        <w:rPr>
          <w:rFonts w:ascii="Times New Roman" w:hAnsi="Times New Roman" w:eastAsia="方正楷体_GBK"/>
        </w:rPr>
        <w:t>（二）落实工作保障。</w:t>
      </w:r>
      <w:r>
        <w:rPr>
          <w:rFonts w:ascii="Times New Roman" w:hAnsi="Times New Roman" w:eastAsia="方正仿宋_GBK"/>
        </w:rPr>
        <w:t>保持就业帮扶各级工作协调机制、工作专班以及驻村工作队、服务队等帮扶力量总体稳定，加强机构设置和人员配置，做到工作不断、队伍不散。用好现有资金渠道，加强就业帮扶支持力度。各地在分配相关转移支付资金时，要向乡村振兴重点帮扶县以及脱贫人口、农村低收入人口较多地区倾斜。各区县（自治县）可根据巩固拓展就业扶贫成果的实际需要，制定更有针对性的政策措施，统筹保障政策落实和服务开展。</w:t>
      </w:r>
    </w:p>
    <w:p>
      <w:pPr>
        <w:spacing w:line="600" w:lineRule="exact"/>
        <w:ind w:firstLine="632" w:firstLineChars="200"/>
        <w:rPr>
          <w:rFonts w:ascii="Times New Roman" w:hAnsi="Times New Roman" w:eastAsia="方正仿宋_GBK"/>
        </w:rPr>
      </w:pPr>
      <w:r>
        <w:rPr>
          <w:rFonts w:ascii="Times New Roman" w:hAnsi="Times New Roman" w:eastAsia="方正楷体_GBK"/>
        </w:rPr>
        <w:t>（三）广泛宣传引导。</w:t>
      </w:r>
      <w:r>
        <w:rPr>
          <w:rFonts w:ascii="Times New Roman" w:hAnsi="Times New Roman" w:eastAsia="方正仿宋_GBK"/>
        </w:rPr>
        <w:t>充分利用全媒体平台，大力宣传促进脱贫人口、农村低收入人口就业创业的优惠政策和服务举措，提高政策知晓度。广泛挖掘就业致富典型案例，讲好就业故事，使劳动脱贫的理念深入人心，营造全社会关心关爱脱贫人口、农村低收入人口就业创业的良好氛围。</w:t>
      </w:r>
    </w:p>
    <w:p>
      <w:pPr>
        <w:spacing w:line="600" w:lineRule="exact"/>
        <w:ind w:firstLine="632" w:firstLineChars="200"/>
        <w:rPr>
          <w:rFonts w:ascii="Times New Roman" w:hAnsi="Times New Roman" w:eastAsia="方正仿宋_GBK"/>
        </w:rPr>
      </w:pPr>
      <w:r>
        <w:rPr>
          <w:rFonts w:ascii="Times New Roman" w:hAnsi="Times New Roman" w:eastAsia="方正仿宋_GBK"/>
        </w:rPr>
        <w:t>各区县（自治县）要根据本文件精神，结合实际制定具体实施措施。本文件自印发之日起实施，政策执行期限截止2025年12月31日。</w:t>
      </w:r>
    </w:p>
    <w:p>
      <w:pPr>
        <w:spacing w:line="600" w:lineRule="exact"/>
        <w:ind w:firstLine="632" w:firstLineChars="200"/>
        <w:rPr>
          <w:rFonts w:ascii="Times New Roman" w:hAnsi="Times New Roman" w:eastAsia="方正仿宋_GBK"/>
        </w:rPr>
      </w:pPr>
    </w:p>
    <w:p>
      <w:pPr>
        <w:spacing w:line="600" w:lineRule="exact"/>
        <w:ind w:firstLine="632" w:firstLineChars="200"/>
        <w:rPr>
          <w:rFonts w:ascii="Times New Roman" w:hAnsi="Times New Roman" w:eastAsia="方正仿宋_GBK"/>
        </w:rPr>
      </w:pPr>
    </w:p>
    <w:p>
      <w:pPr>
        <w:spacing w:line="600" w:lineRule="exact"/>
        <w:ind w:right="632" w:rightChars="200" w:firstLine="4102" w:firstLineChars="1298"/>
        <w:jc w:val="distribute"/>
        <w:rPr>
          <w:rFonts w:ascii="Times New Roman" w:hAnsi="Times New Roman" w:eastAsia="方正仿宋_GBK"/>
        </w:rPr>
      </w:pPr>
      <w:r>
        <w:rPr>
          <w:rFonts w:ascii="Times New Roman" w:hAnsi="Times New Roman" w:eastAsia="方正仿宋_GBK"/>
        </w:rPr>
        <w:t>重庆市人力资源和社会保障局</w:t>
      </w:r>
    </w:p>
    <w:p>
      <w:pPr>
        <w:spacing w:line="600" w:lineRule="exact"/>
        <w:ind w:right="632" w:rightChars="200" w:firstLine="4102" w:firstLineChars="1298"/>
        <w:jc w:val="distribute"/>
        <w:rPr>
          <w:rFonts w:ascii="Times New Roman" w:hAnsi="Times New Roman" w:eastAsia="方正仿宋_GBK"/>
        </w:rPr>
      </w:pPr>
      <w:r>
        <w:rPr>
          <w:rFonts w:ascii="Times New Roman" w:hAnsi="Times New Roman" w:eastAsia="方正仿宋_GBK"/>
        </w:rPr>
        <w:t>重庆市发展和改革委员会</w:t>
      </w:r>
    </w:p>
    <w:p>
      <w:pPr>
        <w:spacing w:line="600" w:lineRule="exact"/>
        <w:ind w:right="632" w:rightChars="200" w:firstLine="4102" w:firstLineChars="1298"/>
        <w:jc w:val="distribute"/>
        <w:rPr>
          <w:rFonts w:ascii="Times New Roman" w:hAnsi="Times New Roman" w:eastAsia="方正仿宋_GBK"/>
        </w:rPr>
      </w:pPr>
      <w:r>
        <w:rPr>
          <w:rFonts w:ascii="Times New Roman" w:hAnsi="Times New Roman" w:eastAsia="方正仿宋_GBK"/>
        </w:rPr>
        <w:t>重庆市财政局</w:t>
      </w:r>
    </w:p>
    <w:p>
      <w:pPr>
        <w:spacing w:line="600" w:lineRule="exact"/>
        <w:ind w:right="632" w:rightChars="200" w:firstLine="4102" w:firstLineChars="1298"/>
        <w:jc w:val="distribute"/>
        <w:rPr>
          <w:rFonts w:ascii="Times New Roman" w:hAnsi="Times New Roman" w:eastAsia="方正仿宋_GBK"/>
        </w:rPr>
      </w:pPr>
      <w:r>
        <w:rPr>
          <w:rFonts w:ascii="Times New Roman" w:hAnsi="Times New Roman" w:eastAsia="方正仿宋_GBK"/>
        </w:rPr>
        <w:t>重庆市农业农村委员会</w:t>
      </w:r>
    </w:p>
    <w:p>
      <w:pPr>
        <w:spacing w:line="600" w:lineRule="exact"/>
        <w:ind w:right="632" w:rightChars="200" w:firstLine="4102" w:firstLineChars="1298"/>
        <w:jc w:val="distribute"/>
        <w:rPr>
          <w:rFonts w:ascii="Times New Roman" w:hAnsi="Times New Roman" w:eastAsia="方正仿宋_GBK"/>
        </w:rPr>
      </w:pPr>
      <w:r>
        <w:rPr>
          <w:rFonts w:ascii="Times New Roman" w:hAnsi="Times New Roman" w:eastAsia="方正仿宋_GBK"/>
        </w:rPr>
        <w:t>重庆市乡村振兴局</w:t>
      </w:r>
    </w:p>
    <w:p>
      <w:pPr>
        <w:wordWrap w:val="0"/>
        <w:spacing w:line="600" w:lineRule="exact"/>
        <w:ind w:right="632" w:rightChars="200" w:firstLine="632" w:firstLineChars="200"/>
        <w:jc w:val="right"/>
        <w:rPr>
          <w:rFonts w:ascii="Times New Roman" w:hAnsi="Times New Roman" w:eastAsia="方正仿宋_GBK"/>
        </w:rPr>
      </w:pPr>
      <w:r>
        <w:rPr>
          <w:rFonts w:ascii="Times New Roman" w:hAnsi="Times New Roman" w:eastAsia="方正仿宋_GBK"/>
        </w:rPr>
        <w:t xml:space="preserve">2021年7月21日 </w:t>
      </w:r>
      <w:r>
        <w:rPr>
          <w:rFonts w:hint="eastAsia" w:ascii="Times New Roman" w:hAnsi="Times New Roman" w:eastAsia="方正仿宋_GBK"/>
        </w:rPr>
        <w:t xml:space="preserve"> </w:t>
      </w:r>
      <w:r>
        <w:rPr>
          <w:rFonts w:ascii="Times New Roman" w:hAnsi="Times New Roman" w:eastAsia="方正仿宋_GBK"/>
        </w:rPr>
        <w:t xml:space="preserve">   </w:t>
      </w:r>
    </w:p>
    <w:p>
      <w:pPr>
        <w:pStyle w:val="3"/>
        <w:widowControl/>
        <w:wordWrap w:val="0"/>
        <w:spacing w:line="600" w:lineRule="exact"/>
        <w:rPr>
          <w:rFonts w:ascii="Times New Roman" w:hAnsi="Times New Roman" w:eastAsia="方正仿宋_GBK"/>
          <w:sz w:val="32"/>
          <w:szCs w:val="32"/>
        </w:rPr>
      </w:pPr>
      <w:r>
        <w:rPr>
          <w:rFonts w:ascii="Times New Roman" w:hAnsi="Times New Roman" w:eastAsia="方正仿宋_GBK"/>
          <w:sz w:val="32"/>
          <w:szCs w:val="32"/>
        </w:rPr>
        <w:br w:type="page"/>
      </w: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pStyle w:val="3"/>
        <w:widowControl/>
        <w:wordWrap w:val="0"/>
        <w:spacing w:line="600" w:lineRule="exact"/>
        <w:rPr>
          <w:rFonts w:ascii="Times New Roman" w:hAnsi="Times New Roman" w:eastAsia="方正仿宋_GBK"/>
          <w:sz w:val="32"/>
          <w:szCs w:val="32"/>
        </w:rPr>
      </w:pPr>
    </w:p>
    <w:p>
      <w:pPr>
        <w:rPr>
          <w:rFonts w:ascii="Times New Roman" w:hAnsi="Times New Roman" w:eastAsia="方正仿宋_GBK"/>
          <w:szCs w:val="32"/>
        </w:rPr>
      </w:pPr>
    </w:p>
    <w:p>
      <w:pPr>
        <w:snapToGrid w:val="0"/>
        <w:ind w:right="24"/>
        <w:rPr>
          <w:rFonts w:ascii="Times New Roman" w:hAnsi="Times New Roman"/>
        </w:rPr>
      </w:pPr>
    </w:p>
    <w:p>
      <w:pPr/>
      <w:bookmarkStart w:id="0" w:name="_GoBack"/>
      <w:bookmarkEnd w:id="0"/>
    </w:p>
    <w:sectPr>
      <w:footerReference r:id="rId3" w:type="default"/>
      <w:footerReference r:id="rId4" w:type="even"/>
      <w:pgSz w:w="11906" w:h="16838"/>
      <w:pgMar w:top="2098" w:right="1474" w:bottom="1985" w:left="1588" w:header="170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swiss"/>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仿宋_GB2312"/>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- 1 -</w:t>
                          </w:r>
                          <w:r>
                            <w:rPr>
                              <w:rFonts w:hint="eastAsia" w:ascii="宋体" w:hAnsi="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- 1 -</w:t>
                    </w:r>
                    <w:r>
                      <w:rPr>
                        <w:rFonts w:hint="eastAsia" w:ascii="宋体" w:hAnsi="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YjE1Mzk0ZGUxZjgyYzhhMmIwZjI5MTAyNTIyOTAifQ=="/>
  </w:docVars>
  <w:rsids>
    <w:rsidRoot w:val="4F1747F4"/>
    <w:rsid w:val="23927012"/>
    <w:rsid w:val="292718DB"/>
    <w:rsid w:val="4F1747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sz w:val="18"/>
      <w:szCs w:val="18"/>
    </w:rPr>
  </w:style>
  <w:style w:type="paragraph" w:styleId="3">
    <w:name w:val="Normal (Web)"/>
    <w:basedOn w:val="1"/>
    <w:uiPriority w:val="0"/>
    <w:rPr>
      <w:rFonts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4326</Words>
  <Characters>4354</Characters>
  <Lines>0</Lines>
  <Paragraphs>0</Paragraphs>
  <ScaleCrop>false</ScaleCrop>
  <LinksUpToDate>false</LinksUpToDate>
  <CharactersWithSpaces>4363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2024-05-27T12:20:00Z</dcterms:created>
  <dc:creator>Red、</dc:creator>
  <cp:lastModifiedBy>Administrator</cp:lastModifiedBy>
  <dcterms:modified xsi:type="dcterms:W3CDTF">2024-05-28T03:17:33Z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E50C8CEACA364729A62F785F2FDEA059_11</vt:lpwstr>
  </property>
</Properties>
</file>