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72C47">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F7C8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14:paraId="45F7C8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14:paraId="4FF950F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1108C1B9">
      <w:pPr>
        <w:spacing w:line="640" w:lineRule="exact"/>
        <w:jc w:val="center"/>
        <w:rPr>
          <w:rFonts w:eastAsia="方正小标宋_GBK"/>
          <w:color w:val="000000"/>
          <w:spacing w:val="-10"/>
          <w:sz w:val="44"/>
          <w:szCs w:val="44"/>
        </w:rPr>
      </w:pPr>
      <w:r>
        <w:rPr>
          <w:rFonts w:eastAsia="方正小标宋_GBK"/>
          <w:color w:val="000000"/>
          <w:spacing w:val="-10"/>
          <w:sz w:val="44"/>
          <w:szCs w:val="44"/>
        </w:rPr>
        <w:t>重庆市璧山区发展和改革委员会</w:t>
      </w:r>
    </w:p>
    <w:p w14:paraId="29996776">
      <w:pPr>
        <w:spacing w:line="640" w:lineRule="exact"/>
        <w:jc w:val="center"/>
        <w:rPr>
          <w:rFonts w:hint="default" w:eastAsia="方正小标宋_GBK" w:asciiTheme="minorAscii" w:hAnsiTheme="minorAscii"/>
          <w:color w:val="000000"/>
          <w:spacing w:val="119"/>
          <w:sz w:val="44"/>
          <w:szCs w:val="44"/>
        </w:rPr>
      </w:pPr>
      <w:r>
        <w:rPr>
          <w:rFonts w:hint="default" w:eastAsia="方正小标宋_GBK" w:asciiTheme="minorAscii" w:hAnsiTheme="minorAscii"/>
          <w:color w:val="000000"/>
          <w:spacing w:val="119"/>
          <w:sz w:val="44"/>
          <w:szCs w:val="44"/>
        </w:rPr>
        <w:t>重庆市璧山区财政局</w:t>
      </w:r>
    </w:p>
    <w:p w14:paraId="7BFDA7DF">
      <w:pPr>
        <w:spacing w:line="640" w:lineRule="exact"/>
        <w:jc w:val="center"/>
        <w:rPr>
          <w:rFonts w:hint="default" w:asciiTheme="minorAscii" w:hAnsiTheme="minorAscii"/>
          <w:spacing w:val="57"/>
        </w:rPr>
      </w:pPr>
      <w:r>
        <w:rPr>
          <w:rFonts w:hint="default" w:eastAsia="方正小标宋_GBK" w:asciiTheme="minorAscii" w:hAnsiTheme="minorAscii"/>
          <w:color w:val="000000"/>
          <w:spacing w:val="57"/>
          <w:sz w:val="44"/>
          <w:szCs w:val="44"/>
        </w:rPr>
        <w:t>重庆市璧山区教育委员会</w:t>
      </w:r>
    </w:p>
    <w:p w14:paraId="0C8ACF2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bCs/>
          <w:sz w:val="44"/>
          <w:szCs w:val="44"/>
        </w:rPr>
      </w:pPr>
      <w:r>
        <w:rPr>
          <w:rFonts w:eastAsia="方正小标宋_GBK"/>
          <w:color w:val="000000"/>
          <w:spacing w:val="-10"/>
          <w:sz w:val="44"/>
          <w:szCs w:val="44"/>
        </w:rPr>
        <w:t>关于</w:t>
      </w:r>
      <w:r>
        <w:rPr>
          <w:rFonts w:hint="eastAsia" w:eastAsia="方正小标宋_GBK"/>
          <w:color w:val="000000"/>
          <w:spacing w:val="-10"/>
          <w:sz w:val="44"/>
          <w:szCs w:val="44"/>
          <w:lang w:val="en-US" w:eastAsia="zh-CN"/>
        </w:rPr>
        <w:t>璧山区公办</w:t>
      </w:r>
      <w:r>
        <w:rPr>
          <w:rFonts w:ascii="Times New Roman" w:hAnsi="Times New Roman" w:eastAsia="方正小标宋_GBK"/>
          <w:bCs/>
          <w:sz w:val="44"/>
          <w:szCs w:val="44"/>
        </w:rPr>
        <w:t>幼儿园</w:t>
      </w:r>
      <w:r>
        <w:rPr>
          <w:rFonts w:hint="eastAsia" w:ascii="Times New Roman" w:hAnsi="Times New Roman" w:eastAsia="方正小标宋_GBK"/>
          <w:bCs/>
          <w:sz w:val="44"/>
          <w:szCs w:val="44"/>
        </w:rPr>
        <w:t>保育教育费收费标准及增设延时保育费项目</w:t>
      </w:r>
      <w:r>
        <w:rPr>
          <w:rFonts w:ascii="Times New Roman" w:hAnsi="Times New Roman" w:eastAsia="方正小标宋_GBK"/>
          <w:bCs/>
          <w:sz w:val="44"/>
          <w:szCs w:val="44"/>
        </w:rPr>
        <w:t>的</w:t>
      </w:r>
      <w:r>
        <w:rPr>
          <w:rFonts w:hint="eastAsia" w:ascii="Times New Roman" w:hAnsi="Times New Roman" w:eastAsia="方正小标宋_GBK"/>
          <w:bCs/>
          <w:sz w:val="44"/>
          <w:szCs w:val="44"/>
        </w:rPr>
        <w:t>通知</w:t>
      </w:r>
    </w:p>
    <w:p w14:paraId="3D9F89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璧发改〔20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266</w:t>
      </w:r>
      <w:r>
        <w:rPr>
          <w:rFonts w:hint="default" w:ascii="Times New Roman" w:hAnsi="Times New Roman" w:eastAsia="方正仿宋_GBK" w:cs="Times New Roman"/>
          <w:sz w:val="32"/>
          <w:szCs w:val="32"/>
        </w:rPr>
        <w:t>号</w:t>
      </w:r>
    </w:p>
    <w:p w14:paraId="10EFBF4E">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19E7E0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区各级公办幼儿园：</w:t>
      </w:r>
    </w:p>
    <w:p w14:paraId="2FA00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10"/>
          <w:sz w:val="32"/>
          <w:szCs w:val="32"/>
          <w:lang w:eastAsia="zh-CN"/>
        </w:rPr>
      </w:pPr>
      <w:r>
        <w:rPr>
          <w:rFonts w:hint="default" w:ascii="Times New Roman" w:hAnsi="Times New Roman" w:eastAsia="方正仿宋_GBK" w:cs="Times New Roman"/>
          <w:sz w:val="32"/>
          <w:szCs w:val="32"/>
        </w:rPr>
        <w:t>为贯彻《重庆市人民政府关于第三期学前教育行动计划的实施意见》（渝府发</w:t>
      </w:r>
      <w:r>
        <w:rPr>
          <w:rFonts w:hint="default" w:ascii="Times New Roman" w:hAnsi="Times New Roman" w:eastAsia="方正仿宋_GBK" w:cs="Times New Roman"/>
          <w:color w:val="000000"/>
          <w:kern w:val="0"/>
          <w:sz w:val="32"/>
          <w:szCs w:val="32"/>
          <w:lang w:val="en-US" w:eastAsia="zh-CN"/>
        </w:rPr>
        <w:t>〔2017〕48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完善学前教育成本分担机制，促进我区学前教育健康发展，根据《重庆市发展和改革委员会重庆市财政局重庆市教育委员会关于调整公办幼儿园保育教育费收费标准及增设延时保育费项目的通知》（</w:t>
      </w:r>
      <w:r>
        <w:rPr>
          <w:rFonts w:hint="default" w:ascii="Times New Roman" w:hAnsi="Times New Roman" w:eastAsia="方正仿宋_GBK" w:cs="Times New Roman"/>
          <w:bCs/>
          <w:color w:val="010000"/>
          <w:sz w:val="32"/>
          <w:szCs w:val="32"/>
        </w:rPr>
        <w:t>渝发改规范</w:t>
      </w:r>
      <w:r>
        <w:rPr>
          <w:rFonts w:hint="default" w:ascii="Times New Roman" w:hAnsi="Times New Roman" w:eastAsia="方正仿宋_GBK" w:cs="Times New Roman"/>
          <w:color w:val="000000"/>
          <w:kern w:val="0"/>
          <w:sz w:val="32"/>
          <w:szCs w:val="32"/>
          <w:lang w:val="en-US" w:eastAsia="zh-CN"/>
        </w:rPr>
        <w:t>〔2021〕1</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sz w:val="32"/>
          <w:szCs w:val="32"/>
        </w:rPr>
        <w:t>）精神，结合我区实际，报经区政府</w:t>
      </w:r>
      <w:r>
        <w:rPr>
          <w:rFonts w:hint="default" w:ascii="Times New Roman" w:hAnsi="Times New Roman" w:eastAsia="方正仿宋_GBK" w:cs="Times New Roman"/>
          <w:sz w:val="32"/>
          <w:szCs w:val="32"/>
          <w:lang w:eastAsia="zh-CN"/>
        </w:rPr>
        <w:t>同意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制定了</w:t>
      </w:r>
      <w:r>
        <w:rPr>
          <w:rFonts w:hint="default" w:ascii="Times New Roman" w:hAnsi="Times New Roman" w:eastAsia="方正仿宋_GBK" w:cs="Times New Roman"/>
          <w:color w:val="000000"/>
          <w:spacing w:val="-10"/>
          <w:sz w:val="32"/>
          <w:szCs w:val="32"/>
        </w:rPr>
        <w:t>我区公办幼儿园保教费收费标准及</w:t>
      </w:r>
      <w:r>
        <w:rPr>
          <w:rFonts w:hint="default" w:ascii="Times New Roman" w:hAnsi="Times New Roman" w:eastAsia="方正仿宋_GBK" w:cs="Times New Roman"/>
          <w:sz w:val="32"/>
          <w:szCs w:val="32"/>
        </w:rPr>
        <w:t>增设延时保育费项目，</w:t>
      </w:r>
      <w:r>
        <w:rPr>
          <w:rFonts w:hint="default" w:ascii="Times New Roman" w:hAnsi="Times New Roman" w:eastAsia="方正仿宋_GBK" w:cs="Times New Roman"/>
          <w:color w:val="000000"/>
          <w:spacing w:val="-10"/>
          <w:sz w:val="32"/>
          <w:szCs w:val="32"/>
        </w:rPr>
        <w:t>现将有关事宜通知如下</w:t>
      </w:r>
      <w:r>
        <w:rPr>
          <w:rFonts w:hint="default" w:ascii="Times New Roman" w:hAnsi="Times New Roman" w:eastAsia="方正仿宋_GBK" w:cs="Times New Roman"/>
          <w:color w:val="000000"/>
          <w:spacing w:val="-10"/>
          <w:sz w:val="32"/>
          <w:szCs w:val="32"/>
          <w:lang w:eastAsia="zh-CN"/>
        </w:rPr>
        <w:t>。</w:t>
      </w:r>
    </w:p>
    <w:p w14:paraId="13B7AF33">
      <w:pPr>
        <w:pStyle w:val="14"/>
        <w:keepNext w:val="0"/>
        <w:keepLines w:val="0"/>
        <w:pageBreakBefore w:val="0"/>
        <w:widowControl/>
        <w:numPr>
          <w:ilvl w:val="0"/>
          <w:numId w:val="0"/>
        </w:numPr>
        <w:kinsoku/>
        <w:wordWrap/>
        <w:overflowPunct/>
        <w:topLinePunct w:val="0"/>
        <w:autoSpaceDE/>
        <w:autoSpaceDN/>
        <w:bidi w:val="0"/>
        <w:adjustRightInd/>
        <w:snapToGrid/>
        <w:spacing w:line="560" w:lineRule="atLeast"/>
        <w:ind w:left="1363" w:leftChars="0" w:hanging="720" w:firstLineChars="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一、</w:t>
      </w:r>
      <w:r>
        <w:rPr>
          <w:rFonts w:hint="eastAsia" w:ascii="方正黑体_GBK" w:hAnsi="方正黑体_GBK" w:eastAsia="方正黑体_GBK" w:cs="方正黑体_GBK"/>
          <w:color w:val="000000"/>
          <w:kern w:val="0"/>
          <w:sz w:val="32"/>
          <w:szCs w:val="32"/>
        </w:rPr>
        <w:t>保教费收费标准</w:t>
      </w:r>
    </w:p>
    <w:p w14:paraId="5014E577">
      <w:pPr>
        <w:pStyle w:val="14"/>
        <w:keepNext w:val="0"/>
        <w:keepLines w:val="0"/>
        <w:pageBreakBefore w:val="0"/>
        <w:widowControl/>
        <w:tabs>
          <w:tab w:val="right" w:pos="8124"/>
        </w:tabs>
        <w:kinsoku/>
        <w:wordWrap/>
        <w:overflowPunct/>
        <w:topLinePunct w:val="0"/>
        <w:autoSpaceDE/>
        <w:autoSpaceDN/>
        <w:bidi w:val="0"/>
        <w:adjustRightInd/>
        <w:snapToGrid/>
        <w:spacing w:line="560" w:lineRule="atLeast"/>
        <w:ind w:left="0" w:leftChars="0" w:firstLine="640" w:firstLineChars="20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重庆市璧山区公办幼儿园保教费政府指导价标准</w:t>
      </w:r>
      <w:r>
        <w:rPr>
          <w:rFonts w:hint="default" w:ascii="Times New Roman" w:hAnsi="Times New Roman" w:eastAsia="方正仿宋_GBK" w:cs="Times New Roman"/>
          <w:color w:val="000000"/>
          <w:kern w:val="0"/>
          <w:sz w:val="32"/>
          <w:szCs w:val="32"/>
          <w:lang w:eastAsia="zh-CN"/>
        </w:rPr>
        <w:tab/>
      </w:r>
    </w:p>
    <w:p w14:paraId="7FE50C71">
      <w:pPr>
        <w:pStyle w:val="14"/>
        <w:keepNext w:val="0"/>
        <w:keepLines w:val="0"/>
        <w:pageBreakBefore w:val="0"/>
        <w:widowControl/>
        <w:kinsoku/>
        <w:wordWrap/>
        <w:overflowPunct/>
        <w:topLinePunct w:val="0"/>
        <w:autoSpaceDE/>
        <w:autoSpaceDN/>
        <w:bidi w:val="0"/>
        <w:adjustRightInd/>
        <w:snapToGrid/>
        <w:spacing w:line="560" w:lineRule="atLeast"/>
        <w:ind w:firstLine="6400" w:firstLineChars="2000"/>
        <w:jc w:val="left"/>
        <w:textAlignment w:val="auto"/>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color w:val="000000"/>
          <w:kern w:val="0"/>
          <w:sz w:val="32"/>
          <w:szCs w:val="32"/>
        </w:rPr>
        <w:t>单位：元/生·月</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532"/>
        <w:gridCol w:w="4114"/>
      </w:tblGrid>
      <w:tr w14:paraId="0691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017870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一级幼儿园</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4227A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全日制</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14:paraId="7DDD6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600</w:t>
            </w:r>
          </w:p>
        </w:tc>
      </w:tr>
      <w:tr w14:paraId="39E6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179C1E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二级幼儿园</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066531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全日制</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14:paraId="0A84F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500</w:t>
            </w:r>
          </w:p>
        </w:tc>
      </w:tr>
      <w:tr w14:paraId="6C70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62D3F5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三级幼儿园</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458360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全日制</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14:paraId="6C2B54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400</w:t>
            </w:r>
          </w:p>
        </w:tc>
      </w:tr>
      <w:tr w14:paraId="2EBF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28F299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未定级或未达等级</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6BDDF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全日制</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14:paraId="521F8B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200</w:t>
            </w:r>
          </w:p>
        </w:tc>
      </w:tr>
      <w:tr w14:paraId="262C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14:paraId="45BB42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w:t>
            </w:r>
          </w:p>
        </w:tc>
        <w:tc>
          <w:tcPr>
            <w:tcW w:w="66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29F898">
            <w:pPr>
              <w:pStyle w:val="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1.未提供午餐午睡的收费标准，按照同等级全日制收费标准的70%收取；</w:t>
            </w:r>
          </w:p>
          <w:p w14:paraId="4D8B5E47">
            <w:pPr>
              <w:pStyle w:val="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2.寄宿制（含住宿费）收费标准在同等级全日制收费标准基础上上浮不超过30%；</w:t>
            </w:r>
          </w:p>
          <w:p w14:paraId="3C64242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3.市级示范幼儿园可在一级幼儿园收费标准基础上上浮不超过25%</w:t>
            </w:r>
            <w:r>
              <w:rPr>
                <w:rFonts w:hint="default" w:ascii="Times New Roman" w:hAnsi="Times New Roman" w:eastAsia="方正仿宋_GBK" w:cs="Times New Roman"/>
                <w:sz w:val="32"/>
                <w:szCs w:val="32"/>
                <w:lang w:eastAsia="zh-CN"/>
              </w:rPr>
              <w:t>。</w:t>
            </w:r>
          </w:p>
        </w:tc>
      </w:tr>
    </w:tbl>
    <w:p w14:paraId="7AD7D32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二、增设延时保育费服务性收费项目</w:t>
      </w:r>
    </w:p>
    <w:p w14:paraId="1B6ABE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增设延时保育费服务性收费项目，延时保育时间为</w:t>
      </w:r>
      <w:r>
        <w:rPr>
          <w:rFonts w:hint="default" w:ascii="Times New Roman" w:hAnsi="Times New Roman" w:eastAsia="方正仿宋_GBK" w:cs="Times New Roman"/>
          <w:sz w:val="32"/>
          <w:szCs w:val="32"/>
        </w:rPr>
        <w:t>每天的</w:t>
      </w:r>
      <w:r>
        <w:rPr>
          <w:rFonts w:hint="default" w:ascii="Times New Roman" w:hAnsi="Times New Roman" w:eastAsia="方正仿宋_GBK" w:cs="Times New Roman"/>
          <w:color w:val="000000"/>
          <w:kern w:val="0"/>
          <w:sz w:val="32"/>
          <w:szCs w:val="32"/>
          <w:lang w:val="en-US" w:eastAsia="zh-CN"/>
        </w:rPr>
        <w:t>16:30</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color w:val="000000"/>
          <w:kern w:val="0"/>
          <w:sz w:val="32"/>
          <w:szCs w:val="32"/>
          <w:lang w:val="en-US" w:eastAsia="zh-CN"/>
        </w:rPr>
        <w:t>18:00</w:t>
      </w:r>
      <w:r>
        <w:rPr>
          <w:rFonts w:hint="default" w:ascii="Times New Roman" w:hAnsi="Times New Roman" w:eastAsia="方正仿宋_GBK" w:cs="Times New Roman"/>
          <w:color w:val="000000"/>
          <w:kern w:val="0"/>
          <w:sz w:val="32"/>
          <w:szCs w:val="32"/>
        </w:rPr>
        <w:t>，收费标准为</w:t>
      </w:r>
      <w:r>
        <w:rPr>
          <w:rFonts w:hint="default" w:ascii="Times New Roman" w:hAnsi="Times New Roman" w:eastAsia="方正仿宋_GBK"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rPr>
        <w:t>元/生·次，半小时以内免费，按月结算。</w:t>
      </w:r>
    </w:p>
    <w:p w14:paraId="2EA3016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项服务性收费应当坚持自愿原则，严禁强迫幼儿参加。延时保育服务的主要内容应以看管和幼儿自主游戏为主，不得开展兴趣班、文化课等具有小学化倾向的内容。延时保育费收入主要用于参与延时保育服务的保育人员补助、保障幼儿园开展延时保育服务开支。</w:t>
      </w:r>
    </w:p>
    <w:p w14:paraId="3017AA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14:paraId="7CBE7A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（一）加强政策宣传。</w:t>
      </w:r>
      <w:r>
        <w:rPr>
          <w:rFonts w:hint="default" w:ascii="Times New Roman" w:hAnsi="Times New Roman" w:eastAsia="方正仿宋_GBK" w:cs="Times New Roman"/>
          <w:sz w:val="32"/>
          <w:szCs w:val="32"/>
        </w:rPr>
        <w:t>各相关部门要加强协同配合，认真做好政策宣传，积极回应社会关切，确保政策顺利实施。</w:t>
      </w:r>
    </w:p>
    <w:p w14:paraId="1A8CAB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kern w:val="0"/>
          <w:sz w:val="32"/>
          <w:szCs w:val="32"/>
        </w:rPr>
        <w:t>（二）严格执行政策。</w:t>
      </w:r>
      <w:r>
        <w:rPr>
          <w:rFonts w:hint="default" w:ascii="Times New Roman" w:hAnsi="Times New Roman" w:eastAsia="方正仿宋_GBK" w:cs="Times New Roman"/>
          <w:kern w:val="0"/>
          <w:sz w:val="32"/>
          <w:szCs w:val="32"/>
        </w:rPr>
        <w:t>幼儿园应建立健全收费管理制度，自觉执行学前教育收费政策，相关职能部门将严肃查处幼儿园违反国家学前教育收费法律法规、政策和本通知规定的行为。</w:t>
      </w:r>
    </w:p>
    <w:p w14:paraId="3000104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（三）做好收费公示。</w:t>
      </w:r>
      <w:r>
        <w:rPr>
          <w:rFonts w:hint="default" w:ascii="Times New Roman" w:hAnsi="Times New Roman" w:eastAsia="方正仿宋_GBK" w:cs="Times New Roman"/>
          <w:kern w:val="0"/>
          <w:sz w:val="32"/>
          <w:szCs w:val="32"/>
        </w:rPr>
        <w:t>幼儿园应通过设立公示栏、公示牌、公示墙等形式，向社会公示收费项目、收费标准等相关内容，广泛接受社会、群众监督。</w:t>
      </w:r>
    </w:p>
    <w:p w14:paraId="38FAE8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w:t>
      </w:r>
      <w:r>
        <w:rPr>
          <w:rFonts w:hint="eastAsia" w:ascii="方正楷体_GBK" w:hAnsi="方正楷体_GBK" w:eastAsia="方正楷体_GBK" w:cs="方正楷体_GBK"/>
          <w:sz w:val="32"/>
          <w:szCs w:val="32"/>
        </w:rPr>
        <w:t>提高保教质量。</w:t>
      </w:r>
      <w:r>
        <w:rPr>
          <w:rFonts w:hint="default" w:ascii="Times New Roman" w:hAnsi="Times New Roman" w:eastAsia="方正仿宋_GBK" w:cs="Times New Roman"/>
          <w:sz w:val="32"/>
          <w:szCs w:val="32"/>
        </w:rPr>
        <w:t>区教委等相关部门要加强对幼儿园相关工作的指导、监督，幼儿园应改善办园条件，不断提高办园水平，提高保教质量。</w:t>
      </w:r>
    </w:p>
    <w:p w14:paraId="362BE9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四、执行时间</w:t>
      </w:r>
    </w:p>
    <w:p w14:paraId="1B5CBD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本文件自2025年2月1日起施行</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原《关于调整璧山区公办幼儿园保育教育费收费标准及增设延时保育费项目的通知》（璧发改〔2021〕211号）文件同时废止。</w:t>
      </w:r>
    </w:p>
    <w:p w14:paraId="72F19219">
      <w:pPr>
        <w:keepNext w:val="0"/>
        <w:keepLines w:val="0"/>
        <w:pageBreakBefore w:val="0"/>
        <w:widowControl w:val="0"/>
        <w:kinsoku/>
        <w:wordWrap/>
        <w:overflowPunct/>
        <w:topLinePunct w:val="0"/>
        <w:autoSpaceDE/>
        <w:autoSpaceDN/>
        <w:bidi w:val="0"/>
        <w:adjustRightInd/>
        <w:snapToGrid/>
        <w:spacing w:line="560" w:lineRule="exact"/>
        <w:ind w:firstLine="3300" w:firstLineChars="1100"/>
        <w:jc w:val="distribute"/>
        <w:textAlignment w:val="auto"/>
        <w:rPr>
          <w:rFonts w:hint="default" w:ascii="Times New Roman" w:hAnsi="Times New Roman" w:eastAsia="方正仿宋_GBK" w:cs="Times New Roman"/>
          <w:color w:val="000000"/>
          <w:spacing w:val="-10"/>
          <w:sz w:val="32"/>
          <w:szCs w:val="32"/>
        </w:rPr>
      </w:pPr>
      <w:bookmarkStart w:id="0" w:name="_GoBack"/>
      <w:bookmarkEnd w:id="0"/>
    </w:p>
    <w:p w14:paraId="59FCCDA4">
      <w:pPr>
        <w:keepNext w:val="0"/>
        <w:keepLines w:val="0"/>
        <w:pageBreakBefore w:val="0"/>
        <w:widowControl w:val="0"/>
        <w:kinsoku/>
        <w:wordWrap/>
        <w:overflowPunct/>
        <w:topLinePunct w:val="0"/>
        <w:autoSpaceDE/>
        <w:autoSpaceDN/>
        <w:bidi w:val="0"/>
        <w:adjustRightInd/>
        <w:snapToGrid/>
        <w:spacing w:line="560" w:lineRule="exact"/>
        <w:ind w:firstLine="3300" w:firstLineChars="1100"/>
        <w:jc w:val="distribute"/>
        <w:textAlignment w:val="auto"/>
        <w:rPr>
          <w:rFonts w:hint="default" w:ascii="Times New Roman" w:hAnsi="Times New Roman" w:eastAsia="方正仿宋_GBK" w:cs="Times New Roman"/>
          <w:color w:val="000000"/>
          <w:spacing w:val="-10"/>
          <w:sz w:val="32"/>
          <w:szCs w:val="32"/>
        </w:rPr>
      </w:pPr>
      <w:r>
        <w:rPr>
          <w:rFonts w:hint="default" w:ascii="Times New Roman" w:hAnsi="Times New Roman" w:eastAsia="方正仿宋_GBK" w:cs="Times New Roman"/>
          <w:color w:val="000000"/>
          <w:spacing w:val="-10"/>
          <w:sz w:val="32"/>
          <w:szCs w:val="32"/>
        </w:rPr>
        <w:t>重庆市璧山区发展和改革委员会</w:t>
      </w:r>
    </w:p>
    <w:p w14:paraId="5202B96B">
      <w:pPr>
        <w:keepNext w:val="0"/>
        <w:keepLines w:val="0"/>
        <w:pageBreakBefore w:val="0"/>
        <w:widowControl w:val="0"/>
        <w:kinsoku/>
        <w:wordWrap/>
        <w:overflowPunct/>
        <w:topLinePunct w:val="0"/>
        <w:autoSpaceDE/>
        <w:autoSpaceDN/>
        <w:bidi w:val="0"/>
        <w:adjustRightInd/>
        <w:snapToGrid/>
        <w:spacing w:line="560" w:lineRule="exact"/>
        <w:ind w:left="-21" w:leftChars="-10"/>
        <w:jc w:val="distribute"/>
        <w:textAlignment w:val="auto"/>
        <w:rPr>
          <w:rFonts w:hint="default" w:ascii="Times New Roman" w:hAnsi="Times New Roman" w:eastAsia="方正仿宋_GBK" w:cs="Times New Roman"/>
          <w:color w:val="000000"/>
          <w:spacing w:val="-10"/>
          <w:sz w:val="32"/>
          <w:szCs w:val="32"/>
          <w:lang w:val="en-US" w:eastAsia="zh-CN"/>
        </w:rPr>
      </w:pPr>
      <w:r>
        <w:rPr>
          <w:rFonts w:hint="default" w:ascii="Times New Roman" w:hAnsi="Times New Roman" w:eastAsia="方正仿宋_GBK" w:cs="Times New Roman"/>
          <w:color w:val="000000"/>
          <w:spacing w:val="-10"/>
          <w:sz w:val="32"/>
          <w:szCs w:val="32"/>
          <w:lang w:val="en-US" w:eastAsia="zh-CN"/>
        </w:rPr>
        <w:t xml:space="preserve">                        </w:t>
      </w:r>
      <w:r>
        <w:rPr>
          <w:rFonts w:hint="default" w:ascii="Times New Roman" w:hAnsi="Times New Roman" w:eastAsia="方正仿宋_GBK" w:cs="Times New Roman"/>
          <w:color w:val="000000"/>
          <w:spacing w:val="-10"/>
          <w:sz w:val="32"/>
          <w:szCs w:val="32"/>
        </w:rPr>
        <w:t>重庆市璧山区财政局</w:t>
      </w:r>
      <w:r>
        <w:rPr>
          <w:rFonts w:hint="default" w:ascii="Times New Roman" w:hAnsi="Times New Roman" w:eastAsia="方正仿宋_GBK" w:cs="Times New Roman"/>
          <w:color w:val="000000"/>
          <w:spacing w:val="-10"/>
          <w:sz w:val="32"/>
          <w:szCs w:val="32"/>
          <w:lang w:val="en-US" w:eastAsia="zh-CN"/>
        </w:rPr>
        <w:t xml:space="preserve">        </w:t>
      </w:r>
    </w:p>
    <w:p w14:paraId="7B3A6498">
      <w:pPr>
        <w:keepNext w:val="0"/>
        <w:keepLines w:val="0"/>
        <w:pageBreakBefore w:val="0"/>
        <w:widowControl w:val="0"/>
        <w:kinsoku/>
        <w:wordWrap/>
        <w:overflowPunct/>
        <w:topLinePunct w:val="0"/>
        <w:autoSpaceDE/>
        <w:autoSpaceDN/>
        <w:bidi w:val="0"/>
        <w:adjustRightInd/>
        <w:snapToGrid/>
        <w:spacing w:line="560" w:lineRule="exact"/>
        <w:ind w:firstLine="3300" w:firstLineChars="1100"/>
        <w:jc w:val="distribute"/>
        <w:textAlignment w:val="auto"/>
        <w:rPr>
          <w:rFonts w:hint="default" w:ascii="Times New Roman" w:hAnsi="Times New Roman" w:eastAsia="方正仿宋_GBK" w:cs="Times New Roman"/>
          <w:color w:val="000000"/>
          <w:spacing w:val="-10"/>
          <w:sz w:val="32"/>
          <w:szCs w:val="32"/>
        </w:rPr>
      </w:pPr>
      <w:r>
        <w:rPr>
          <w:rFonts w:hint="default" w:ascii="Times New Roman" w:hAnsi="Times New Roman" w:eastAsia="方正仿宋_GBK" w:cs="Times New Roman"/>
          <w:color w:val="000000"/>
          <w:spacing w:val="-10"/>
          <w:sz w:val="32"/>
          <w:szCs w:val="32"/>
        </w:rPr>
        <w:t>重庆市璧山区教育委员会</w:t>
      </w:r>
    </w:p>
    <w:p w14:paraId="1215CDD3">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_GBK" w:cs="Times New Roman"/>
          <w:color w:val="000000"/>
          <w:spacing w:val="-10"/>
          <w:sz w:val="32"/>
          <w:szCs w:val="32"/>
        </w:rPr>
      </w:pPr>
      <w:r>
        <w:rPr>
          <w:rFonts w:hint="default" w:ascii="Times New Roman" w:hAnsi="Times New Roman" w:eastAsia="方正仿宋_GBK" w:cs="Times New Roman"/>
          <w:color w:val="000000"/>
          <w:spacing w:val="-10"/>
          <w:sz w:val="32"/>
          <w:szCs w:val="32"/>
        </w:rPr>
        <w:t>202</w:t>
      </w:r>
      <w:r>
        <w:rPr>
          <w:rFonts w:hint="default" w:ascii="Times New Roman" w:hAnsi="Times New Roman" w:eastAsia="方正仿宋_GBK" w:cs="Times New Roman"/>
          <w:color w:val="000000"/>
          <w:spacing w:val="-10"/>
          <w:sz w:val="32"/>
          <w:szCs w:val="32"/>
          <w:lang w:val="en-US" w:eastAsia="zh-CN"/>
        </w:rPr>
        <w:t>4</w:t>
      </w:r>
      <w:r>
        <w:rPr>
          <w:rFonts w:hint="default" w:ascii="Times New Roman" w:hAnsi="Times New Roman" w:eastAsia="方正仿宋_GBK" w:cs="Times New Roman"/>
          <w:color w:val="000000"/>
          <w:spacing w:val="-10"/>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color w:val="000000"/>
          <w:spacing w:val="-10"/>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color w:val="000000"/>
          <w:spacing w:val="-10"/>
          <w:sz w:val="32"/>
          <w:szCs w:val="32"/>
        </w:rPr>
        <w:t>日</w:t>
      </w:r>
    </w:p>
    <w:p w14:paraId="77E0011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000000"/>
          <w:spacing w:val="-10"/>
          <w:sz w:val="32"/>
          <w:szCs w:val="32"/>
          <w:lang w:eastAsia="zh-CN"/>
        </w:rPr>
      </w:pPr>
    </w:p>
    <w:p w14:paraId="0F694BB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color w:val="000000"/>
          <w:spacing w:val="-10"/>
          <w:sz w:val="32"/>
          <w:szCs w:val="32"/>
          <w:lang w:eastAsia="zh-CN"/>
        </w:rPr>
        <w:t>（此件公开发布）</w:t>
      </w:r>
    </w:p>
    <w:p w14:paraId="019990B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3A2DBDDF">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4A9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9FD8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29FD8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919FC4">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重庆市璧山区发展和改革委员会</w:t>
    </w:r>
    <w:r>
      <w:rPr>
        <w:rFonts w:hint="eastAsia" w:ascii="宋体" w:hAnsi="宋体" w:eastAsia="宋体" w:cs="宋体"/>
        <w:b/>
        <w:bCs/>
        <w:color w:val="005192"/>
        <w:sz w:val="28"/>
        <w:szCs w:val="44"/>
        <w:lang w:val="en-US" w:eastAsia="zh-CN"/>
      </w:rPr>
      <w:t xml:space="preserve">发布     </w:t>
    </w:r>
  </w:p>
  <w:p w14:paraId="6B853F97">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8AC8">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D74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6D50E90">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重庆市璧山区发展和改革委员会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60F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WI4ZmMzMjQ5NDUzYThmZjRlYmU4Y2U2ODE1OWYifQ=="/>
  </w:docVars>
  <w:rsids>
    <w:rsidRoot w:val="00172A27"/>
    <w:rsid w:val="00C967D6"/>
    <w:rsid w:val="019E71BD"/>
    <w:rsid w:val="01E93D58"/>
    <w:rsid w:val="04B679C3"/>
    <w:rsid w:val="05F07036"/>
    <w:rsid w:val="06E00104"/>
    <w:rsid w:val="080F63D8"/>
    <w:rsid w:val="09341458"/>
    <w:rsid w:val="098254C2"/>
    <w:rsid w:val="0A766EDE"/>
    <w:rsid w:val="0AD64BE8"/>
    <w:rsid w:val="0B0912D7"/>
    <w:rsid w:val="0E025194"/>
    <w:rsid w:val="0E4705D1"/>
    <w:rsid w:val="0EEF0855"/>
    <w:rsid w:val="11DB7C71"/>
    <w:rsid w:val="11EF4693"/>
    <w:rsid w:val="152D2DCA"/>
    <w:rsid w:val="17D66D1D"/>
    <w:rsid w:val="187168EA"/>
    <w:rsid w:val="196673CA"/>
    <w:rsid w:val="1CF734C9"/>
    <w:rsid w:val="1DEC284C"/>
    <w:rsid w:val="1E6523AC"/>
    <w:rsid w:val="22440422"/>
    <w:rsid w:val="22BB4BBB"/>
    <w:rsid w:val="25EB1AF4"/>
    <w:rsid w:val="28AC626C"/>
    <w:rsid w:val="2967522D"/>
    <w:rsid w:val="2DD05FE1"/>
    <w:rsid w:val="2E841449"/>
    <w:rsid w:val="2EAE3447"/>
    <w:rsid w:val="31A15F24"/>
    <w:rsid w:val="36FB1DF0"/>
    <w:rsid w:val="395347B5"/>
    <w:rsid w:val="39A232A0"/>
    <w:rsid w:val="39E745AA"/>
    <w:rsid w:val="3B5A6BBB"/>
    <w:rsid w:val="3BAF400E"/>
    <w:rsid w:val="3CA154E3"/>
    <w:rsid w:val="3E255C01"/>
    <w:rsid w:val="3E5D2271"/>
    <w:rsid w:val="3EDA13A6"/>
    <w:rsid w:val="3FF56C14"/>
    <w:rsid w:val="413C693C"/>
    <w:rsid w:val="417B75E9"/>
    <w:rsid w:val="42430A63"/>
    <w:rsid w:val="42F058B7"/>
    <w:rsid w:val="436109F6"/>
    <w:rsid w:val="4372414C"/>
    <w:rsid w:val="441A38D4"/>
    <w:rsid w:val="4504239D"/>
    <w:rsid w:val="4BC77339"/>
    <w:rsid w:val="4C9236C5"/>
    <w:rsid w:val="4D8A607A"/>
    <w:rsid w:val="4E250A85"/>
    <w:rsid w:val="4FFD4925"/>
    <w:rsid w:val="505C172E"/>
    <w:rsid w:val="506405EA"/>
    <w:rsid w:val="52F46F0B"/>
    <w:rsid w:val="532B6A10"/>
    <w:rsid w:val="539E4E99"/>
    <w:rsid w:val="53D8014D"/>
    <w:rsid w:val="550C209A"/>
    <w:rsid w:val="55E064E0"/>
    <w:rsid w:val="572C6D10"/>
    <w:rsid w:val="5A6C083F"/>
    <w:rsid w:val="5DC34279"/>
    <w:rsid w:val="5FCD688E"/>
    <w:rsid w:val="5FF9BDAA"/>
    <w:rsid w:val="608816D1"/>
    <w:rsid w:val="60DC1937"/>
    <w:rsid w:val="60EF4E7F"/>
    <w:rsid w:val="648B0A32"/>
    <w:rsid w:val="651D6819"/>
    <w:rsid w:val="658F6764"/>
    <w:rsid w:val="65E322FD"/>
    <w:rsid w:val="665233C1"/>
    <w:rsid w:val="68764B35"/>
    <w:rsid w:val="69AC0D42"/>
    <w:rsid w:val="6AD9688B"/>
    <w:rsid w:val="6B68303F"/>
    <w:rsid w:val="6D0E3F22"/>
    <w:rsid w:val="726B5E58"/>
    <w:rsid w:val="744E4660"/>
    <w:rsid w:val="747F58E7"/>
    <w:rsid w:val="753355A2"/>
    <w:rsid w:val="759F1C61"/>
    <w:rsid w:val="769F2DE8"/>
    <w:rsid w:val="76FDEB7C"/>
    <w:rsid w:val="79C65162"/>
    <w:rsid w:val="79EE7E31"/>
    <w:rsid w:val="7B42141C"/>
    <w:rsid w:val="7C9011D9"/>
    <w:rsid w:val="7D3B25C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3" w:lineRule="auto"/>
      <w:jc w:val="center"/>
      <w:outlineLvl w:val="2"/>
    </w:pPr>
    <w:rPr>
      <w:rFonts w:ascii="Times New Roman" w:hAnsi="Times New Roman" w:eastAsia="宋体"/>
      <w:b/>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1019</Words>
  <Characters>1068</Characters>
  <Lines>1</Lines>
  <Paragraphs>1</Paragraphs>
  <TotalTime>0</TotalTime>
  <ScaleCrop>false</ScaleCrop>
  <LinksUpToDate>false</LinksUpToDate>
  <CharactersWithSpaces>1105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轻风</cp:lastModifiedBy>
  <cp:lastPrinted>2022-06-06T16:09:00Z</cp:lastPrinted>
  <dcterms:modified xsi:type="dcterms:W3CDTF">2025-02-13T01:13:11Z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57ADE23A51D34961A30EB2E7A7C16A5A_13</vt:lpwstr>
  </property>
  <property fmtid="{D5CDD505-2E9C-101B-9397-08002B2CF9AE}" pid="4" name="KSOTemplateDocerSaveRecord">
    <vt:lpwstr>eyJoZGlkIjoiZDljYWI4ZmMzMjQ5NDUzYThmZjRlYmU4Y2U2ODE1OWYiLCJ1c2VySWQiOiI1NjM5Njk5MjkifQ==</vt:lpwstr>
  </property>
</Properties>
</file>