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重庆市璧山区石院小学校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重庆市璧山区石院小学校主要工作职责：坚持以党中央的政策方针为指导，以科学发展观统领学校全局发展，坚持依法治教、依法治学，贯彻执行区教委等上级部门的行政规章制度，围绕学校建设发展的目标和任务，指导、管理、检查、评价本校的教育教学工作，紧紧依靠全校教职工，办学质量、办学水平和办学校效益明显提高，创新服务意识进一步加强。学校以“山泉”为主题文化，以实现“山泉浸润、润物无声”特色。学校办学条件良好，基础设施齐全。具有音乐室、美术室、实验室、图书室、科技室、劳动室、多媒体教室、阅览室等功能室，每个班级均有班班通现代教育设备一套。按照义务教育课程计划，开齐课程，开足课时，认真实施中小学的教育教学管理，全面推进素质教育，全面提高教育教学质量, 培养德、智、体、美、劳全面发展的社会主义建设者和接班人。认真完成上级部门交办的各种任务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重庆市璧山区石院小学校</w:t>
      </w:r>
      <w:r>
        <w:rPr>
          <w:rFonts w:hint="eastAsia" w:ascii="Times New Roman" w:hAnsi="Times New Roman" w:eastAsia="方正仿宋_GBK" w:cs="Times New Roman"/>
          <w:sz w:val="32"/>
          <w:szCs w:val="32"/>
          <w:lang w:eastAsia="zh-CN"/>
        </w:rPr>
        <w:t>内设机构</w:t>
      </w:r>
      <w:r>
        <w:rPr>
          <w:rFonts w:hint="eastAsia" w:ascii="Times New Roman" w:hAnsi="Times New Roman" w:eastAsia="方正仿宋_GBK" w:cs="Times New Roman"/>
          <w:sz w:val="32"/>
          <w:szCs w:val="32"/>
          <w:lang w:val="en-US" w:eastAsia="zh-CN"/>
        </w:rPr>
        <w:t>2个，各机构规范简称依次为：石院小学教导处、石院小学总务处。学校附属一所一级幼儿园。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eastAsia="zh-CN"/>
        </w:rPr>
        <w:t>单位</w:t>
      </w:r>
      <w:r>
        <w:rPr>
          <w:rFonts w:hint="default" w:ascii="Times New Roman" w:hAnsi="Times New Roman" w:eastAsia="方正黑体_GBK" w:cs="Times New Roman"/>
          <w:sz w:val="32"/>
          <w:szCs w:val="32"/>
          <w:u w:val="none"/>
        </w:rPr>
        <w:t>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665.71</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655.71</w:t>
      </w:r>
      <w:r>
        <w:rPr>
          <w:rFonts w:hint="default" w:ascii="Times New Roman" w:hAnsi="Times New Roman" w:eastAsia="方正仿宋_GBK" w:cs="Times New Roman"/>
          <w:sz w:val="32"/>
          <w:szCs w:val="32"/>
        </w:rPr>
        <w:t>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事业收入资金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万元，上级补助收入资金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万元，附属单位上缴收入资金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万元，事业单位经营收入资金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万元，其他收入资金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57.5</w:t>
      </w:r>
      <w:r>
        <w:rPr>
          <w:rFonts w:hint="default" w:ascii="Times New Roman" w:hAnsi="Times New Roman" w:eastAsia="方正仿宋_GBK" w:cs="Times New Roman"/>
          <w:sz w:val="32"/>
          <w:szCs w:val="32"/>
        </w:rPr>
        <w:t>万元，主要是一般公共预算拨款增加</w:t>
      </w:r>
      <w:r>
        <w:rPr>
          <w:rFonts w:hint="eastAsia" w:ascii="Times New Roman" w:hAnsi="Times New Roman" w:eastAsia="方正仿宋_GBK" w:cs="Times New Roman"/>
          <w:sz w:val="32"/>
          <w:szCs w:val="32"/>
          <w:lang w:val="en-US" w:eastAsia="zh-CN"/>
        </w:rPr>
        <w:t>73.5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财政专户管理资金减少</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665.71</w:t>
      </w:r>
      <w:r>
        <w:rPr>
          <w:rFonts w:hint="default" w:ascii="Times New Roman" w:hAnsi="Times New Roman" w:eastAsia="方正仿宋_GBK" w:cs="Times New Roman"/>
          <w:sz w:val="32"/>
          <w:szCs w:val="32"/>
        </w:rPr>
        <w:t>万元，其中：一般公共服务支出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万元，教育支出409.05万元，社会保障和就业支出196.46万元，卫生健康支出35.66万元，住房保障支出24.54万元；支出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57.5</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36.66</w:t>
      </w:r>
      <w:r>
        <w:rPr>
          <w:rFonts w:hint="default" w:ascii="Times New Roman" w:hAnsi="Times New Roman" w:eastAsia="方正仿宋_GBK" w:cs="Times New Roman"/>
          <w:sz w:val="32"/>
          <w:szCs w:val="32"/>
        </w:rPr>
        <w:t>万元，项目支出增加</w:t>
      </w:r>
      <w:r>
        <w:rPr>
          <w:rFonts w:hint="eastAsia" w:ascii="Times New Roman" w:hAnsi="Times New Roman" w:eastAsia="方正仿宋_GBK" w:cs="Times New Roman"/>
          <w:sz w:val="32"/>
          <w:szCs w:val="32"/>
          <w:lang w:val="en-US" w:eastAsia="zh-CN"/>
        </w:rPr>
        <w:t>20.84</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按照我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eastAsia="zh-CN"/>
        </w:rPr>
        <w:t>预算</w:t>
      </w:r>
      <w:r>
        <w:rPr>
          <w:rFonts w:hint="eastAsia" w:ascii="Times New Roman" w:hAnsi="Times New Roman" w:eastAsia="方正仿宋_GBK" w:cs="Times New Roman"/>
          <w:sz w:val="32"/>
          <w:szCs w:val="32"/>
          <w:highlight w:val="none"/>
          <w:lang w:eastAsia="zh-CN"/>
        </w:rPr>
        <w:t>管理要求</w:t>
      </w:r>
      <w:r>
        <w:rPr>
          <w:rFonts w:hint="default" w:ascii="Times New Roman" w:hAnsi="Times New Roman" w:eastAsia="方正仿宋_GBK" w:cs="Times New Roman"/>
          <w:sz w:val="32"/>
          <w:szCs w:val="32"/>
          <w:highlight w:val="none"/>
          <w:lang w:eastAsia="zh-CN"/>
        </w:rPr>
        <w:t>，结转金额已纳入相应性质的资金收入中进行反映，上述收入包括202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年结转并编制到202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年预算的资金</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655.71</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655.71</w:t>
      </w:r>
      <w:r>
        <w:rPr>
          <w:rFonts w:hint="default"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73.5</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618.87</w:t>
      </w:r>
      <w:r>
        <w:rPr>
          <w:rFonts w:hint="default" w:ascii="Times New Roman" w:hAnsi="Times New Roman" w:eastAsia="方正仿宋_GBK" w:cs="Times New Roman"/>
          <w:sz w:val="32"/>
          <w:szCs w:val="32"/>
        </w:rPr>
        <w:t>万元，主要用于保障在职人员工资福利及社会保险缴费、退休人员补助等，保障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36.66</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2024年有结转资金，教师工资调标及社保缴费增加等</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36.84</w:t>
      </w:r>
      <w:r>
        <w:rPr>
          <w:rFonts w:hint="default" w:ascii="Times New Roman" w:hAnsi="Times New Roman" w:eastAsia="方正仿宋_GBK" w:cs="Times New Roman"/>
          <w:sz w:val="32"/>
          <w:szCs w:val="32"/>
        </w:rPr>
        <w:t>万元，主要用于</w:t>
      </w:r>
      <w:r>
        <w:rPr>
          <w:rFonts w:hint="eastAsia" w:ascii="Times New Roman" w:hAnsi="Times New Roman" w:eastAsia="方正仿宋_GBK" w:cs="Times New Roman"/>
          <w:sz w:val="32"/>
          <w:szCs w:val="32"/>
          <w:lang w:eastAsia="zh-CN"/>
        </w:rPr>
        <w:t>学校维修改造等工作</w:t>
      </w:r>
      <w:r>
        <w:rPr>
          <w:rFonts w:hint="default" w:ascii="Times New Roman" w:hAnsi="Times New Roman" w:eastAsia="方正仿宋_GBK" w:cs="Times New Roman"/>
          <w:sz w:val="32"/>
          <w:szCs w:val="32"/>
        </w:rPr>
        <w:t>，比202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36.84</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学校有维修改造等项目工程</w:t>
      </w:r>
      <w:bookmarkStart w:id="0" w:name="_GoBack"/>
      <w:bookmarkEnd w:id="0"/>
      <w:r>
        <w:rPr>
          <w:rFonts w:hint="eastAsia" w:ascii="Times New Roman" w:hAnsi="Times New Roman" w:eastAsia="方正仿宋_GBK" w:cs="Times New Roman"/>
          <w:sz w:val="32"/>
          <w:szCs w:val="32"/>
          <w:lang w:eastAsia="zh-CN"/>
        </w:rPr>
        <w:t>以及有</w:t>
      </w:r>
      <w:r>
        <w:rPr>
          <w:rFonts w:hint="eastAsia" w:ascii="Times New Roman" w:hAnsi="Times New Roman" w:eastAsia="方正仿宋_GBK" w:cs="Times New Roman"/>
          <w:sz w:val="32"/>
          <w:szCs w:val="32"/>
          <w:lang w:val="en-US" w:eastAsia="zh-CN"/>
        </w:rPr>
        <w:t>2024年结转资金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lang w:eastAsia="zh-CN"/>
        </w:rPr>
      </w:pPr>
      <w:r>
        <w:rPr>
          <w:rFonts w:hint="eastAsia" w:ascii="Times New Roman" w:hAnsi="Times New Roman" w:eastAsia="方正仿宋_GBK" w:cs="Times New Roman"/>
          <w:sz w:val="32"/>
          <w:szCs w:val="32"/>
          <w:lang w:eastAsia="zh-CN"/>
        </w:rPr>
        <w:t>我校</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年无使用政府性基金预算拨款安排的支出，与上年保持一致</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sz w:val="32"/>
          <w:szCs w:val="32"/>
          <w:lang w:eastAsia="zh-CN"/>
        </w:rPr>
        <w:t>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val="0"/>
          <w:sz w:val="32"/>
          <w:lang w:eastAsia="zh-CN"/>
        </w:rPr>
      </w:pPr>
      <w:r>
        <w:rPr>
          <w:rFonts w:hint="eastAsia" w:ascii="Times New Roman" w:hAnsi="Times New Roman" w:eastAsia="方正仿宋_GBK" w:cs="Times New Roman"/>
          <w:sz w:val="32"/>
          <w:szCs w:val="32"/>
          <w:lang w:eastAsia="zh-CN"/>
        </w:rPr>
        <w:t>我</w:t>
      </w:r>
      <w:r>
        <w:rPr>
          <w:rFonts w:hint="eastAsia" w:ascii="Times New Roman" w:hAnsi="Times New Roman" w:eastAsia="方正仿宋_GBK" w:cs="Times New Roman"/>
          <w:b w:val="0"/>
          <w:bCs w:val="0"/>
          <w:sz w:val="32"/>
          <w:lang w:eastAsia="zh-CN"/>
        </w:rPr>
        <w:t>校</w:t>
      </w:r>
      <w:r>
        <w:rPr>
          <w:rFonts w:hint="default" w:ascii="Times New Roman" w:hAnsi="Times New Roman" w:eastAsia="方正仿宋_GBK" w:cs="Times New Roman"/>
          <w:b w:val="0"/>
          <w:bCs w:val="0"/>
          <w:sz w:val="32"/>
          <w:lang w:eastAsia="zh-CN"/>
        </w:rPr>
        <w:t>202</w:t>
      </w:r>
      <w:r>
        <w:rPr>
          <w:rFonts w:hint="eastAsia" w:ascii="Times New Roman" w:hAnsi="Times New Roman" w:eastAsia="方正仿宋_GBK" w:cs="Times New Roman"/>
          <w:b w:val="0"/>
          <w:bCs w:val="0"/>
          <w:sz w:val="32"/>
          <w:lang w:val="en-US" w:eastAsia="zh-CN"/>
        </w:rPr>
        <w:t>5</w:t>
      </w:r>
      <w:r>
        <w:rPr>
          <w:rFonts w:hint="default" w:ascii="Times New Roman" w:hAnsi="Times New Roman" w:eastAsia="方正仿宋_GBK" w:cs="Times New Roman"/>
          <w:b w:val="0"/>
          <w:bCs w:val="0"/>
          <w:sz w:val="32"/>
          <w:lang w:eastAsia="zh-CN"/>
        </w:rPr>
        <w:t>年无使用国有资本经营预算拨款安排的支出，与上年保持一致</w:t>
      </w:r>
      <w:r>
        <w:rPr>
          <w:rFonts w:hint="eastAsia" w:ascii="Times New Roman" w:hAnsi="Times New Roman" w:eastAsia="方正仿宋_GBK" w:cs="Times New Roman"/>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。其中：因公出国（境）费用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无人员出国</w:t>
      </w:r>
      <w:r>
        <w:rPr>
          <w:rFonts w:hint="default"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，主要原因是学校厉行节约，减少业务接待等；公务用车运行维护费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无公务用车</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无公务用车购置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rPr>
        <w:t>我单位不在机关运行经费统计范围之内。</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w:t>
      </w:r>
      <w:r>
        <w:rPr>
          <w:rFonts w:hint="eastAsia"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年项目支出均实行了绩效目标管理，涉及一般公共预算财政拨款</w:t>
      </w:r>
      <w:r>
        <w:rPr>
          <w:rFonts w:hint="eastAsia" w:ascii="Times New Roman" w:hAnsi="Times New Roman" w:eastAsia="方正仿宋_GBK" w:cs="Times New Roman"/>
          <w:sz w:val="32"/>
          <w:szCs w:val="32"/>
          <w:lang w:val="en-US" w:eastAsia="zh-CN"/>
        </w:rPr>
        <w:t>36.84</w:t>
      </w:r>
      <w:r>
        <w:rPr>
          <w:rFonts w:hint="default" w:ascii="Times New Roman" w:hAnsi="Times New Roman" w:eastAsia="方正仿宋_GBK" w:cs="Times New Roman"/>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pPr>
        <w:spacing w:line="600" w:lineRule="exact"/>
        <w:ind w:firstLine="640" w:firstLineChars="200"/>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谭学志</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41750531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附表：石院小学2025年单位预算公开套表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39E740C"/>
    <w:rsid w:val="04BE14CA"/>
    <w:rsid w:val="09313CA7"/>
    <w:rsid w:val="0A016F4E"/>
    <w:rsid w:val="0D7A365A"/>
    <w:rsid w:val="133B1901"/>
    <w:rsid w:val="13A377FC"/>
    <w:rsid w:val="19DB55F5"/>
    <w:rsid w:val="19FB3499"/>
    <w:rsid w:val="1DD801A3"/>
    <w:rsid w:val="1E245C46"/>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3C0F95"/>
    <w:rsid w:val="3CFC635A"/>
    <w:rsid w:val="3FA6066E"/>
    <w:rsid w:val="43B34232"/>
    <w:rsid w:val="43FE5D4B"/>
    <w:rsid w:val="453C6991"/>
    <w:rsid w:val="472A7DD8"/>
    <w:rsid w:val="489617E1"/>
    <w:rsid w:val="4C5865E7"/>
    <w:rsid w:val="4D5D69EE"/>
    <w:rsid w:val="4F7B0954"/>
    <w:rsid w:val="52ED0A24"/>
    <w:rsid w:val="57D6155E"/>
    <w:rsid w:val="58B1010A"/>
    <w:rsid w:val="59184A67"/>
    <w:rsid w:val="59425DC2"/>
    <w:rsid w:val="5A254D94"/>
    <w:rsid w:val="5B8E1A9F"/>
    <w:rsid w:val="5C29059F"/>
    <w:rsid w:val="5CF21E57"/>
    <w:rsid w:val="5D3B3937"/>
    <w:rsid w:val="5EB0464F"/>
    <w:rsid w:val="5EC516D5"/>
    <w:rsid w:val="64D129B0"/>
    <w:rsid w:val="650307B6"/>
    <w:rsid w:val="678A2E55"/>
    <w:rsid w:val="67920983"/>
    <w:rsid w:val="6A952AB8"/>
    <w:rsid w:val="6AA0021E"/>
    <w:rsid w:val="6D0C5944"/>
    <w:rsid w:val="6D45389E"/>
    <w:rsid w:val="6DBE1879"/>
    <w:rsid w:val="714F4183"/>
    <w:rsid w:val="71597F39"/>
    <w:rsid w:val="735A2366"/>
    <w:rsid w:val="76667543"/>
    <w:rsid w:val="787968A4"/>
    <w:rsid w:val="794C38BE"/>
    <w:rsid w:val="79CF62B4"/>
    <w:rsid w:val="7A255E8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2705</Words>
  <Characters>2886</Characters>
  <Lines>8</Lines>
  <Paragraphs>2</Paragraphs>
  <TotalTime>48</TotalTime>
  <ScaleCrop>false</ScaleCrop>
  <LinksUpToDate>false</LinksUpToDate>
  <CharactersWithSpaces>2896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2025-02-10T03:17:33Z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867B625CAEBE4D9E94570AB4284630FA_13</vt:lpwstr>
  </property>
  <property fmtid="{D5CDD505-2E9C-101B-9397-08002B2CF9AE}" pid="4" name="KSOTemplateDocerSaveRecord">
    <vt:lpwstr>eyJoZGlkIjoiYTMwOWQ1NWUyZTJkNGJjNTMwOGRjYjNkYzljZjllZmIiLCJ1c2VySWQiOiIzNDQzODQ1MzgifQ==</vt:lpwstr>
  </property>
</Properties>
</file>