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w:t>
      </w:r>
      <w:r>
        <w:rPr>
          <w:rFonts w:ascii="Times New Roman" w:hAnsi="Times New Roman" w:eastAsia="方正小标宋_GBK"/>
          <w:sz w:val="44"/>
          <w:szCs w:val="44"/>
        </w:rPr>
        <w:t>璧山区大兴小学校</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rPr>
        <w:t>5</w:t>
      </w:r>
      <w:r>
        <w:rPr>
          <w:rFonts w:ascii="Times New Roman" w:hAnsi="Times New Roman" w:eastAsia="方正小标宋_GBK"/>
          <w:sz w:val="44"/>
          <w:szCs w:val="44"/>
        </w:rPr>
        <w:t>年</w:t>
      </w:r>
      <w:r>
        <w:rPr>
          <w:rFonts w:hint="eastAsia" w:ascii="Times New Roman" w:hAnsi="Times New Roman" w:eastAsia="方正小标宋_GBK"/>
          <w:sz w:val="44"/>
          <w:szCs w:val="44"/>
        </w:rPr>
        <w:t>单位</w:t>
      </w:r>
      <w:r>
        <w:rPr>
          <w:rFonts w:ascii="Times New Roman" w:hAnsi="Times New Roman" w:eastAsia="方正小标宋_GBK"/>
          <w:sz w:val="44"/>
          <w:szCs w:val="44"/>
        </w:rPr>
        <w:t>预算情况说明</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单位</w:t>
      </w:r>
      <w:r>
        <w:rPr>
          <w:rFonts w:ascii="Times New Roman" w:hAnsi="Times New Roman" w:eastAsia="方正黑体_GBK"/>
          <w:sz w:val="32"/>
          <w:szCs w:val="32"/>
        </w:rPr>
        <w:t>基本情况</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全面负责学校工作，认真贯彻落实党和国家的方针、政策，正确执行上级主管部门的决议和指示，全面实施素质教育，培养德、智、体、美等方面全面发展的社会主义事业的建设者和接班人。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组织制定和实施校舍建设和校园建设规划，加强对财务工作的领导，正确使用各项经费，不断改善办学条件，强化安全工作管理，创造良好的育人环境。</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改善教职工的福利生活，提高福利待遇，努力解除教职工的后顾之忧。加强与党支部的合作，主动接受学校党组织的监督，搞好领导班子的团结和协作。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靠群众办学，实行民主管理和民主监督。负责定期向教代会报告工作，充分发挥教代会参与学校民主管理和民主监督的作用，支持其在职权范围内所做的有关决定。督促和检查教代会提案的办理与落实。主持学校与学生家长及社会的联系工作和外来工作。搞好校际间的交往；做好与社会各界的联系工作，争取各方面力量对学校的支持，为办好学校创造良好的外部条件。</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单位</w:t>
      </w:r>
      <w:r>
        <w:rPr>
          <w:rFonts w:ascii="Times New Roman" w:hAnsi="Times New Roman" w:eastAsia="方正楷体_GBK"/>
          <w:sz w:val="32"/>
          <w:szCs w:val="32"/>
        </w:rPr>
        <w:t>构成</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重庆市璧山区大兴小学校地处璧山西部，交通便利，地理条件十分优越。下设总务处、教导处和德育处。学校占地14085.00平方米，校舍建筑面积11607.62平方米，学生运动场地3800余平方米。目前学校共开有12个小学教学班，在校学生</w:t>
      </w:r>
      <w:r>
        <w:rPr>
          <w:rFonts w:hint="eastAsia" w:ascii="Times New Roman" w:hAnsi="Times New Roman" w:eastAsia="方正楷体_GBK"/>
          <w:sz w:val="32"/>
          <w:szCs w:val="32"/>
          <w:lang w:val="en-US" w:eastAsia="zh-CN"/>
        </w:rPr>
        <w:t>432</w:t>
      </w:r>
      <w:r>
        <w:rPr>
          <w:rFonts w:hint="eastAsia" w:ascii="Times New Roman" w:hAnsi="Times New Roman" w:eastAsia="方正楷体_GBK"/>
          <w:sz w:val="32"/>
          <w:szCs w:val="32"/>
        </w:rPr>
        <w:t>人，幼儿园教学班3个，在园幼儿</w:t>
      </w:r>
      <w:r>
        <w:rPr>
          <w:rFonts w:ascii="Times New Roman" w:hAnsi="Times New Roman" w:eastAsia="方正楷体_GBK"/>
          <w:sz w:val="32"/>
          <w:szCs w:val="32"/>
        </w:rPr>
        <w:t>8</w:t>
      </w:r>
      <w:r>
        <w:rPr>
          <w:rFonts w:hint="eastAsia" w:ascii="Times New Roman" w:hAnsi="Times New Roman" w:eastAsia="方正楷体_GBK"/>
          <w:sz w:val="32"/>
          <w:szCs w:val="32"/>
          <w:lang w:val="en-US" w:eastAsia="zh-CN"/>
        </w:rPr>
        <w:t>6</w:t>
      </w:r>
      <w:r>
        <w:rPr>
          <w:rFonts w:hint="eastAsia" w:ascii="Times New Roman" w:hAnsi="Times New Roman" w:eastAsia="方正楷体_GBK"/>
          <w:sz w:val="32"/>
          <w:szCs w:val="32"/>
        </w:rPr>
        <w:t>人。在编在岗教职工</w:t>
      </w:r>
      <w:r>
        <w:rPr>
          <w:rFonts w:hint="eastAsia" w:ascii="Times New Roman" w:hAnsi="Times New Roman" w:eastAsia="方正楷体_GBK"/>
          <w:sz w:val="32"/>
          <w:szCs w:val="32"/>
          <w:lang w:val="en-US" w:eastAsia="zh-CN"/>
        </w:rPr>
        <w:t>39</w:t>
      </w:r>
      <w:r>
        <w:rPr>
          <w:rFonts w:hint="eastAsia" w:ascii="Times New Roman" w:hAnsi="Times New Roman" w:eastAsia="方正楷体_GBK"/>
          <w:sz w:val="32"/>
          <w:szCs w:val="32"/>
        </w:rPr>
        <w:t>人。学校逐步形成了“兴文尚礼，大写人生”的办学理念，育人目标“知书达理，和融共进”。</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单位</w:t>
      </w:r>
      <w:r>
        <w:rPr>
          <w:rFonts w:ascii="Times New Roman" w:hAnsi="Times New Roman" w:eastAsia="方正黑体_GBK"/>
          <w:sz w:val="32"/>
          <w:szCs w:val="32"/>
        </w:rPr>
        <w:t>收支总体情况</w:t>
      </w:r>
    </w:p>
    <w:p>
      <w:pPr>
        <w:spacing w:line="600" w:lineRule="exact"/>
        <w:ind w:firstLine="640" w:firstLineChars="200"/>
        <w:rPr>
          <w:rFonts w:ascii="Times New Roman" w:hAnsi="Times New Roman" w:eastAsia="方正仿宋_GBK"/>
          <w:sz w:val="32"/>
          <w:szCs w:val="32"/>
          <w:highlight w:val="yellow"/>
        </w:rPr>
      </w:pPr>
      <w:r>
        <w:rPr>
          <w:rFonts w:ascii="Times New Roman" w:hAnsi="Times New Roman" w:eastAsia="方正楷体_GBK"/>
          <w:sz w:val="32"/>
          <w:szCs w:val="32"/>
        </w:rPr>
        <w:t>（一）收入预算：</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1453.75万元，其中：一般公共预算拨款1411.25万元，政府性基金预算拨款0万元，国有资本经营预算拨款0万元，财政专户管理资金42.5万元，事业收入资金0万元，上级补助收入资金0万元，附属单位上缴收入资金0万元，事业单位经营收入资金0万元，其他收入资金0万元；收入</w:t>
      </w:r>
      <w:r>
        <w:rPr>
          <w:rFonts w:hint="eastAsia" w:ascii="Times New Roman" w:hAnsi="Times New Roman" w:eastAsia="方正仿宋_GBK"/>
          <w:sz w:val="32"/>
          <w:szCs w:val="32"/>
        </w:rPr>
        <w:t>比2024年</w:t>
      </w:r>
      <w:r>
        <w:rPr>
          <w:rFonts w:ascii="Times New Roman" w:hAnsi="Times New Roman" w:eastAsia="方正仿宋_GBK"/>
          <w:sz w:val="32"/>
          <w:szCs w:val="32"/>
        </w:rPr>
        <w:t>增加</w:t>
      </w:r>
      <w:r>
        <w:rPr>
          <w:rFonts w:hint="eastAsia" w:ascii="Times New Roman" w:hAnsi="Times New Roman" w:eastAsia="方正仿宋_GBK"/>
          <w:sz w:val="32"/>
          <w:szCs w:val="32"/>
        </w:rPr>
        <w:t>2</w:t>
      </w:r>
      <w:r>
        <w:rPr>
          <w:rFonts w:ascii="Times New Roman" w:hAnsi="Times New Roman" w:eastAsia="方正仿宋_GBK"/>
          <w:sz w:val="32"/>
          <w:szCs w:val="32"/>
        </w:rPr>
        <w:t>1.55万元，主要是一般公共预算拨款增加</w:t>
      </w:r>
      <w:r>
        <w:rPr>
          <w:rFonts w:hint="eastAsia" w:ascii="Times New Roman" w:hAnsi="Times New Roman" w:eastAsia="方正仿宋_GBK"/>
          <w:sz w:val="32"/>
          <w:szCs w:val="32"/>
        </w:rPr>
        <w:t>2</w:t>
      </w:r>
      <w:r>
        <w:rPr>
          <w:rFonts w:ascii="Times New Roman" w:hAnsi="Times New Roman" w:eastAsia="方正仿宋_GBK"/>
          <w:sz w:val="32"/>
          <w:szCs w:val="32"/>
        </w:rPr>
        <w:t>4.05万元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财政专户管理资金减少2.5万元</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（二）支出预算：</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年年初预算数1453.75万元，其中：一般公共服务支出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万元，教育支出836.04万元，社会保障和就业支出447.75万元，卫生健康支出77.15万元，住房保障支出50.31万元；支出</w:t>
      </w:r>
      <w:r>
        <w:rPr>
          <w:rFonts w:hint="eastAsia" w:ascii="Times New Roman" w:hAnsi="Times New Roman" w:eastAsia="方正仿宋_GBK"/>
          <w:sz w:val="32"/>
          <w:szCs w:val="32"/>
        </w:rPr>
        <w:t>比2024年</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21.55</w:t>
      </w:r>
      <w:r>
        <w:rPr>
          <w:rFonts w:ascii="Times New Roman" w:hAnsi="Times New Roman" w:eastAsia="方正仿宋_GBK"/>
          <w:sz w:val="32"/>
          <w:szCs w:val="32"/>
        </w:rPr>
        <w:t>万元，主要是</w:t>
      </w:r>
      <w:r>
        <w:rPr>
          <w:rFonts w:hint="eastAsia" w:ascii="Times New Roman" w:hAnsi="Times New Roman" w:eastAsia="方正仿宋_GBK"/>
          <w:sz w:val="32"/>
          <w:szCs w:val="32"/>
          <w:lang w:val="en-US" w:eastAsia="zh-CN"/>
        </w:rPr>
        <w:t>基本支出减少37.62，</w:t>
      </w:r>
      <w:r>
        <w:rPr>
          <w:rFonts w:ascii="Times New Roman" w:hAnsi="Times New Roman" w:eastAsia="方正仿宋_GBK"/>
          <w:sz w:val="32"/>
          <w:szCs w:val="32"/>
        </w:rPr>
        <w:t>项目支出增加</w:t>
      </w:r>
      <w:r>
        <w:rPr>
          <w:rFonts w:hint="eastAsia" w:ascii="Times New Roman" w:hAnsi="Times New Roman" w:eastAsia="方正仿宋_GBK"/>
          <w:sz w:val="32"/>
          <w:szCs w:val="32"/>
          <w:lang w:val="en-US" w:eastAsia="zh-CN"/>
        </w:rPr>
        <w:t>59.18</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按照我</w:t>
      </w:r>
      <w:r>
        <w:rPr>
          <w:rFonts w:hint="eastAsia" w:ascii="Times New Roman" w:hAnsi="Times New Roman" w:eastAsia="方正仿宋_GBK"/>
          <w:sz w:val="32"/>
          <w:szCs w:val="32"/>
        </w:rPr>
        <w:t>区</w:t>
      </w:r>
      <w:r>
        <w:rPr>
          <w:rFonts w:ascii="Times New Roman" w:hAnsi="Times New Roman" w:eastAsia="方正仿宋_GBK"/>
          <w:sz w:val="32"/>
          <w:szCs w:val="32"/>
        </w:rPr>
        <w:t>预算</w:t>
      </w:r>
      <w:r>
        <w:rPr>
          <w:rFonts w:hint="eastAsia" w:ascii="Times New Roman" w:hAnsi="Times New Roman" w:eastAsia="方正仿宋_GBK"/>
          <w:sz w:val="32"/>
          <w:szCs w:val="32"/>
        </w:rPr>
        <w:t>管理要求</w:t>
      </w:r>
      <w:r>
        <w:rPr>
          <w:rFonts w:ascii="Times New Roman" w:hAnsi="Times New Roman" w:eastAsia="方正仿宋_GBK"/>
          <w:sz w:val="32"/>
          <w:szCs w:val="32"/>
        </w:rPr>
        <w:t>，结转金额已纳入相应性质的资金收入中进行反映，上述收入包括202</w:t>
      </w:r>
      <w:r>
        <w:rPr>
          <w:rFonts w:hint="eastAsia" w:ascii="Times New Roman" w:hAnsi="Times New Roman" w:eastAsia="方正仿宋_GBK"/>
          <w:sz w:val="32"/>
          <w:szCs w:val="32"/>
        </w:rPr>
        <w:t>4</w:t>
      </w:r>
      <w:r>
        <w:rPr>
          <w:rFonts w:ascii="Times New Roman" w:hAnsi="Times New Roman" w:eastAsia="方正仿宋_GBK"/>
          <w:sz w:val="32"/>
          <w:szCs w:val="32"/>
        </w:rPr>
        <w:t>年结转并编制到202</w:t>
      </w:r>
      <w:r>
        <w:rPr>
          <w:rFonts w:hint="eastAsia" w:ascii="Times New Roman" w:hAnsi="Times New Roman" w:eastAsia="方正仿宋_GBK"/>
          <w:sz w:val="32"/>
          <w:szCs w:val="32"/>
        </w:rPr>
        <w:t>5</w:t>
      </w:r>
      <w:r>
        <w:rPr>
          <w:rFonts w:ascii="Times New Roman" w:hAnsi="Times New Roman" w:eastAsia="方正仿宋_GBK"/>
          <w:sz w:val="32"/>
          <w:szCs w:val="32"/>
        </w:rPr>
        <w:t>年预算的资金</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单位预算</w:t>
      </w:r>
      <w:r>
        <w:rPr>
          <w:rFonts w:ascii="Times New Roman" w:hAnsi="Times New Roman" w:eastAsia="方正黑体_GBK"/>
          <w:sz w:val="32"/>
          <w:szCs w:val="32"/>
        </w:rPr>
        <w:t>情况说明</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（一）一般公共预算财政拨款收支。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年一般公共预算财政拨款收入1,411.25万元，一般公共预算财政拨款支出1,411.25万元，比202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24.05</w:t>
      </w:r>
      <w:r>
        <w:rPr>
          <w:rFonts w:ascii="Times New Roman" w:hAnsi="Times New Roman" w:eastAsia="方正仿宋_GBK"/>
          <w:sz w:val="32"/>
          <w:szCs w:val="32"/>
        </w:rPr>
        <w:t>万元。其中：基本支出1342.78万元，主要用于保障在职人员工资福利及社会保险缴费、离休人员离休费、退休人员补助等，保障</w:t>
      </w:r>
      <w:r>
        <w:rPr>
          <w:rFonts w:hint="eastAsia" w:ascii="Times New Roman" w:hAnsi="Times New Roman" w:eastAsia="方正仿宋_GBK"/>
          <w:sz w:val="32"/>
          <w:szCs w:val="32"/>
        </w:rPr>
        <w:t>单位</w:t>
      </w:r>
      <w:r>
        <w:rPr>
          <w:rFonts w:ascii="Times New Roman" w:hAnsi="Times New Roman" w:eastAsia="方正仿宋_GBK"/>
          <w:sz w:val="32"/>
          <w:szCs w:val="32"/>
        </w:rPr>
        <w:t>正常运转的各项商品服务支出，比202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增加减少37.62</w:t>
      </w:r>
      <w:r>
        <w:rPr>
          <w:rFonts w:ascii="Times New Roman" w:hAnsi="Times New Roman" w:eastAsia="方正仿宋_GBK"/>
          <w:sz w:val="32"/>
          <w:szCs w:val="32"/>
        </w:rPr>
        <w:t>万元，主要原因是</w:t>
      </w:r>
      <w:r>
        <w:rPr>
          <w:rFonts w:hint="eastAsia" w:ascii="Times New Roman" w:hAnsi="Times New Roman" w:eastAsia="方正仿宋_GBK"/>
          <w:sz w:val="32"/>
          <w:szCs w:val="32"/>
        </w:rPr>
        <w:t>人员</w:t>
      </w:r>
      <w:r>
        <w:rPr>
          <w:rFonts w:hint="eastAsia" w:ascii="Times New Roman" w:hAnsi="Times New Roman" w:eastAsia="方正仿宋_GBK"/>
          <w:sz w:val="32"/>
          <w:szCs w:val="32"/>
          <w:lang w:val="en-US" w:eastAsia="zh-CN"/>
        </w:rPr>
        <w:t>减少</w:t>
      </w:r>
      <w:r>
        <w:rPr>
          <w:rFonts w:ascii="Times New Roman" w:hAnsi="Times New Roman" w:eastAsia="方正仿宋_GBK"/>
          <w:sz w:val="32"/>
          <w:szCs w:val="32"/>
        </w:rPr>
        <w:t>；项目支出</w:t>
      </w:r>
      <w:r>
        <w:rPr>
          <w:rFonts w:hint="eastAsia" w:ascii="Times New Roman" w:hAnsi="Times New Roman" w:eastAsia="方正仿宋_GBK"/>
          <w:sz w:val="32"/>
          <w:szCs w:val="32"/>
        </w:rPr>
        <w:t>68.48</w:t>
      </w:r>
      <w:r>
        <w:rPr>
          <w:rFonts w:ascii="Times New Roman" w:hAnsi="Times New Roman" w:eastAsia="方正仿宋_GBK"/>
          <w:sz w:val="32"/>
          <w:szCs w:val="32"/>
        </w:rPr>
        <w:t>万元，主要用于重点工作，比202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61.68</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增加了其他商品服务支出和大型修缮</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（二）政府性基金预算财政拨款收支。</w:t>
      </w:r>
    </w:p>
    <w:p>
      <w:pPr>
        <w:spacing w:line="600" w:lineRule="exact"/>
        <w:ind w:firstLine="640" w:firstLineChars="200"/>
        <w:rPr>
          <w:rFonts w:hint="eastAsia" w:ascii="Times New Roman" w:hAnsi="Times New Roman" w:eastAsia="方正仿宋_GBK"/>
          <w:sz w:val="32"/>
        </w:rPr>
      </w:pPr>
      <w:r>
        <w:rPr>
          <w:rFonts w:ascii="Times New Roman" w:hAnsi="Times New Roman" w:eastAsia="方正仿宋_GBK"/>
          <w:bCs/>
          <w:sz w:val="32"/>
        </w:rPr>
        <w:t>202</w:t>
      </w:r>
      <w:r>
        <w:rPr>
          <w:rFonts w:hint="eastAsia" w:ascii="Times New Roman" w:hAnsi="Times New Roman" w:eastAsia="方正仿宋_GBK"/>
          <w:bCs/>
          <w:sz w:val="32"/>
        </w:rPr>
        <w:t>5</w:t>
      </w:r>
      <w:r>
        <w:rPr>
          <w:rFonts w:ascii="Times New Roman" w:hAnsi="Times New Roman" w:eastAsia="方正仿宋_GBK"/>
          <w:bCs/>
          <w:sz w:val="32"/>
        </w:rPr>
        <w:t>年无使用政府性基金预算拨款安排的支出，与上年保持一致</w:t>
      </w:r>
      <w:r>
        <w:rPr>
          <w:rFonts w:hint="eastAsia" w:ascii="Times New Roman" w:hAnsi="Times New Roman" w:eastAsia="方正仿宋_GBK"/>
          <w:bCs/>
          <w:sz w:val="32"/>
        </w:rPr>
        <w:t>。</w:t>
      </w:r>
    </w:p>
    <w:p>
      <w:pPr>
        <w:numPr>
          <w:ilvl w:val="0"/>
          <w:numId w:val="1"/>
        </w:num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rPr>
        <w:t>国有资本经营预算</w:t>
      </w:r>
      <w:r>
        <w:rPr>
          <w:rFonts w:hint="eastAsia" w:ascii="Times New Roman" w:hAnsi="Times New Roman" w:eastAsia="方正仿宋_GBK"/>
          <w:sz w:val="32"/>
          <w:szCs w:val="32"/>
        </w:rPr>
        <w:t>财政拨款收支。</w:t>
      </w:r>
    </w:p>
    <w:p>
      <w:pPr>
        <w:spacing w:line="600" w:lineRule="exact"/>
        <w:ind w:firstLine="640" w:firstLineChars="200"/>
        <w:rPr>
          <w:rFonts w:hint="eastAsia" w:ascii="Times New Roman" w:hAnsi="Times New Roman" w:eastAsia="方正仿宋_GBK"/>
          <w:sz w:val="32"/>
        </w:rPr>
      </w:pPr>
      <w:r>
        <w:rPr>
          <w:rFonts w:ascii="Times New Roman" w:hAnsi="Times New Roman" w:eastAsia="方正仿宋_GBK"/>
          <w:bCs/>
          <w:sz w:val="32"/>
        </w:rPr>
        <w:t>202</w:t>
      </w:r>
      <w:r>
        <w:rPr>
          <w:rFonts w:hint="eastAsia" w:ascii="Times New Roman" w:hAnsi="Times New Roman" w:eastAsia="方正仿宋_GBK"/>
          <w:bCs/>
          <w:sz w:val="32"/>
        </w:rPr>
        <w:t>5</w:t>
      </w:r>
      <w:r>
        <w:rPr>
          <w:rFonts w:ascii="Times New Roman" w:hAnsi="Times New Roman" w:eastAsia="方正仿宋_GBK"/>
          <w:bCs/>
          <w:sz w:val="32"/>
        </w:rPr>
        <w:t>年无使用国有资本经营预算拨款安排的支出，与上年保持一致</w:t>
      </w:r>
      <w:r>
        <w:rPr>
          <w:rFonts w:hint="eastAsia" w:ascii="Times New Roman" w:hAnsi="Times New Roman" w:eastAsia="方正仿宋_GBK"/>
          <w:bCs/>
          <w:sz w:val="32"/>
        </w:rPr>
        <w:t>。</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四、“三公”经费情况说明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1.95</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0.95</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1.95</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0.95</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上年资金结转</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，；公务用车购置费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五、其他重要事项的情况说明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方正楷体_GBK" w:hAnsi="方正楷体_GBK" w:eastAsia="方正楷体_GBK" w:cs="方正楷体_GBK"/>
          <w:sz w:val="32"/>
        </w:rPr>
        <w:t>机关运行经费</w:t>
      </w:r>
      <w:r>
        <w:rPr>
          <w:rFonts w:ascii="Times New Roman" w:hAnsi="Times New Roman" w:eastAsia="方正仿宋_GBK"/>
          <w:sz w:val="32"/>
          <w:szCs w:val="32"/>
        </w:rPr>
        <w:t>。</w:t>
      </w:r>
    </w:p>
    <w:p>
      <w:pPr>
        <w:ind w:firstLine="640" w:firstLineChars="200"/>
        <w:rPr>
          <w:rFonts w:ascii="Times New Roman" w:hAnsi="Times New Roman" w:eastAsia="方正仿宋_GBK"/>
          <w:b/>
          <w:bCs/>
          <w:sz w:val="32"/>
        </w:rPr>
      </w:pPr>
      <w:r>
        <w:rPr>
          <w:rFonts w:ascii="Times New Roman" w:hAnsi="Times New Roman" w:eastAsia="方正仿宋_GBK"/>
          <w:sz w:val="32"/>
        </w:rPr>
        <w:t>我单位不在机关运行经费统计范围之内。</w:t>
      </w:r>
      <w:r>
        <w:rPr>
          <w:rFonts w:ascii="Times New Roman" w:hAnsi="Times New Roman" w:eastAsia="方正仿宋_GBK"/>
          <w:b/>
          <w:bCs/>
          <w:sz w:val="32"/>
        </w:rPr>
        <w:t>（事业单位）</w:t>
      </w:r>
    </w:p>
    <w:p>
      <w:pPr>
        <w:numPr>
          <w:ilvl w:val="0"/>
          <w:numId w:val="2"/>
        </w:num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政府采购情况</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2025年</w:t>
      </w:r>
      <w:r>
        <w:rPr>
          <w:rFonts w:ascii="Times New Roman" w:hAnsi="Times New Roman" w:eastAsia="方正仿宋_GBK"/>
          <w:sz w:val="32"/>
          <w:szCs w:val="32"/>
        </w:rPr>
        <w:t>政府采购预算总额</w:t>
      </w:r>
      <w:r>
        <w:rPr>
          <w:rFonts w:hint="eastAsia" w:ascii="Times New Roman" w:hAnsi="Times New Roman" w:eastAsia="方正仿宋_GBK"/>
          <w:sz w:val="32"/>
          <w:szCs w:val="32"/>
          <w:lang w:val="en-US" w:eastAsia="zh-CN"/>
        </w:rPr>
        <w:t>4.48</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4.48</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万元；其中一般公共预算拨款政府采购</w:t>
      </w:r>
      <w:r>
        <w:rPr>
          <w:rFonts w:hint="eastAsia" w:ascii="Times New Roman" w:hAnsi="Times New Roman" w:eastAsia="方正仿宋_GBK"/>
          <w:sz w:val="32"/>
          <w:szCs w:val="32"/>
          <w:lang w:val="en-US" w:eastAsia="zh-CN"/>
        </w:rPr>
        <w:t>4.48</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4.48</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numPr>
          <w:ilvl w:val="0"/>
          <w:numId w:val="2"/>
        </w:num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绩效目标设置情况</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年项目支出均实行了绩效目标管理，涉及一般公共预算财政拨款</w:t>
      </w:r>
      <w:r>
        <w:rPr>
          <w:rFonts w:hint="eastAsia" w:ascii="Times New Roman" w:hAnsi="Times New Roman" w:eastAsia="方正仿宋_GBK"/>
          <w:sz w:val="32"/>
          <w:szCs w:val="32"/>
          <w:lang w:val="en-US" w:eastAsia="zh-CN"/>
        </w:rPr>
        <w:t>68.48</w:t>
      </w:r>
      <w:r>
        <w:rPr>
          <w:rFonts w:ascii="Times New Roman" w:hAnsi="Times New Roman" w:eastAsia="方正仿宋_GBK"/>
          <w:sz w:val="32"/>
          <w:szCs w:val="32"/>
        </w:rPr>
        <w:t>万元。</w:t>
      </w:r>
      <w:bookmarkStart w:id="0" w:name="_GoBack"/>
      <w:bookmarkEnd w:id="0"/>
    </w:p>
    <w:p>
      <w:pPr>
        <w:numPr>
          <w:ilvl w:val="0"/>
          <w:numId w:val="2"/>
        </w:num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国有资产占有使用情况</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截至2024年12月，</w:t>
      </w:r>
      <w:r>
        <w:rPr>
          <w:rFonts w:hint="eastAsia" w:ascii="Times New Roman" w:hAnsi="Times New Roman" w:eastAsia="方正仿宋_GBK"/>
          <w:sz w:val="32"/>
          <w:szCs w:val="32"/>
        </w:rPr>
        <w:t>本</w:t>
      </w:r>
      <w:r>
        <w:rPr>
          <w:rFonts w:ascii="Times New Roman" w:hAnsi="Times New Roman" w:eastAsia="方正仿宋_GBK"/>
          <w:sz w:val="32"/>
          <w:szCs w:val="32"/>
        </w:rPr>
        <w:t>单位共有车辆</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辆，其中业务用车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辆，机要通信用车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辆，应急保障用车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辆，特种专业技术用车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辆，其他按照规定配备的公务用车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辆。2025年一般公共预算安排购置车辆</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辆，其中业务用车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辆，机要通信用车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辆，应急保障用车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辆，特种专业技术用车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辆，其他按照规定配备的公务用车</w:t>
      </w:r>
      <w:r>
        <w:rPr>
          <w:rFonts w:hint="eastAsia" w:ascii="Times New Roman" w:hAnsi="Times New Roman" w:eastAsia="方正仿宋_GBK"/>
          <w:sz w:val="32"/>
          <w:szCs w:val="32"/>
          <w:lang w:eastAsia="zh-CN"/>
        </w:rPr>
        <w:t>0</w:t>
      </w:r>
      <w:r>
        <w:rPr>
          <w:rFonts w:ascii="Times New Roman" w:hAnsi="Times New Roman" w:eastAsia="方正仿宋_GBK"/>
          <w:sz w:val="32"/>
          <w:szCs w:val="32"/>
        </w:rPr>
        <w:t>辆。</w:t>
      </w:r>
    </w:p>
    <w:p>
      <w:pPr>
        <w:spacing w:line="600" w:lineRule="exact"/>
        <w:ind w:firstLine="640" w:firstLineChars="200"/>
        <w:rPr>
          <w:rFonts w:ascii="Times New Roman" w:hAnsi="Times New Roman" w:eastAsia="方正黑体_GBK" w:cs="仿宋_GB2312"/>
          <w:sz w:val="32"/>
        </w:rPr>
      </w:pPr>
      <w:r>
        <w:rPr>
          <w:rFonts w:ascii="Times New Roman" w:hAnsi="Times New Roman" w:eastAsia="方正黑体_GBK"/>
          <w:sz w:val="32"/>
        </w:rPr>
        <w:t>六、专业性名词解释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（一）财政拨款收入</w:t>
      </w:r>
      <w:r>
        <w:rPr>
          <w:rFonts w:hint="eastAsia" w:ascii="Times New Roman" w:hAnsi="Times New Roman" w:eastAsia="方正仿宋_GBK"/>
          <w:sz w:val="32"/>
          <w:szCs w:val="32"/>
        </w:rPr>
        <w:t>：指单位从同级财政部门取得的各类财政拨款,包括一般公共预算财政拨款、政府性基金预算财政拨款、国有资本经营预算财政拨款。单位根据以前年度预算安排、项目需求等情况合理预计。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（二）财政专户管理资金收入（教育收费收入）：</w:t>
      </w:r>
      <w:r>
        <w:rPr>
          <w:rFonts w:hint="eastAsia" w:ascii="Times New Roman" w:hAnsi="Times New Roman" w:eastAsia="方正仿宋_GBK"/>
          <w:sz w:val="32"/>
          <w:szCs w:val="32"/>
        </w:rPr>
        <w:t>指缴入财政专户、实行专项管理的高中以上学费、住宿费、高校委托培养费、函大、电大、夜大及短训班培训费等教育收费。单位根据教育收费标准、学生人数等合理预计。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（三）事业收入（不含教育收费）</w:t>
      </w:r>
      <w:r>
        <w:rPr>
          <w:rFonts w:hint="eastAsia" w:ascii="Times New Roman" w:hAnsi="Times New Roman" w:eastAsia="方正仿宋_GBK"/>
          <w:sz w:val="32"/>
          <w:szCs w:val="32"/>
        </w:rPr>
        <w:t>：指事业单位开展专业业务活动及其辅助活动取得的收入，不包括教育收费。单位根据本年度事业单位开展专业业务活动及其辅助活动计划，结合上年度收入等情况进行预计。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（四）上级补助收入</w:t>
      </w:r>
      <w:r>
        <w:rPr>
          <w:rFonts w:hint="eastAsia" w:ascii="Times New Roman" w:hAnsi="Times New Roman" w:eastAsia="方正仿宋_GBK"/>
          <w:sz w:val="32"/>
          <w:szCs w:val="32"/>
        </w:rPr>
        <w:t>：指从主管部门或上级单位取得的财政拨款以外的其他补助收入。单位结合上年度上级补助收入等情况进行预计。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（五）附属单位上缴收入</w:t>
      </w:r>
      <w:r>
        <w:rPr>
          <w:rFonts w:hint="eastAsia" w:ascii="Times New Roman" w:hAnsi="Times New Roman" w:eastAsia="方正仿宋_GBK"/>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（六）事业单位经营收入</w:t>
      </w:r>
      <w:r>
        <w:rPr>
          <w:rFonts w:hint="eastAsia" w:ascii="Times New Roman" w:hAnsi="Times New Roman" w:eastAsia="方正仿宋_GBK"/>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（七）其他收入</w:t>
      </w:r>
      <w:r>
        <w:rPr>
          <w:rFonts w:hint="eastAsia" w:ascii="Times New Roman" w:hAnsi="Times New Roman" w:eastAsia="方正仿宋_GBK"/>
          <w:sz w:val="32"/>
          <w:szCs w:val="32"/>
        </w:rPr>
        <w:t>：指债务收入、投资收益等收入，单位根据情况合理预计，全部编入预算。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（八）基本支出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（九）项目支出</w:t>
      </w:r>
      <w:r>
        <w:rPr>
          <w:rFonts w:hint="eastAsia" w:ascii="Times New Roman" w:hAnsi="Times New Roman" w:eastAsia="方正仿宋_GBK"/>
          <w:sz w:val="32"/>
          <w:szCs w:val="32"/>
        </w:rPr>
        <w:t>：指在基本支出之外为完成特定行政任务和事业发展目标所发生的支出。</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ind w:firstLine="640" w:firstLineChars="200"/>
        <w:rPr>
          <w:rFonts w:ascii="Times New Roman" w:hAnsi="Times New Roman" w:eastAsia="方正黑体_GBK"/>
          <w:sz w:val="32"/>
        </w:rPr>
      </w:pPr>
      <w:r>
        <w:rPr>
          <w:rFonts w:hint="eastAsia" w:ascii="Times New Roman" w:hAnsi="Times New Roman" w:eastAsia="方正黑体_GBK"/>
          <w:sz w:val="32"/>
        </w:rPr>
        <w:t>七</w:t>
      </w:r>
      <w:r>
        <w:rPr>
          <w:rFonts w:ascii="Times New Roman" w:hAnsi="Times New Roman" w:eastAsia="方正黑体_GBK"/>
          <w:sz w:val="32"/>
        </w:rPr>
        <w:t>、</w:t>
      </w:r>
      <w:r>
        <w:rPr>
          <w:rFonts w:hint="eastAsia" w:ascii="Times New Roman" w:hAnsi="Times New Roman" w:eastAsia="方正黑体_GBK"/>
          <w:sz w:val="32"/>
        </w:rPr>
        <w:t>其他说明事项</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单位预算公开表中附表之间、表间内部存在一定数据差异，系四舍五入导致。</w:t>
      </w:r>
    </w:p>
    <w:p>
      <w:pPr>
        <w:spacing w:line="600" w:lineRule="exact"/>
        <w:ind w:firstLine="640" w:firstLineChars="200"/>
        <w:rPr>
          <w:rFonts w:ascii="Times New Roman" w:hAnsi="Times New Roman" w:eastAsia="方正仿宋_GBK"/>
          <w:sz w:val="32"/>
          <w:szCs w:val="32"/>
        </w:rPr>
      </w:pPr>
    </w:p>
    <w:p>
      <w:pPr>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 xml:space="preserve">   单位</w:t>
      </w:r>
      <w:r>
        <w:rPr>
          <w:rFonts w:ascii="Times New Roman" w:hAnsi="Times New Roman" w:eastAsia="方正仿宋_GBK"/>
          <w:sz w:val="32"/>
          <w:szCs w:val="32"/>
        </w:rPr>
        <w:t>预算公开联系人：</w:t>
      </w:r>
      <w:r>
        <w:rPr>
          <w:rFonts w:hint="eastAsia" w:ascii="Times New Roman" w:hAnsi="Times New Roman" w:eastAsia="方正仿宋_GBK"/>
          <w:sz w:val="32"/>
          <w:szCs w:val="32"/>
          <w:lang w:val="en-US" w:eastAsia="zh-CN"/>
        </w:rPr>
        <w:t>陈天红</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联系方式：023-</w:t>
      </w:r>
      <w:r>
        <w:rPr>
          <w:rFonts w:hint="eastAsia" w:ascii="Times New Roman" w:hAnsi="Times New Roman" w:eastAsia="方正仿宋_GBK"/>
          <w:sz w:val="32"/>
          <w:szCs w:val="32"/>
          <w:lang w:val="en-US" w:eastAsia="zh-CN"/>
        </w:rPr>
        <w:t>41550031</w:t>
      </w:r>
    </w:p>
    <w:p>
      <w:pPr>
        <w:jc w:val="center"/>
        <w:rPr>
          <w:rFonts w:ascii="Times New Roman" w:hAnsi="Times New Roman" w:eastAsia="方正仿宋_GBK"/>
          <w:sz w:val="32"/>
          <w:szCs w:val="32"/>
        </w:rPr>
      </w:pP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附表：</w:t>
      </w:r>
      <w:r>
        <w:rPr>
          <w:rFonts w:hint="eastAsia" w:ascii="Times New Roman" w:hAnsi="Times New Roman" w:eastAsia="方正仿宋_GBK"/>
          <w:sz w:val="32"/>
          <w:szCs w:val="32"/>
          <w:lang w:val="en-US" w:eastAsia="zh-CN"/>
        </w:rPr>
        <w:t>重庆市璧山区大兴小学校</w:t>
      </w:r>
      <w:r>
        <w:rPr>
          <w:rFonts w:hint="eastAsia" w:ascii="Times New Roman" w:hAnsi="Times New Roman" w:eastAsia="方正仿宋_GBK"/>
          <w:sz w:val="32"/>
          <w:szCs w:val="32"/>
        </w:rPr>
        <w:t>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A61D9"/>
    <w:rsid w:val="000E6986"/>
    <w:rsid w:val="000E7A86"/>
    <w:rsid w:val="00104156"/>
    <w:rsid w:val="001C295B"/>
    <w:rsid w:val="001F62A7"/>
    <w:rsid w:val="00201E27"/>
    <w:rsid w:val="00282378"/>
    <w:rsid w:val="00295D2E"/>
    <w:rsid w:val="002F0B32"/>
    <w:rsid w:val="00315FF1"/>
    <w:rsid w:val="00326B00"/>
    <w:rsid w:val="003358B8"/>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9F1050"/>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54122"/>
    <w:rsid w:val="00E83EC4"/>
    <w:rsid w:val="00EB35D5"/>
    <w:rsid w:val="00F07238"/>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50225B"/>
    <w:rsid w:val="5EB0464F"/>
    <w:rsid w:val="64D129B0"/>
    <w:rsid w:val="678A2E55"/>
    <w:rsid w:val="67920983"/>
    <w:rsid w:val="6A952AB8"/>
    <w:rsid w:val="6AA0021E"/>
    <w:rsid w:val="6BFA2841"/>
    <w:rsid w:val="6D0C5944"/>
    <w:rsid w:val="6DBE1879"/>
    <w:rsid w:val="714F4183"/>
    <w:rsid w:val="71597F39"/>
    <w:rsid w:val="735A2366"/>
    <w:rsid w:val="787968A4"/>
    <w:rsid w:val="78C748FE"/>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547</Words>
  <Characters>3122</Characters>
  <Lines>26</Lines>
  <Paragraphs>7</Paragraphs>
  <TotalTime>50</TotalTime>
  <ScaleCrop>false</ScaleCrop>
  <LinksUpToDate>false</LinksUpToDate>
  <CharactersWithSpaces>3662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2025-02-08T05:11:00Z</dcterms:created>
  <dc:creator>Administrator</dc:creator>
  <cp:lastModifiedBy>Administrator</cp:lastModifiedBy>
  <cp:lastPrinted>2018-01-02T08:11:00Z</cp:lastPrinted>
  <dcterms:modified xsi:type="dcterms:W3CDTF">2025-02-10T02:43:45Z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867B625CAEBE4D9E94570AB4284630FA_13</vt:lpwstr>
  </property>
</Properties>
</file>