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5B1F" w:rsidRDefault="00FC645C">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sz w:val="44"/>
          <w:szCs w:val="44"/>
        </w:rPr>
        <w:t>璧</w:t>
      </w:r>
      <w:proofErr w:type="gramEnd"/>
      <w:r>
        <w:rPr>
          <w:rFonts w:ascii="Times New Roman" w:eastAsia="方正小标宋_GBK" w:hAnsi="Times New Roman"/>
          <w:sz w:val="44"/>
          <w:szCs w:val="44"/>
        </w:rPr>
        <w:t>山区城关幼儿园</w:t>
      </w:r>
    </w:p>
    <w:p w:rsidR="00885B1F" w:rsidRDefault="00FC645C">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rsidR="00885B1F" w:rsidRDefault="00885B1F">
      <w:pPr>
        <w:spacing w:line="600" w:lineRule="exact"/>
        <w:ind w:firstLineChars="200" w:firstLine="640"/>
        <w:rPr>
          <w:rFonts w:ascii="Times New Roman" w:eastAsia="方正黑体_GBK" w:hAnsi="Times New Roman"/>
          <w:sz w:val="32"/>
          <w:szCs w:val="32"/>
        </w:rPr>
      </w:pPr>
    </w:p>
    <w:p w:rsidR="00885B1F" w:rsidRDefault="00FC645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rsidR="00885B1F" w:rsidRDefault="00FC645C">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885B1F" w:rsidRDefault="00FC645C">
      <w:pPr>
        <w:spacing w:line="600" w:lineRule="exact"/>
        <w:ind w:firstLineChars="200" w:firstLine="560"/>
        <w:rPr>
          <w:rFonts w:ascii="宋体" w:hAnsi="宋体" w:cs="仿宋_GB2312"/>
          <w:sz w:val="28"/>
          <w:szCs w:val="28"/>
        </w:rPr>
      </w:pPr>
      <w:r>
        <w:rPr>
          <w:rFonts w:ascii="宋体" w:hAnsi="宋体" w:cs="仿宋_GB2312" w:hint="eastAsia"/>
          <w:sz w:val="28"/>
          <w:szCs w:val="28"/>
        </w:rPr>
        <w:t>为学龄前儿童提供保育和教育服务。</w:t>
      </w:r>
      <w:r>
        <w:rPr>
          <w:rFonts w:ascii="宋体" w:hAnsi="宋体" w:cs="宋体"/>
          <w:sz w:val="24"/>
          <w:szCs w:val="24"/>
        </w:rPr>
        <w:t>贯</w:t>
      </w:r>
      <w:r>
        <w:rPr>
          <w:rFonts w:ascii="宋体" w:hAnsi="宋体" w:cs="仿宋_GB2312" w:hint="eastAsia"/>
          <w:sz w:val="28"/>
          <w:szCs w:val="28"/>
        </w:rPr>
        <w:t>彻国家的教育方针，按照</w:t>
      </w:r>
      <w:proofErr w:type="gramStart"/>
      <w:r>
        <w:rPr>
          <w:rFonts w:ascii="宋体" w:hAnsi="宋体" w:cs="仿宋_GB2312" w:hint="eastAsia"/>
          <w:sz w:val="28"/>
          <w:szCs w:val="28"/>
        </w:rPr>
        <w:t>保育与</w:t>
      </w:r>
      <w:proofErr w:type="gramEnd"/>
      <w:r>
        <w:rPr>
          <w:rFonts w:ascii="宋体" w:hAnsi="宋体" w:cs="仿宋_GB2312" w:hint="eastAsia"/>
          <w:sz w:val="28"/>
          <w:szCs w:val="28"/>
        </w:rPr>
        <w:t>教育相结合的原则，遵循幼儿身心发展特点和规律，实施德、智、体、美等方面全面发展的教育，促进幼儿身心和谐发展。幼儿园同时与家庭、社区密切合作，与小学互相衔接，综合利用各种教育资源，向幼儿家长提供科学育儿指导，共同为幼儿的发展创造良好的条件，为幼儿发展打下好基础。</w:t>
      </w:r>
      <w:r>
        <w:rPr>
          <w:rFonts w:ascii="宋体" w:hAnsi="宋体" w:cs="仿宋_GB2312" w:hint="eastAsia"/>
          <w:sz w:val="28"/>
          <w:szCs w:val="28"/>
        </w:rPr>
        <w:br/>
        <w:t xml:space="preserve">    1.促进幼儿身体正常发育和机能的协调发展，增强体质，促进心理健康，培养良好的生活习惯、卫生习惯和参加体育活动的兴趣。</w:t>
      </w:r>
      <w:r>
        <w:rPr>
          <w:rFonts w:ascii="宋体" w:hAnsi="宋体" w:cs="仿宋_GB2312" w:hint="eastAsia"/>
          <w:sz w:val="28"/>
          <w:szCs w:val="28"/>
        </w:rPr>
        <w:br/>
        <w:t xml:space="preserve">    2.发展幼儿智力，培养正确运用感官和运用语言交往的基本能力，增进对环境的认识，培养有益的兴趣和求知欲望，培养初步的动手探究能力。</w:t>
      </w:r>
      <w:r>
        <w:rPr>
          <w:rFonts w:ascii="宋体" w:hAnsi="宋体" w:cs="仿宋_GB2312" w:hint="eastAsia"/>
          <w:sz w:val="28"/>
          <w:szCs w:val="28"/>
        </w:rPr>
        <w:br/>
        <w:t xml:space="preserve">    3.萌发</w:t>
      </w:r>
      <w:proofErr w:type="gramStart"/>
      <w:r>
        <w:rPr>
          <w:rFonts w:ascii="宋体" w:hAnsi="宋体" w:cs="仿宋_GB2312" w:hint="eastAsia"/>
          <w:sz w:val="28"/>
          <w:szCs w:val="28"/>
        </w:rPr>
        <w:t>幼儿爱</w:t>
      </w:r>
      <w:proofErr w:type="gramEnd"/>
      <w:r>
        <w:rPr>
          <w:rFonts w:ascii="宋体" w:hAnsi="宋体" w:cs="仿宋_GB2312" w:hint="eastAsia"/>
          <w:sz w:val="28"/>
          <w:szCs w:val="28"/>
        </w:rPr>
        <w:t>祖国、爱家乡、爱集体、爱劳动、爱科学的情感，培养诚实、自信、友爱、勇敢、勤学、好问、爱护公物、克服困难、讲礼貌、守纪律等良好的品德和行为习惯，以及活泼开朗的性格。</w:t>
      </w:r>
      <w:r>
        <w:rPr>
          <w:rFonts w:ascii="宋体" w:hAnsi="宋体" w:cs="仿宋_GB2312" w:hint="eastAsia"/>
          <w:sz w:val="28"/>
          <w:szCs w:val="28"/>
        </w:rPr>
        <w:br/>
        <w:t xml:space="preserve">    4.培养幼儿初步感受美和表现美的情趣和能力。</w:t>
      </w:r>
    </w:p>
    <w:p w:rsidR="00885B1F" w:rsidRDefault="00FC645C">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rsidR="00885B1F" w:rsidRDefault="00FC645C">
      <w:pPr>
        <w:spacing w:line="600" w:lineRule="exact"/>
        <w:ind w:firstLineChars="200" w:firstLine="560"/>
        <w:rPr>
          <w:rFonts w:ascii="宋体" w:hAnsi="宋体" w:cs="仿宋_GB2312"/>
          <w:sz w:val="28"/>
          <w:szCs w:val="28"/>
        </w:rPr>
      </w:pPr>
      <w:r>
        <w:rPr>
          <w:rFonts w:ascii="宋体" w:hAnsi="宋体" w:cs="仿宋_GB2312" w:hint="eastAsia"/>
          <w:sz w:val="28"/>
          <w:szCs w:val="28"/>
        </w:rPr>
        <w:t>重庆市</w:t>
      </w:r>
      <w:proofErr w:type="gramStart"/>
      <w:r>
        <w:rPr>
          <w:rFonts w:ascii="宋体" w:hAnsi="宋体" w:cs="仿宋_GB2312" w:hint="eastAsia"/>
          <w:sz w:val="28"/>
          <w:szCs w:val="28"/>
        </w:rPr>
        <w:t>璧</w:t>
      </w:r>
      <w:proofErr w:type="gramEnd"/>
      <w:r>
        <w:rPr>
          <w:rFonts w:ascii="宋体" w:hAnsi="宋体" w:cs="仿宋_GB2312" w:hint="eastAsia"/>
          <w:sz w:val="28"/>
          <w:szCs w:val="28"/>
        </w:rPr>
        <w:t>山区城关幼儿园是属于财政全额拨款的公办幼儿园，二类事业单位，编制人数30人，现有在职在编教职工28人，内设保教处、总务处2个内设机构,是重庆市一级示范幼儿园。幼儿园规模：我园有2所园区，</w:t>
      </w:r>
      <w:r>
        <w:rPr>
          <w:rFonts w:ascii="宋体" w:hAnsi="宋体" w:cs="仿宋_GB2312" w:hint="eastAsia"/>
          <w:sz w:val="28"/>
          <w:szCs w:val="28"/>
        </w:rPr>
        <w:lastRenderedPageBreak/>
        <w:t>一所是文星校区幼儿园，位于</w:t>
      </w:r>
      <w:proofErr w:type="gramStart"/>
      <w:r>
        <w:rPr>
          <w:rFonts w:ascii="宋体" w:hAnsi="宋体" w:cs="仿宋_GB2312" w:hint="eastAsia"/>
          <w:sz w:val="28"/>
          <w:szCs w:val="28"/>
        </w:rPr>
        <w:t>璧</w:t>
      </w:r>
      <w:proofErr w:type="gramEnd"/>
      <w:r>
        <w:rPr>
          <w:rFonts w:ascii="宋体" w:hAnsi="宋体" w:cs="仿宋_GB2312" w:hint="eastAsia"/>
          <w:sz w:val="28"/>
          <w:szCs w:val="28"/>
        </w:rPr>
        <w:t>山区</w:t>
      </w:r>
      <w:proofErr w:type="gramStart"/>
      <w:r>
        <w:rPr>
          <w:rFonts w:ascii="宋体" w:hAnsi="宋体" w:cs="仿宋_GB2312" w:hint="eastAsia"/>
          <w:sz w:val="28"/>
          <w:szCs w:val="28"/>
        </w:rPr>
        <w:t>璧</w:t>
      </w:r>
      <w:proofErr w:type="gramEnd"/>
      <w:r>
        <w:rPr>
          <w:rFonts w:ascii="宋体" w:hAnsi="宋体" w:cs="仿宋_GB2312" w:hint="eastAsia"/>
          <w:sz w:val="28"/>
          <w:szCs w:val="28"/>
        </w:rPr>
        <w:t>泉街道中山南路1号，占地 4053 平方米，建筑面积4468 平方米，现有班级15个；一所是双星校区幼儿园，位于</w:t>
      </w:r>
      <w:proofErr w:type="gramStart"/>
      <w:r>
        <w:rPr>
          <w:rFonts w:ascii="宋体" w:hAnsi="宋体" w:cs="仿宋_GB2312" w:hint="eastAsia"/>
          <w:sz w:val="28"/>
          <w:szCs w:val="28"/>
        </w:rPr>
        <w:t>璧</w:t>
      </w:r>
      <w:proofErr w:type="gramEnd"/>
      <w:r>
        <w:rPr>
          <w:rFonts w:ascii="宋体" w:hAnsi="宋体" w:cs="仿宋_GB2312" w:hint="eastAsia"/>
          <w:sz w:val="28"/>
          <w:szCs w:val="28"/>
        </w:rPr>
        <w:t>山区</w:t>
      </w:r>
      <w:proofErr w:type="gramStart"/>
      <w:r>
        <w:rPr>
          <w:rFonts w:ascii="宋体" w:hAnsi="宋体" w:cs="仿宋_GB2312" w:hint="eastAsia"/>
          <w:sz w:val="28"/>
          <w:szCs w:val="28"/>
        </w:rPr>
        <w:t>璧</w:t>
      </w:r>
      <w:proofErr w:type="gramEnd"/>
      <w:r>
        <w:rPr>
          <w:rFonts w:ascii="宋体" w:hAnsi="宋体" w:cs="仿宋_GB2312" w:hint="eastAsia"/>
          <w:sz w:val="28"/>
          <w:szCs w:val="28"/>
        </w:rPr>
        <w:t>泉街道南河丽景D组团，占地 1620 平方米，建筑面积  2208.01平方米，现有班级10个。</w:t>
      </w:r>
    </w:p>
    <w:p w:rsidR="00885B1F" w:rsidRDefault="00FC645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rsidR="00885B1F" w:rsidRDefault="00FC645C">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 xml:space="preserve"> </w:t>
      </w:r>
      <w:r>
        <w:rPr>
          <w:rFonts w:ascii="Times New Roman" w:eastAsia="方正仿宋_GBK" w:hAnsi="Times New Roman" w:hint="eastAsia"/>
          <w:sz w:val="32"/>
          <w:szCs w:val="32"/>
        </w:rPr>
        <w:t>1932.79</w:t>
      </w:r>
      <w:r>
        <w:rPr>
          <w:rFonts w:ascii="Times New Roman" w:eastAsia="方正仿宋_GBK" w:hAnsi="Times New Roman"/>
          <w:sz w:val="32"/>
          <w:szCs w:val="32"/>
        </w:rPr>
        <w:t xml:space="preserve"> </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 xml:space="preserve"> </w:t>
      </w:r>
      <w:r>
        <w:rPr>
          <w:rFonts w:ascii="Times New Roman" w:eastAsia="方正仿宋_GBK" w:hAnsi="Times New Roman" w:hint="eastAsia"/>
          <w:sz w:val="32"/>
          <w:szCs w:val="32"/>
        </w:rPr>
        <w:t>1257.79</w:t>
      </w:r>
      <w:r>
        <w:rPr>
          <w:rFonts w:ascii="Times New Roman" w:eastAsia="方正仿宋_GBK" w:hAnsi="Times New Roman"/>
          <w:sz w:val="32"/>
          <w:szCs w:val="32"/>
        </w:rPr>
        <w:t xml:space="preserve"> </w:t>
      </w:r>
      <w:r>
        <w:rPr>
          <w:rFonts w:ascii="Times New Roman" w:eastAsia="方正仿宋_GBK" w:hAnsi="Times New Roman"/>
          <w:sz w:val="32"/>
          <w:szCs w:val="32"/>
        </w:rPr>
        <w:t>万元，政府性基金预算拨款</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万元，财政专户管理资金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675</w:t>
      </w:r>
      <w:r>
        <w:rPr>
          <w:rFonts w:ascii="Times New Roman" w:eastAsia="方正仿宋_GBK" w:hAnsi="Times New Roman"/>
          <w:sz w:val="32"/>
          <w:szCs w:val="32"/>
        </w:rPr>
        <w:t>万元，事业收入资金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万元，附属单位上缴收入资金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万元，事业单位经营收入资金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万元，其他收入资金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sz w:val="32"/>
          <w:szCs w:val="32"/>
        </w:rPr>
        <w:t xml:space="preserve"> </w:t>
      </w:r>
      <w:r>
        <w:rPr>
          <w:rFonts w:ascii="Times New Roman" w:eastAsia="方正仿宋_GBK" w:hAnsi="Times New Roman" w:hint="eastAsia"/>
          <w:sz w:val="32"/>
          <w:szCs w:val="32"/>
        </w:rPr>
        <w:t>420.79</w:t>
      </w:r>
      <w:r>
        <w:rPr>
          <w:rFonts w:ascii="Times New Roman" w:eastAsia="方正仿宋_GBK" w:hAnsi="Times New Roman"/>
          <w:sz w:val="32"/>
          <w:szCs w:val="32"/>
        </w:rPr>
        <w:t xml:space="preserve"> </w:t>
      </w:r>
      <w:r>
        <w:rPr>
          <w:rFonts w:ascii="Times New Roman" w:eastAsia="方正仿宋_GBK" w:hAnsi="Times New Roman"/>
          <w:sz w:val="32"/>
          <w:szCs w:val="32"/>
        </w:rPr>
        <w:t>万元，主要是一般公共预算拨款增加</w:t>
      </w:r>
      <w:r>
        <w:rPr>
          <w:rFonts w:ascii="Times New Roman" w:eastAsia="方正仿宋_GBK" w:hAnsi="Times New Roman"/>
          <w:sz w:val="32"/>
          <w:szCs w:val="32"/>
        </w:rPr>
        <w:t xml:space="preserve"> </w:t>
      </w:r>
      <w:r>
        <w:rPr>
          <w:rFonts w:ascii="Times New Roman" w:eastAsia="方正仿宋_GBK" w:hAnsi="Times New Roman" w:hint="eastAsia"/>
          <w:sz w:val="32"/>
          <w:szCs w:val="32"/>
        </w:rPr>
        <w:t>448.54</w:t>
      </w:r>
      <w:r>
        <w:rPr>
          <w:rFonts w:ascii="Times New Roman" w:eastAsia="方正仿宋_GBK" w:hAnsi="Times New Roman"/>
          <w:sz w:val="32"/>
          <w:szCs w:val="32"/>
        </w:rPr>
        <w:t xml:space="preserve"> </w:t>
      </w:r>
      <w:r>
        <w:rPr>
          <w:rFonts w:ascii="Times New Roman" w:eastAsia="方正仿宋_GBK" w:hAnsi="Times New Roman"/>
          <w:sz w:val="32"/>
          <w:szCs w:val="32"/>
        </w:rPr>
        <w:t>万元。</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 xml:space="preserve"> </w:t>
      </w:r>
      <w:r>
        <w:rPr>
          <w:rFonts w:ascii="Times New Roman" w:eastAsia="方正仿宋_GBK" w:hAnsi="Times New Roman" w:hint="eastAsia"/>
          <w:sz w:val="32"/>
          <w:szCs w:val="32"/>
        </w:rPr>
        <w:t>1932.79</w:t>
      </w:r>
      <w:r>
        <w:rPr>
          <w:rFonts w:ascii="Times New Roman" w:eastAsia="方正仿宋_GBK" w:hAnsi="Times New Roman"/>
          <w:sz w:val="32"/>
          <w:szCs w:val="32"/>
        </w:rPr>
        <w:t xml:space="preserve"> </w:t>
      </w:r>
      <w:r>
        <w:rPr>
          <w:rFonts w:ascii="Times New Roman" w:eastAsia="方正仿宋_GBK" w:hAnsi="Times New Roman"/>
          <w:sz w:val="32"/>
          <w:szCs w:val="32"/>
        </w:rPr>
        <w:t>万元，其中：一般公共服务支出</w:t>
      </w:r>
      <w:r>
        <w:rPr>
          <w:rFonts w:ascii="Times New Roman" w:eastAsia="方正仿宋_GBK" w:hAnsi="Times New Roman" w:hint="eastAsia"/>
          <w:sz w:val="32"/>
          <w:szCs w:val="32"/>
        </w:rPr>
        <w:t>0</w:t>
      </w:r>
      <w:r>
        <w:rPr>
          <w:rFonts w:ascii="Times New Roman" w:eastAsia="方正仿宋_GBK" w:hAnsi="Times New Roman"/>
          <w:sz w:val="32"/>
          <w:szCs w:val="32"/>
        </w:rPr>
        <w:t>万元，教育支出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1636.44</w:t>
      </w:r>
      <w:r>
        <w:rPr>
          <w:rFonts w:ascii="Times New Roman" w:eastAsia="方正仿宋_GBK" w:hAnsi="Times New Roman"/>
          <w:sz w:val="32"/>
          <w:szCs w:val="32"/>
        </w:rPr>
        <w:t xml:space="preserve">  </w:t>
      </w:r>
      <w:r>
        <w:rPr>
          <w:rFonts w:ascii="Times New Roman" w:eastAsia="方正仿宋_GBK" w:hAnsi="Times New Roman"/>
          <w:sz w:val="32"/>
          <w:szCs w:val="32"/>
        </w:rPr>
        <w:t>万元，社会保障和就业支出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224.82</w:t>
      </w:r>
      <w:r>
        <w:rPr>
          <w:rFonts w:ascii="Times New Roman" w:eastAsia="方正仿宋_GBK" w:hAnsi="Times New Roman"/>
          <w:sz w:val="32"/>
          <w:szCs w:val="32"/>
        </w:rPr>
        <w:t xml:space="preserve"> </w:t>
      </w:r>
      <w:r>
        <w:rPr>
          <w:rFonts w:ascii="Times New Roman" w:eastAsia="方正仿宋_GBK" w:hAnsi="Times New Roman"/>
          <w:sz w:val="32"/>
          <w:szCs w:val="32"/>
        </w:rPr>
        <w:t>万元，卫生健康支出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41.31</w:t>
      </w:r>
      <w:r>
        <w:rPr>
          <w:rFonts w:ascii="Times New Roman" w:eastAsia="方正仿宋_GBK" w:hAnsi="Times New Roman"/>
          <w:sz w:val="32"/>
          <w:szCs w:val="32"/>
        </w:rPr>
        <w:t xml:space="preserve"> </w:t>
      </w:r>
      <w:r>
        <w:rPr>
          <w:rFonts w:ascii="Times New Roman" w:eastAsia="方正仿宋_GBK" w:hAnsi="Times New Roman"/>
          <w:sz w:val="32"/>
          <w:szCs w:val="32"/>
        </w:rPr>
        <w:t>万元，住房保障支出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30.22</w:t>
      </w:r>
      <w:r>
        <w:rPr>
          <w:rFonts w:ascii="Times New Roman" w:eastAsia="方正仿宋_GBK" w:hAnsi="Times New Roman"/>
          <w:sz w:val="32"/>
          <w:szCs w:val="32"/>
        </w:rPr>
        <w:t xml:space="preserve"> </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增加（或减少）</w:t>
      </w:r>
      <w:r>
        <w:rPr>
          <w:rFonts w:ascii="Times New Roman" w:eastAsia="方正仿宋_GBK" w:hAnsi="Times New Roman"/>
          <w:sz w:val="32"/>
          <w:szCs w:val="32"/>
        </w:rPr>
        <w:t xml:space="preserve">  </w:t>
      </w:r>
      <w:r>
        <w:rPr>
          <w:rFonts w:ascii="Times New Roman" w:eastAsia="方正仿宋_GBK" w:hAnsi="Times New Roman" w:hint="eastAsia"/>
          <w:sz w:val="32"/>
          <w:szCs w:val="32"/>
        </w:rPr>
        <w:t>420.79</w:t>
      </w:r>
      <w:r>
        <w:rPr>
          <w:rFonts w:ascii="Times New Roman" w:eastAsia="方正仿宋_GBK" w:hAnsi="Times New Roman"/>
          <w:sz w:val="32"/>
          <w:szCs w:val="32"/>
        </w:rPr>
        <w:t xml:space="preserve"> </w:t>
      </w:r>
      <w:r>
        <w:rPr>
          <w:rFonts w:ascii="Times New Roman" w:eastAsia="方正仿宋_GBK" w:hAnsi="Times New Roman"/>
          <w:sz w:val="32"/>
          <w:szCs w:val="32"/>
        </w:rPr>
        <w:t>万元，主要是基本支出增加</w:t>
      </w:r>
      <w:r>
        <w:rPr>
          <w:rFonts w:ascii="Times New Roman" w:eastAsia="方正仿宋_GBK" w:hAnsi="Times New Roman"/>
          <w:sz w:val="32"/>
          <w:szCs w:val="32"/>
        </w:rPr>
        <w:t xml:space="preserve"> </w:t>
      </w:r>
      <w:r>
        <w:rPr>
          <w:rFonts w:ascii="Times New Roman" w:eastAsia="方正仿宋_GBK" w:hAnsi="Times New Roman" w:hint="eastAsia"/>
          <w:sz w:val="32"/>
          <w:szCs w:val="32"/>
        </w:rPr>
        <w:t>80.03</w:t>
      </w:r>
      <w:r>
        <w:rPr>
          <w:rFonts w:ascii="Times New Roman" w:eastAsia="方正仿宋_GBK" w:hAnsi="Times New Roman"/>
          <w:sz w:val="32"/>
          <w:szCs w:val="32"/>
        </w:rPr>
        <w:t xml:space="preserve"> </w:t>
      </w:r>
      <w:r>
        <w:rPr>
          <w:rFonts w:ascii="Times New Roman" w:eastAsia="方正仿宋_GBK" w:hAnsi="Times New Roman"/>
          <w:sz w:val="32"/>
          <w:szCs w:val="32"/>
        </w:rPr>
        <w:t>万元，项目支出增加</w:t>
      </w:r>
      <w:r>
        <w:rPr>
          <w:rFonts w:ascii="Times New Roman" w:eastAsia="方正仿宋_GBK" w:hAnsi="Times New Roman" w:hint="eastAsia"/>
          <w:sz w:val="32"/>
          <w:szCs w:val="32"/>
        </w:rPr>
        <w:t>295.74</w:t>
      </w:r>
      <w:r>
        <w:rPr>
          <w:rFonts w:ascii="Times New Roman" w:eastAsia="方正仿宋_GBK" w:hAnsi="Times New Roman"/>
          <w:sz w:val="32"/>
          <w:szCs w:val="32"/>
        </w:rPr>
        <w:t xml:space="preserve"> </w:t>
      </w:r>
      <w:r>
        <w:rPr>
          <w:rFonts w:ascii="Times New Roman" w:eastAsia="方正仿宋_GBK" w:hAnsi="Times New Roman"/>
          <w:sz w:val="32"/>
          <w:szCs w:val="32"/>
        </w:rPr>
        <w:t>万元。</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rsidR="00885B1F" w:rsidRDefault="00FC645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sz w:val="32"/>
          <w:szCs w:val="32"/>
        </w:rPr>
        <w:t xml:space="preserve"> </w:t>
      </w:r>
      <w:r>
        <w:rPr>
          <w:rFonts w:ascii="Times New Roman" w:eastAsia="方正仿宋_GBK" w:hAnsi="Times New Roman" w:hint="eastAsia"/>
          <w:sz w:val="32"/>
          <w:szCs w:val="32"/>
        </w:rPr>
        <w:t>1257.79</w:t>
      </w:r>
      <w:r>
        <w:rPr>
          <w:rFonts w:ascii="Times New Roman" w:eastAsia="方正仿宋_GBK" w:hAnsi="Times New Roman"/>
          <w:sz w:val="32"/>
          <w:szCs w:val="32"/>
        </w:rPr>
        <w:t xml:space="preserve"> </w:t>
      </w:r>
      <w:r>
        <w:rPr>
          <w:rFonts w:ascii="Times New Roman" w:eastAsia="方正仿宋_GBK" w:hAnsi="Times New Roman"/>
          <w:sz w:val="32"/>
          <w:szCs w:val="32"/>
        </w:rPr>
        <w:t>万元，一般公共</w:t>
      </w:r>
      <w:r>
        <w:rPr>
          <w:rFonts w:ascii="Times New Roman" w:eastAsia="方正仿宋_GBK" w:hAnsi="Times New Roman"/>
          <w:sz w:val="32"/>
          <w:szCs w:val="32"/>
        </w:rPr>
        <w:lastRenderedPageBreak/>
        <w:t>预算财政拨款支出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1257.79</w:t>
      </w:r>
      <w:r>
        <w:rPr>
          <w:rFonts w:ascii="Times New Roman" w:eastAsia="方正仿宋_GBK" w:hAnsi="Times New Roman"/>
          <w:sz w:val="32"/>
          <w:szCs w:val="32"/>
        </w:rPr>
        <w:t xml:space="preserve">  </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448.54</w:t>
      </w:r>
      <w:r>
        <w:rPr>
          <w:rFonts w:ascii="Times New Roman" w:eastAsia="方正仿宋_GBK" w:hAnsi="Times New Roman"/>
          <w:sz w:val="32"/>
          <w:szCs w:val="32"/>
        </w:rPr>
        <w:t xml:space="preserve"> </w:t>
      </w:r>
      <w:r>
        <w:rPr>
          <w:rFonts w:ascii="Times New Roman" w:eastAsia="方正仿宋_GBK" w:hAnsi="Times New Roman"/>
          <w:sz w:val="32"/>
          <w:szCs w:val="32"/>
        </w:rPr>
        <w:t>万元。其中：基本支出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812.30</w:t>
      </w:r>
      <w:r>
        <w:rPr>
          <w:rFonts w:ascii="Times New Roman" w:eastAsia="方正仿宋_GBK" w:hAnsi="Times New Roman"/>
          <w:sz w:val="32"/>
          <w:szCs w:val="32"/>
        </w:rPr>
        <w:t xml:space="preserve"> </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sz w:val="32"/>
          <w:szCs w:val="32"/>
        </w:rPr>
        <w:t xml:space="preserve"> </w:t>
      </w:r>
      <w:r>
        <w:rPr>
          <w:rFonts w:ascii="Times New Roman" w:eastAsia="方正仿宋_GBK" w:hAnsi="Times New Roman" w:hint="eastAsia"/>
          <w:sz w:val="32"/>
          <w:szCs w:val="32"/>
        </w:rPr>
        <w:t>80.03</w:t>
      </w:r>
      <w:r>
        <w:rPr>
          <w:rFonts w:ascii="Times New Roman" w:eastAsia="方正仿宋_GBK" w:hAnsi="Times New Roman"/>
          <w:sz w:val="32"/>
          <w:szCs w:val="32"/>
        </w:rPr>
        <w:t xml:space="preserve"> </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教职工</w:t>
      </w:r>
      <w:r>
        <w:rPr>
          <w:rFonts w:ascii="Times New Roman" w:eastAsia="方正仿宋_GBK" w:hAnsi="Times New Roman"/>
          <w:sz w:val="32"/>
          <w:szCs w:val="32"/>
        </w:rPr>
        <w:t>人数增加；项目支出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1120.49</w:t>
      </w:r>
      <w:r>
        <w:rPr>
          <w:rFonts w:ascii="Times New Roman" w:eastAsia="方正仿宋_GBK" w:hAnsi="Times New Roman"/>
          <w:sz w:val="32"/>
          <w:szCs w:val="32"/>
        </w:rPr>
        <w:t>万元，主要用于幼儿园重点工作，比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340.77</w:t>
      </w:r>
      <w:r>
        <w:rPr>
          <w:rFonts w:ascii="Times New Roman" w:eastAsia="方正仿宋_GBK" w:hAnsi="Times New Roman"/>
          <w:sz w:val="32"/>
          <w:szCs w:val="32"/>
        </w:rPr>
        <w:t xml:space="preserve"> </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临聘人员和员额教师增加</w:t>
      </w:r>
      <w:r>
        <w:rPr>
          <w:rFonts w:ascii="Times New Roman" w:eastAsia="方正仿宋_GBK" w:hAnsi="Times New Roman"/>
          <w:sz w:val="32"/>
          <w:szCs w:val="32"/>
        </w:rPr>
        <w:t>。</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885B1F" w:rsidRDefault="00FC645C">
      <w:pPr>
        <w:spacing w:line="600" w:lineRule="exact"/>
        <w:ind w:firstLineChars="200" w:firstLine="643"/>
        <w:rPr>
          <w:rFonts w:ascii="Times New Roman" w:eastAsia="方正仿宋_GBK" w:hAnsi="Times New Roman"/>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年无使用国有资本经营预算拨款安排的支出，与上年保持一致</w:t>
      </w:r>
    </w:p>
    <w:p w:rsidR="00885B1F" w:rsidRDefault="00FC645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885B1F" w:rsidRDefault="00FC645C" w:rsidP="008A02D1">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sidR="008A02D1">
        <w:rPr>
          <w:rFonts w:ascii="Times New Roman" w:eastAsia="方正仿宋_GBK" w:hAnsi="Times New Roman"/>
          <w:sz w:val="32"/>
          <w:szCs w:val="32"/>
        </w:rPr>
        <w:t>万元</w:t>
      </w:r>
      <w:r>
        <w:rPr>
          <w:rFonts w:ascii="Times New Roman" w:eastAsia="方正仿宋_GBK" w:hAnsi="Times New Roman"/>
          <w:sz w:val="32"/>
          <w:szCs w:val="32"/>
        </w:rPr>
        <w:t>。其中：因公出国（境）费用</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；公务接待费</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，；公务用车运行维护费</w:t>
      </w:r>
      <w:r>
        <w:rPr>
          <w:rFonts w:ascii="Times New Roman" w:eastAsia="方正仿宋_GBK" w:hAnsi="Times New Roman" w:hint="eastAsia"/>
          <w:sz w:val="32"/>
          <w:szCs w:val="32"/>
        </w:rPr>
        <w:t>0</w:t>
      </w:r>
      <w:r w:rsidR="008A02D1">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；公务用车购置费</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w:t>
      </w:r>
    </w:p>
    <w:p w:rsidR="00885B1F" w:rsidRDefault="00FC645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bookmarkStart w:id="0" w:name="_GoBack"/>
      <w:bookmarkEnd w:id="0"/>
    </w:p>
    <w:p w:rsidR="00885B1F" w:rsidRDefault="00FC645C">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885B1F" w:rsidRDefault="00FC645C">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r>
        <w:rPr>
          <w:rFonts w:ascii="Times New Roman" w:eastAsia="方正仿宋_GBK" w:hAnsi="Times New Roman"/>
          <w:b/>
          <w:bCs/>
          <w:sz w:val="32"/>
        </w:rPr>
        <w:t>（事业单位）</w:t>
      </w:r>
    </w:p>
    <w:p w:rsidR="00885B1F" w:rsidRDefault="00FC645C">
      <w:pPr>
        <w:numPr>
          <w:ilvl w:val="0"/>
          <w:numId w:val="1"/>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885B1F" w:rsidRDefault="00FC645C">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hint="eastAsia"/>
          <w:sz w:val="32"/>
          <w:szCs w:val="32"/>
        </w:rPr>
        <w:t>3</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万元：政府采购货物预算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3</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万元、政府采购工程预算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万元；其中一般公共预算拨款政府采购</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万元：政府采购货物预算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万元、政府采购工程预算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万元、政府采购服务预算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p>
    <w:p w:rsidR="00885B1F" w:rsidRDefault="00FC645C">
      <w:pPr>
        <w:numPr>
          <w:ilvl w:val="0"/>
          <w:numId w:val="1"/>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lastRenderedPageBreak/>
        <w:t>绩效目标设置情况</w:t>
      </w:r>
      <w:r>
        <w:rPr>
          <w:rFonts w:ascii="Times New Roman" w:eastAsia="方正仿宋_GBK" w:hAnsi="Times New Roman"/>
          <w:sz w:val="32"/>
          <w:szCs w:val="32"/>
        </w:rPr>
        <w:t>。</w:t>
      </w:r>
    </w:p>
    <w:p w:rsidR="00885B1F" w:rsidRDefault="00FC645C">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sz w:val="32"/>
          <w:szCs w:val="32"/>
        </w:rPr>
        <w:t xml:space="preserve">  </w:t>
      </w:r>
      <w:r>
        <w:rPr>
          <w:rFonts w:ascii="Times New Roman" w:eastAsia="方正仿宋_GBK" w:hAnsi="Times New Roman"/>
          <w:sz w:val="32"/>
          <w:szCs w:val="32"/>
        </w:rPr>
        <w:t>万元。</w:t>
      </w:r>
    </w:p>
    <w:p w:rsidR="00885B1F" w:rsidRDefault="00FC645C">
      <w:pPr>
        <w:numPr>
          <w:ilvl w:val="0"/>
          <w:numId w:val="1"/>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rsidR="00885B1F" w:rsidRDefault="00FC645C">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rsidR="00885B1F" w:rsidRDefault="00FC645C">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w:t>
      </w:r>
      <w:r>
        <w:rPr>
          <w:rFonts w:ascii="Times New Roman" w:eastAsia="方正仿宋_GBK" w:hAnsi="Times New Roman" w:hint="eastAsia"/>
          <w:sz w:val="32"/>
          <w:szCs w:val="32"/>
        </w:rPr>
        <w:lastRenderedPageBreak/>
        <w:t>入等情况进行预计。</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85B1F" w:rsidRDefault="00FC645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885B1F" w:rsidRDefault="00FC645C">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w:t>
      </w:r>
      <w:r>
        <w:rPr>
          <w:rFonts w:ascii="Times New Roman" w:eastAsia="方正仿宋_GBK" w:hAnsi="Times New Roman" w:hint="eastAsia"/>
          <w:sz w:val="32"/>
          <w:szCs w:val="32"/>
        </w:rPr>
        <w:lastRenderedPageBreak/>
        <w:t>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885B1F" w:rsidRDefault="00FC645C">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885B1F" w:rsidRDefault="00FC645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rsidR="00885B1F" w:rsidRDefault="00885B1F">
      <w:pPr>
        <w:spacing w:line="600" w:lineRule="exact"/>
        <w:ind w:firstLineChars="200" w:firstLine="640"/>
        <w:rPr>
          <w:rFonts w:ascii="Times New Roman" w:eastAsia="方正仿宋_GBK" w:hAnsi="Times New Roman"/>
          <w:sz w:val="32"/>
          <w:szCs w:val="32"/>
        </w:rPr>
      </w:pPr>
    </w:p>
    <w:p w:rsidR="00885B1F" w:rsidRDefault="00FC645C">
      <w:pPr>
        <w:jc w:val="center"/>
        <w:rPr>
          <w:rFonts w:ascii="Times New Roman" w:eastAsia="方正仿宋_GBK" w:hAnsi="Times New Roman"/>
          <w:sz w:val="32"/>
          <w:szCs w:val="32"/>
        </w:rPr>
      </w:pP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龙桦</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41422318</w:t>
      </w:r>
    </w:p>
    <w:p w:rsidR="00885B1F" w:rsidRDefault="00885B1F">
      <w:pPr>
        <w:jc w:val="center"/>
        <w:rPr>
          <w:rFonts w:ascii="Times New Roman" w:eastAsia="方正仿宋_GBK" w:hAnsi="Times New Roman"/>
          <w:sz w:val="32"/>
          <w:szCs w:val="32"/>
        </w:rPr>
      </w:pPr>
    </w:p>
    <w:p w:rsidR="00885B1F" w:rsidRDefault="00FC645C">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山区城关幼儿园</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885B1F">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2"/>
  </w:compat>
  <w:docVars>
    <w:docVar w:name="commondata" w:val="eyJoZGlkIjoiYjE3ZDNhZjU1ODU0ZTZiNzE0NmIxYjEyYzNhODdhNzcifQ=="/>
  </w:docVars>
  <w:rsids>
    <w:rsidRoot w:val="00B25CF0"/>
    <w:rsid w:val="000065FF"/>
    <w:rsid w:val="00025D49"/>
    <w:rsid w:val="000E6986"/>
    <w:rsid w:val="000E7A86"/>
    <w:rsid w:val="00104156"/>
    <w:rsid w:val="001C295B"/>
    <w:rsid w:val="001F62A7"/>
    <w:rsid w:val="00201E27"/>
    <w:rsid w:val="002848DB"/>
    <w:rsid w:val="00295D2E"/>
    <w:rsid w:val="002F0B32"/>
    <w:rsid w:val="00315FF1"/>
    <w:rsid w:val="00326B00"/>
    <w:rsid w:val="00357D5D"/>
    <w:rsid w:val="00366915"/>
    <w:rsid w:val="003C56C2"/>
    <w:rsid w:val="003F3271"/>
    <w:rsid w:val="00412B49"/>
    <w:rsid w:val="0048380D"/>
    <w:rsid w:val="004F7BC5"/>
    <w:rsid w:val="005124F3"/>
    <w:rsid w:val="00562209"/>
    <w:rsid w:val="005A5BC6"/>
    <w:rsid w:val="00611F33"/>
    <w:rsid w:val="006E66F0"/>
    <w:rsid w:val="007140B2"/>
    <w:rsid w:val="00746575"/>
    <w:rsid w:val="0075644E"/>
    <w:rsid w:val="0076031D"/>
    <w:rsid w:val="007E6104"/>
    <w:rsid w:val="00825E43"/>
    <w:rsid w:val="00885B1F"/>
    <w:rsid w:val="00892B61"/>
    <w:rsid w:val="008A02D1"/>
    <w:rsid w:val="009027F8"/>
    <w:rsid w:val="009A024E"/>
    <w:rsid w:val="009C0C1E"/>
    <w:rsid w:val="00A85988"/>
    <w:rsid w:val="00AB4CBD"/>
    <w:rsid w:val="00AF7912"/>
    <w:rsid w:val="00B25CF0"/>
    <w:rsid w:val="00B67C25"/>
    <w:rsid w:val="00B879C8"/>
    <w:rsid w:val="00BA6131"/>
    <w:rsid w:val="00BA7B08"/>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6278F"/>
    <w:rsid w:val="00FC645C"/>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94206B6"/>
    <w:rsid w:val="2A161C1F"/>
    <w:rsid w:val="2A1750A8"/>
    <w:rsid w:val="2BE20CDE"/>
    <w:rsid w:val="32513FE1"/>
    <w:rsid w:val="357227FD"/>
    <w:rsid w:val="386B46BA"/>
    <w:rsid w:val="387110B4"/>
    <w:rsid w:val="3A720DEA"/>
    <w:rsid w:val="3AB2398F"/>
    <w:rsid w:val="3B9B3520"/>
    <w:rsid w:val="3CFC635A"/>
    <w:rsid w:val="3FA6066E"/>
    <w:rsid w:val="4376324F"/>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87968A4"/>
    <w:rsid w:val="79CF62B4"/>
    <w:rsid w:val="7FB73807"/>
    <w:rsid w:val="7FE75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5080"/>
  <w15:docId w15:val="{FAEFC9E1-A26D-4474-BC0B-283616A6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461</Words>
  <Characters>2628</Characters>
  <Application>Microsoft Office Word</Application>
  <DocSecurity>0</DocSecurity>
  <Lines>21</Lines>
  <Paragraphs>6</Paragraphs>
  <ScaleCrop>false</ScaleCrop>
  <Company>微软中国</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58</cp:revision>
  <cp:lastPrinted>2018-01-02T08:11:00Z</cp:lastPrinted>
  <dcterms:created xsi:type="dcterms:W3CDTF">2021-12-14T03:09:00Z</dcterms:created>
  <dcterms:modified xsi:type="dcterms:W3CDTF">2025-02-12T09:19:00Z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867B625CAEBE4D9E94570AB4284630FA_13</vt:lpwstr>
  </property>
</Properties>
</file>