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1E2" w:rsidRDefault="009C11E2">
      <w:pPr>
        <w:spacing w:line="600" w:lineRule="atLeast"/>
        <w:jc w:val="center"/>
      </w:pPr>
    </w:p>
    <w:p w:rsidR="009C11E2" w:rsidRDefault="009C11E2">
      <w:pPr>
        <w:spacing w:line="600" w:lineRule="atLeast"/>
        <w:jc w:val="center"/>
        <w:rPr>
          <w:rFonts w:ascii="方正仿宋_GBK" w:hAnsi="方正仿宋_GBK" w:cs="方正仿宋_GBK"/>
          <w:szCs w:val="32"/>
        </w:rPr>
      </w:pPr>
    </w:p>
    <w:p w:rsidR="009C11E2" w:rsidRDefault="008A050F">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重庆市璧山区经济和信息化委员会</w:t>
      </w:r>
    </w:p>
    <w:p w:rsidR="009C11E2" w:rsidRDefault="008A050F">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w:t>
      </w:r>
      <w:r>
        <w:rPr>
          <w:rFonts w:ascii="方正小标宋_GBK" w:eastAsia="方正小标宋_GBK" w:hAnsi="方正小标宋_GBK" w:cs="方正小标宋_GBK" w:hint="eastAsia"/>
          <w:sz w:val="44"/>
          <w:szCs w:val="44"/>
        </w:rPr>
        <w:t>《</w:t>
      </w:r>
      <w:r>
        <w:rPr>
          <w:rFonts w:ascii="方正小标宋_GBK" w:eastAsia="方正小标宋_GBK" w:hAnsi="方正小标宋_GBK" w:cs="方正小标宋_GBK" w:hint="eastAsia"/>
          <w:sz w:val="44"/>
          <w:szCs w:val="44"/>
        </w:rPr>
        <w:t>重庆市璧山区支持规模以上</w:t>
      </w:r>
    </w:p>
    <w:p w:rsidR="009C11E2" w:rsidRDefault="008A050F">
      <w:pPr>
        <w:spacing w:line="6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工业企业技术改造实施方案（</w:t>
      </w:r>
      <w:r>
        <w:rPr>
          <w:rFonts w:ascii="方正小标宋_GBK" w:eastAsia="方正小标宋_GBK" w:hAnsi="方正小标宋_GBK" w:cs="方正小标宋_GBK" w:hint="eastAsia"/>
          <w:sz w:val="44"/>
          <w:szCs w:val="44"/>
        </w:rPr>
        <w:t>2020-2024</w:t>
      </w:r>
      <w:r>
        <w:rPr>
          <w:rFonts w:ascii="方正小标宋_GBK" w:eastAsia="方正小标宋_GBK" w:hAnsi="方正小标宋_GBK" w:cs="方正小标宋_GBK" w:hint="eastAsia"/>
          <w:sz w:val="44"/>
          <w:szCs w:val="44"/>
        </w:rPr>
        <w:t>年）（修订）》的通知</w:t>
      </w:r>
    </w:p>
    <w:p w:rsidR="009C11E2" w:rsidRDefault="008A050F">
      <w:pPr>
        <w:spacing w:line="600" w:lineRule="exact"/>
        <w:jc w:val="center"/>
      </w:pPr>
      <w:r>
        <w:rPr>
          <w:szCs w:val="32"/>
        </w:rPr>
        <w:t>璧山经信发〔</w:t>
      </w:r>
      <w:r>
        <w:rPr>
          <w:szCs w:val="32"/>
        </w:rPr>
        <w:t>20</w:t>
      </w:r>
      <w:r>
        <w:rPr>
          <w:szCs w:val="32"/>
        </w:rPr>
        <w:t>2</w:t>
      </w:r>
      <w:r>
        <w:rPr>
          <w:rFonts w:hint="eastAsia"/>
          <w:szCs w:val="32"/>
        </w:rPr>
        <w:t>2</w:t>
      </w:r>
      <w:r>
        <w:rPr>
          <w:szCs w:val="32"/>
        </w:rPr>
        <w:t>〕</w:t>
      </w:r>
      <w:r>
        <w:rPr>
          <w:rFonts w:hint="eastAsia"/>
          <w:szCs w:val="32"/>
        </w:rPr>
        <w:t>152</w:t>
      </w:r>
      <w:r>
        <w:rPr>
          <w:szCs w:val="32"/>
        </w:rPr>
        <w:t>号</w:t>
      </w:r>
    </w:p>
    <w:p w:rsidR="009C11E2" w:rsidRDefault="009C11E2">
      <w:pPr>
        <w:spacing w:line="600" w:lineRule="atLeast"/>
        <w:jc w:val="center"/>
        <w:rPr>
          <w:rFonts w:ascii="宋体" w:eastAsia="宋体" w:hAnsi="宋体" w:cs="宋体"/>
          <w:sz w:val="44"/>
          <w:szCs w:val="44"/>
          <w:shd w:val="clear" w:color="auto" w:fill="FFFFFF"/>
        </w:rPr>
      </w:pPr>
    </w:p>
    <w:p w:rsidR="009C11E2" w:rsidRDefault="008A050F">
      <w:pPr>
        <w:spacing w:line="600" w:lineRule="exact"/>
        <w:rPr>
          <w:szCs w:val="32"/>
        </w:rPr>
      </w:pPr>
      <w:r>
        <w:rPr>
          <w:szCs w:val="32"/>
        </w:rPr>
        <w:t>各镇人民政府、街道办事处，区政府有关部门，有关企业：</w:t>
      </w:r>
    </w:p>
    <w:p w:rsidR="009C11E2" w:rsidRDefault="008A050F" w:rsidP="003C278C">
      <w:pPr>
        <w:ind w:firstLineChars="200" w:firstLine="640"/>
        <w:rPr>
          <w:kern w:val="0"/>
          <w:szCs w:val="32"/>
          <w:shd w:val="clear" w:color="auto" w:fill="FFFFFF"/>
        </w:rPr>
      </w:pPr>
      <w:r>
        <w:rPr>
          <w:szCs w:val="32"/>
        </w:rPr>
        <w:t>《重庆市璧山区支持规模以上工业企业技术改造实施方案（</w:t>
      </w:r>
      <w:r>
        <w:rPr>
          <w:szCs w:val="32"/>
        </w:rPr>
        <w:t>2020-2024</w:t>
      </w:r>
      <w:r>
        <w:rPr>
          <w:szCs w:val="32"/>
        </w:rPr>
        <w:t>年）（修订）》已经区政府审议通过，现印发给你们，请认真组织实施。</w:t>
      </w:r>
    </w:p>
    <w:p w:rsidR="009C11E2" w:rsidRDefault="009C11E2">
      <w:pPr>
        <w:spacing w:line="600" w:lineRule="exact"/>
        <w:ind w:firstLineChars="200" w:firstLine="640"/>
        <w:jc w:val="center"/>
      </w:pPr>
    </w:p>
    <w:p w:rsidR="009C11E2" w:rsidRDefault="008A050F">
      <w:pPr>
        <w:tabs>
          <w:tab w:val="left" w:pos="7655"/>
        </w:tabs>
        <w:wordWrap w:val="0"/>
        <w:spacing w:line="600" w:lineRule="exact"/>
        <w:jc w:val="right"/>
        <w:rPr>
          <w:szCs w:val="32"/>
        </w:rPr>
      </w:pPr>
      <w:r>
        <w:rPr>
          <w:szCs w:val="32"/>
        </w:rPr>
        <w:t>重庆市璧山区经济和信息化委员会</w:t>
      </w:r>
    </w:p>
    <w:p w:rsidR="009C11E2" w:rsidRDefault="003C278C">
      <w:pPr>
        <w:tabs>
          <w:tab w:val="left" w:pos="7655"/>
        </w:tabs>
        <w:spacing w:line="600" w:lineRule="exact"/>
        <w:ind w:firstLineChars="200" w:firstLine="640"/>
        <w:jc w:val="center"/>
        <w:rPr>
          <w:szCs w:val="32"/>
        </w:rPr>
      </w:pPr>
      <w:r>
        <w:rPr>
          <w:rFonts w:hint="eastAsia"/>
          <w:szCs w:val="32"/>
        </w:rPr>
        <w:t xml:space="preserve">                         </w:t>
      </w:r>
      <w:r w:rsidR="008A050F">
        <w:rPr>
          <w:szCs w:val="32"/>
        </w:rPr>
        <w:t>2022</w:t>
      </w:r>
      <w:r w:rsidR="008A050F">
        <w:rPr>
          <w:szCs w:val="32"/>
        </w:rPr>
        <w:t>年</w:t>
      </w:r>
      <w:r w:rsidR="008A050F">
        <w:rPr>
          <w:szCs w:val="32"/>
        </w:rPr>
        <w:t>7</w:t>
      </w:r>
      <w:r w:rsidR="008A050F">
        <w:rPr>
          <w:szCs w:val="32"/>
        </w:rPr>
        <w:t>月</w:t>
      </w:r>
      <w:r w:rsidR="008A050F">
        <w:rPr>
          <w:szCs w:val="32"/>
        </w:rPr>
        <w:t>1</w:t>
      </w:r>
      <w:r w:rsidR="008A050F">
        <w:rPr>
          <w:szCs w:val="32"/>
        </w:rPr>
        <w:t>日</w:t>
      </w:r>
    </w:p>
    <w:p w:rsidR="009C11E2" w:rsidRDefault="009C11E2">
      <w:pPr>
        <w:spacing w:line="600" w:lineRule="exact"/>
        <w:rPr>
          <w:rFonts w:ascii="方正仿宋_GBK" w:hAnsi="方正仿宋_GBK" w:cs="方正仿宋_GBK"/>
          <w:kern w:val="0"/>
          <w:szCs w:val="32"/>
          <w:shd w:val="clear" w:color="auto" w:fill="FFFFFF"/>
        </w:rPr>
      </w:pPr>
    </w:p>
    <w:p w:rsidR="009C11E2" w:rsidRDefault="008A050F">
      <w:pPr>
        <w:spacing w:line="600" w:lineRule="exact"/>
        <w:ind w:firstLineChars="200" w:firstLine="640"/>
        <w:rPr>
          <w:rFonts w:ascii="方正仿宋_GBK" w:hAnsi="方正仿宋_GBK" w:cs="方正仿宋_GBK"/>
          <w:kern w:val="0"/>
          <w:szCs w:val="32"/>
          <w:shd w:val="clear" w:color="auto" w:fill="FFFFFF"/>
        </w:rPr>
      </w:pPr>
      <w:r>
        <w:rPr>
          <w:rFonts w:ascii="方正仿宋_GBK" w:hAnsi="方正仿宋_GBK" w:cs="方正仿宋_GBK" w:hint="eastAsia"/>
          <w:kern w:val="0"/>
          <w:szCs w:val="32"/>
          <w:shd w:val="clear" w:color="auto" w:fill="FFFFFF"/>
        </w:rPr>
        <w:t>（此件公开发布）</w:t>
      </w:r>
    </w:p>
    <w:p w:rsidR="009C11E2" w:rsidRDefault="009C11E2">
      <w:pPr>
        <w:spacing w:line="600" w:lineRule="atLeast"/>
        <w:ind w:firstLineChars="200" w:firstLine="640"/>
        <w:rPr>
          <w:rFonts w:ascii="黑体" w:eastAsia="黑体" w:hAnsi="黑体" w:cs="黑体"/>
          <w:color w:val="333333"/>
          <w:szCs w:val="32"/>
          <w:shd w:val="clear" w:color="auto" w:fill="FFFFFF"/>
        </w:rPr>
      </w:pPr>
    </w:p>
    <w:p w:rsidR="009C11E2" w:rsidRDefault="009C11E2">
      <w:pPr>
        <w:spacing w:line="600" w:lineRule="atLeast"/>
        <w:jc w:val="center"/>
        <w:rPr>
          <w:rFonts w:ascii="方正小标宋_GBK" w:eastAsia="方正小标宋_GBK" w:hAnsi="方正小标宋_GBK" w:cs="方正小标宋_GBK"/>
          <w:kern w:val="0"/>
          <w:sz w:val="44"/>
          <w:szCs w:val="44"/>
          <w:shd w:val="clear" w:color="auto" w:fill="FFFFFF"/>
        </w:rPr>
      </w:pPr>
    </w:p>
    <w:p w:rsidR="009C11E2" w:rsidRDefault="009C11E2">
      <w:pPr>
        <w:spacing w:line="600" w:lineRule="atLeast"/>
        <w:jc w:val="center"/>
        <w:rPr>
          <w:rFonts w:ascii="方正小标宋_GBK" w:eastAsia="方正小标宋_GBK" w:hAnsi="方正小标宋_GBK" w:cs="方正小标宋_GBK"/>
          <w:kern w:val="0"/>
          <w:sz w:val="44"/>
          <w:szCs w:val="44"/>
          <w:shd w:val="clear" w:color="auto" w:fill="FFFFFF"/>
        </w:rPr>
      </w:pPr>
    </w:p>
    <w:p w:rsidR="009C11E2" w:rsidRDefault="008A050F">
      <w:pPr>
        <w:spacing w:line="640" w:lineRule="exact"/>
        <w:jc w:val="center"/>
        <w:rPr>
          <w:rFonts w:eastAsia="方正小标宋_GBK"/>
          <w:color w:val="000000"/>
          <w:sz w:val="44"/>
          <w:szCs w:val="44"/>
        </w:rPr>
      </w:pPr>
      <w:r>
        <w:rPr>
          <w:rFonts w:eastAsia="方正小标宋_GBK"/>
          <w:color w:val="000000"/>
          <w:sz w:val="44"/>
          <w:szCs w:val="44"/>
        </w:rPr>
        <w:t>重庆市璧山区支持规模以上工业企业</w:t>
      </w:r>
    </w:p>
    <w:p w:rsidR="009C11E2" w:rsidRDefault="008A050F">
      <w:pPr>
        <w:spacing w:line="600" w:lineRule="atLeast"/>
        <w:jc w:val="center"/>
        <w:rPr>
          <w:rFonts w:ascii="方正仿宋_GBK" w:hAnsi="方正仿宋_GBK" w:cs="方正仿宋_GBK"/>
          <w:kern w:val="0"/>
          <w:szCs w:val="32"/>
          <w:shd w:val="clear" w:color="auto" w:fill="FFFFFF"/>
        </w:rPr>
      </w:pPr>
      <w:r>
        <w:rPr>
          <w:rFonts w:eastAsia="方正小标宋_GBK"/>
          <w:color w:val="000000"/>
          <w:sz w:val="44"/>
          <w:szCs w:val="44"/>
        </w:rPr>
        <w:t>技术改造实施方案（</w:t>
      </w:r>
      <w:r>
        <w:rPr>
          <w:rFonts w:eastAsia="方正小标宋_GBK"/>
          <w:color w:val="000000"/>
          <w:sz w:val="44"/>
          <w:szCs w:val="44"/>
        </w:rPr>
        <w:t>2020—2024</w:t>
      </w:r>
      <w:r>
        <w:rPr>
          <w:rFonts w:eastAsia="方正小标宋_GBK"/>
          <w:color w:val="000000"/>
          <w:sz w:val="44"/>
          <w:szCs w:val="44"/>
        </w:rPr>
        <w:t>年）（修订）</w:t>
      </w:r>
    </w:p>
    <w:p w:rsidR="009C11E2" w:rsidRDefault="009C11E2">
      <w:pPr>
        <w:spacing w:line="600" w:lineRule="atLeast"/>
        <w:ind w:firstLineChars="200" w:firstLine="640"/>
        <w:rPr>
          <w:rFonts w:ascii="方正仿宋_GBK" w:hAnsi="方正仿宋_GBK" w:cs="方正仿宋_GBK"/>
          <w:kern w:val="0"/>
          <w:szCs w:val="32"/>
          <w:shd w:val="clear" w:color="auto" w:fill="FFFFFF"/>
        </w:rPr>
      </w:pPr>
    </w:p>
    <w:p w:rsidR="009C11E2" w:rsidRDefault="008A050F">
      <w:pPr>
        <w:ind w:firstLineChars="200" w:firstLine="624"/>
        <w:rPr>
          <w:spacing w:val="-4"/>
          <w:szCs w:val="32"/>
        </w:rPr>
      </w:pPr>
      <w:r>
        <w:rPr>
          <w:spacing w:val="-4"/>
          <w:szCs w:val="32"/>
        </w:rPr>
        <w:t>为认真贯彻落实市委、市政府以大数据智能化为引领的创新驱动发展战略行动计划，助推璧山工业转型升级，鼓励企业深度融入以国内循环为主体、国内国际双循环相互促进的新发展格局，加快构建现代工业体系，推动制造业高质量发展，特制定如下方案。</w:t>
      </w:r>
    </w:p>
    <w:p w:rsidR="009C11E2" w:rsidRDefault="008A050F">
      <w:pPr>
        <w:ind w:firstLineChars="200" w:firstLine="640"/>
        <w:rPr>
          <w:rFonts w:eastAsia="方正黑体_GBK"/>
          <w:szCs w:val="32"/>
        </w:rPr>
      </w:pPr>
      <w:r>
        <w:rPr>
          <w:rFonts w:eastAsia="方正黑体_GBK"/>
          <w:szCs w:val="32"/>
        </w:rPr>
        <w:t>一、工作目标</w:t>
      </w:r>
    </w:p>
    <w:p w:rsidR="009C11E2" w:rsidRDefault="008A050F">
      <w:pPr>
        <w:ind w:firstLineChars="200" w:firstLine="640"/>
        <w:rPr>
          <w:szCs w:val="32"/>
        </w:rPr>
      </w:pPr>
      <w:r>
        <w:rPr>
          <w:szCs w:val="32"/>
        </w:rPr>
        <w:t>通过政府引导，激励工业企业加大投资力度开展数字化智能化改造，促进产业结构不断优化、工业经济持续增长，制造业高质量发展取得明显成效。</w:t>
      </w:r>
    </w:p>
    <w:p w:rsidR="009C11E2" w:rsidRDefault="008A050F">
      <w:pPr>
        <w:ind w:firstLineChars="200" w:firstLine="640"/>
        <w:rPr>
          <w:rFonts w:eastAsia="方正黑体_GBK"/>
          <w:szCs w:val="32"/>
        </w:rPr>
      </w:pPr>
      <w:r>
        <w:rPr>
          <w:rFonts w:eastAsia="方正黑体_GBK"/>
          <w:szCs w:val="32"/>
        </w:rPr>
        <w:t>二、支持对象及条件</w:t>
      </w:r>
    </w:p>
    <w:p w:rsidR="009C11E2" w:rsidRDefault="008A050F">
      <w:pPr>
        <w:ind w:firstLineChars="200" w:firstLine="640"/>
        <w:rPr>
          <w:rFonts w:eastAsia="方正楷体_GBK"/>
          <w:szCs w:val="32"/>
        </w:rPr>
      </w:pPr>
      <w:r>
        <w:rPr>
          <w:rFonts w:eastAsia="方正楷体_GBK"/>
          <w:szCs w:val="32"/>
        </w:rPr>
        <w:t>（一）支持范围</w:t>
      </w:r>
    </w:p>
    <w:p w:rsidR="009C11E2" w:rsidRDefault="008A050F">
      <w:pPr>
        <w:ind w:firstLineChars="200" w:firstLine="640"/>
        <w:rPr>
          <w:szCs w:val="32"/>
        </w:rPr>
      </w:pPr>
      <w:r>
        <w:rPr>
          <w:szCs w:val="32"/>
        </w:rPr>
        <w:t>1</w:t>
      </w:r>
      <w:r>
        <w:rPr>
          <w:szCs w:val="32"/>
        </w:rPr>
        <w:t>．区内规模以上工业企业（含军工企业）实施的技改扩能及节能（不含土建部分）项目，但不包括资源型及能源型企业实施的技改项目。包括：</w:t>
      </w:r>
    </w:p>
    <w:p w:rsidR="009C11E2" w:rsidRDefault="008A050F">
      <w:pPr>
        <w:ind w:firstLineChars="200" w:firstLine="640"/>
        <w:rPr>
          <w:szCs w:val="32"/>
        </w:rPr>
      </w:pPr>
      <w:r>
        <w:rPr>
          <w:szCs w:val="32"/>
        </w:rPr>
        <w:lastRenderedPageBreak/>
        <w:t xml:space="preserve">1.1 </w:t>
      </w:r>
      <w:r>
        <w:rPr>
          <w:szCs w:val="32"/>
        </w:rPr>
        <w:t>企业申报且通过区级审核的重庆市工业和信息化专项资金支持的投资类项目，以及数字化车间、智能工厂、绿色工厂、企业上云认定类项目。</w:t>
      </w:r>
    </w:p>
    <w:p w:rsidR="009C11E2" w:rsidRDefault="008A050F">
      <w:pPr>
        <w:ind w:firstLineChars="200" w:firstLine="640"/>
        <w:rPr>
          <w:szCs w:val="32"/>
        </w:rPr>
      </w:pPr>
      <w:r>
        <w:rPr>
          <w:szCs w:val="32"/>
        </w:rPr>
        <w:t xml:space="preserve">1.2 </w:t>
      </w:r>
      <w:r>
        <w:rPr>
          <w:szCs w:val="32"/>
        </w:rPr>
        <w:t>企业年度内投资额高于</w:t>
      </w:r>
      <w:r>
        <w:rPr>
          <w:szCs w:val="32"/>
        </w:rPr>
        <w:t>500</w:t>
      </w:r>
      <w:r>
        <w:rPr>
          <w:szCs w:val="32"/>
        </w:rPr>
        <w:t>万元（含</w:t>
      </w:r>
      <w:r>
        <w:rPr>
          <w:szCs w:val="32"/>
        </w:rPr>
        <w:t>500</w:t>
      </w:r>
      <w:r>
        <w:rPr>
          <w:szCs w:val="32"/>
        </w:rPr>
        <w:t>万元）的其他技改扩能及节能项目。</w:t>
      </w:r>
    </w:p>
    <w:p w:rsidR="009C11E2" w:rsidRDefault="008A050F">
      <w:pPr>
        <w:ind w:firstLineChars="200" w:firstLine="640"/>
        <w:rPr>
          <w:rFonts w:eastAsia="方正楷体_GBK"/>
          <w:szCs w:val="32"/>
        </w:rPr>
      </w:pPr>
      <w:r>
        <w:rPr>
          <w:rFonts w:eastAsia="方正楷体_GBK"/>
          <w:szCs w:val="32"/>
        </w:rPr>
        <w:t>（二）支持对象具备条件</w:t>
      </w:r>
    </w:p>
    <w:p w:rsidR="009C11E2" w:rsidRDefault="008A050F">
      <w:pPr>
        <w:ind w:firstLineChars="200" w:firstLine="640"/>
        <w:rPr>
          <w:szCs w:val="32"/>
        </w:rPr>
      </w:pPr>
      <w:r>
        <w:rPr>
          <w:szCs w:val="32"/>
        </w:rPr>
        <w:t>2</w:t>
      </w:r>
      <w:r>
        <w:rPr>
          <w:szCs w:val="32"/>
        </w:rPr>
        <w:t>．在重庆市璧山区辖区内注册登记、具有独立法人资格；且申报时未列入国家企业信用信息公示系统中</w:t>
      </w:r>
      <w:r>
        <w:rPr>
          <w:rFonts w:hint="eastAsia"/>
          <w:szCs w:val="32"/>
        </w:rPr>
        <w:t>的“严重违法失信企业名单”和国家税务总局“重大税收</w:t>
      </w:r>
      <w:r>
        <w:rPr>
          <w:rFonts w:hint="eastAsia"/>
          <w:szCs w:val="32"/>
        </w:rPr>
        <w:t>违法案件信息公布栏”</w:t>
      </w:r>
      <w:r>
        <w:rPr>
          <w:szCs w:val="32"/>
        </w:rPr>
        <w:t>名单。</w:t>
      </w:r>
    </w:p>
    <w:p w:rsidR="009C11E2" w:rsidRDefault="008A050F">
      <w:pPr>
        <w:ind w:firstLineChars="200" w:firstLine="640"/>
        <w:rPr>
          <w:szCs w:val="32"/>
        </w:rPr>
      </w:pPr>
      <w:r>
        <w:rPr>
          <w:szCs w:val="32"/>
        </w:rPr>
        <w:t>3</w:t>
      </w:r>
      <w:r>
        <w:rPr>
          <w:szCs w:val="32"/>
        </w:rPr>
        <w:t>．企业具有健全的财务管理机构和制度。</w:t>
      </w:r>
    </w:p>
    <w:p w:rsidR="009C11E2" w:rsidRDefault="008A050F">
      <w:pPr>
        <w:ind w:firstLineChars="200" w:firstLine="640"/>
        <w:rPr>
          <w:szCs w:val="32"/>
        </w:rPr>
      </w:pPr>
      <w:r>
        <w:rPr>
          <w:szCs w:val="32"/>
        </w:rPr>
        <w:t>4</w:t>
      </w:r>
      <w:r>
        <w:rPr>
          <w:szCs w:val="32"/>
        </w:rPr>
        <w:t>．企业实施的项目必须符合国家产业政策和璧山区产业定位，有项目核准、备案或公司董事会决议投资的证明文件及依据，且项目投资必须通过企业直报平台报统。</w:t>
      </w:r>
    </w:p>
    <w:p w:rsidR="009C11E2" w:rsidRDefault="008A050F">
      <w:pPr>
        <w:ind w:firstLineChars="200" w:firstLine="640"/>
        <w:rPr>
          <w:szCs w:val="32"/>
        </w:rPr>
      </w:pPr>
      <w:r>
        <w:rPr>
          <w:szCs w:val="32"/>
        </w:rPr>
        <w:t>5</w:t>
      </w:r>
      <w:r>
        <w:rPr>
          <w:szCs w:val="32"/>
        </w:rPr>
        <w:t>．申报本方案</w:t>
      </w:r>
      <w:r>
        <w:rPr>
          <w:rFonts w:hint="eastAsia"/>
          <w:szCs w:val="32"/>
        </w:rPr>
        <w:t>“</w:t>
      </w:r>
      <w:r>
        <w:rPr>
          <w:szCs w:val="32"/>
        </w:rPr>
        <w:t>1.2</w:t>
      </w:r>
      <w:r>
        <w:rPr>
          <w:szCs w:val="32"/>
        </w:rPr>
        <w:t>款</w:t>
      </w:r>
      <w:r>
        <w:rPr>
          <w:rFonts w:hint="eastAsia"/>
          <w:szCs w:val="32"/>
        </w:rPr>
        <w:t>”</w:t>
      </w:r>
      <w:r>
        <w:rPr>
          <w:szCs w:val="32"/>
        </w:rPr>
        <w:t>项目须</w:t>
      </w:r>
      <w:r>
        <w:rPr>
          <w:rFonts w:hint="eastAsia"/>
          <w:szCs w:val="32"/>
        </w:rPr>
        <w:t>具备</w:t>
      </w:r>
      <w:r>
        <w:rPr>
          <w:szCs w:val="32"/>
        </w:rPr>
        <w:t>以下条件：</w:t>
      </w:r>
    </w:p>
    <w:p w:rsidR="009C11E2" w:rsidRDefault="008A050F">
      <w:pPr>
        <w:ind w:firstLineChars="200" w:firstLine="640"/>
        <w:rPr>
          <w:szCs w:val="32"/>
        </w:rPr>
      </w:pPr>
      <w:r>
        <w:rPr>
          <w:szCs w:val="32"/>
        </w:rPr>
        <w:t xml:space="preserve">5.1 </w:t>
      </w:r>
      <w:r>
        <w:rPr>
          <w:szCs w:val="32"/>
        </w:rPr>
        <w:t>申报技改扩能项目企业的主营业务收入、纳税额（界定口径：企业年度征收期实际缴纳税金加上享受国家政策减、免、退税金）年度同比增幅均不得低于</w:t>
      </w:r>
      <w:r>
        <w:rPr>
          <w:szCs w:val="32"/>
        </w:rPr>
        <w:t>5%</w:t>
      </w:r>
      <w:r>
        <w:rPr>
          <w:szCs w:val="32"/>
        </w:rPr>
        <w:t>。</w:t>
      </w:r>
    </w:p>
    <w:p w:rsidR="009C11E2" w:rsidRDefault="008A050F">
      <w:pPr>
        <w:ind w:firstLineChars="200" w:firstLine="640"/>
        <w:rPr>
          <w:szCs w:val="32"/>
        </w:rPr>
      </w:pPr>
      <w:r>
        <w:rPr>
          <w:szCs w:val="32"/>
        </w:rPr>
        <w:t xml:space="preserve">5.2 </w:t>
      </w:r>
      <w:r>
        <w:rPr>
          <w:szCs w:val="32"/>
        </w:rPr>
        <w:t>申报节能技改项目企业的主营业务收入、纳税额年度同比增幅不作要求。</w:t>
      </w:r>
    </w:p>
    <w:p w:rsidR="009C11E2" w:rsidRDefault="008A050F">
      <w:pPr>
        <w:ind w:firstLineChars="200" w:firstLine="640"/>
        <w:rPr>
          <w:szCs w:val="32"/>
        </w:rPr>
      </w:pPr>
      <w:r>
        <w:rPr>
          <w:szCs w:val="32"/>
        </w:rPr>
        <w:t>6</w:t>
      </w:r>
      <w:r>
        <w:rPr>
          <w:szCs w:val="32"/>
        </w:rPr>
        <w:t>．申报企业须填报市经济</w:t>
      </w:r>
      <w:r>
        <w:rPr>
          <w:szCs w:val="32"/>
        </w:rPr>
        <w:t>信息委智能化改造项目认定系统</w:t>
      </w:r>
      <w:r>
        <w:rPr>
          <w:szCs w:val="32"/>
        </w:rPr>
        <w:lastRenderedPageBreak/>
        <w:t>和智能制造能力评测系统。</w:t>
      </w:r>
    </w:p>
    <w:p w:rsidR="009C11E2" w:rsidRDefault="008A050F">
      <w:pPr>
        <w:ind w:firstLineChars="200" w:firstLine="640"/>
        <w:rPr>
          <w:szCs w:val="32"/>
        </w:rPr>
      </w:pPr>
      <w:r>
        <w:rPr>
          <w:szCs w:val="32"/>
        </w:rPr>
        <w:t>7</w:t>
      </w:r>
      <w:r>
        <w:rPr>
          <w:szCs w:val="32"/>
        </w:rPr>
        <w:t>．申报项目未获得区级同类别财政资金支持。</w:t>
      </w:r>
    </w:p>
    <w:p w:rsidR="009C11E2" w:rsidRDefault="008A050F">
      <w:pPr>
        <w:ind w:firstLineChars="200" w:firstLine="640"/>
        <w:rPr>
          <w:rFonts w:eastAsia="方正黑体_GBK"/>
          <w:szCs w:val="32"/>
        </w:rPr>
      </w:pPr>
      <w:r>
        <w:rPr>
          <w:rFonts w:eastAsia="方正黑体_GBK"/>
          <w:szCs w:val="32"/>
        </w:rPr>
        <w:t>三、支持方式及资金筹集</w:t>
      </w:r>
    </w:p>
    <w:p w:rsidR="009C11E2" w:rsidRDefault="008A050F">
      <w:pPr>
        <w:ind w:firstLineChars="200" w:firstLine="640"/>
        <w:rPr>
          <w:rFonts w:eastAsia="方正楷体_GBK"/>
          <w:szCs w:val="32"/>
        </w:rPr>
      </w:pPr>
      <w:r>
        <w:rPr>
          <w:rFonts w:eastAsia="方正楷体_GBK"/>
          <w:szCs w:val="32"/>
        </w:rPr>
        <w:t>（一）支持方式</w:t>
      </w:r>
    </w:p>
    <w:p w:rsidR="009C11E2" w:rsidRDefault="008A050F">
      <w:pPr>
        <w:ind w:firstLineChars="200" w:firstLine="640"/>
        <w:rPr>
          <w:szCs w:val="32"/>
        </w:rPr>
      </w:pPr>
      <w:r>
        <w:rPr>
          <w:szCs w:val="32"/>
        </w:rPr>
        <w:t>8</w:t>
      </w:r>
      <w:r>
        <w:rPr>
          <w:szCs w:val="32"/>
        </w:rPr>
        <w:t>．对已完工的项目实施事后补助。</w:t>
      </w:r>
    </w:p>
    <w:p w:rsidR="009C11E2" w:rsidRDefault="008A050F">
      <w:pPr>
        <w:ind w:firstLineChars="200" w:firstLine="640"/>
        <w:rPr>
          <w:szCs w:val="32"/>
        </w:rPr>
      </w:pPr>
      <w:r>
        <w:rPr>
          <w:szCs w:val="32"/>
        </w:rPr>
        <w:t>9</w:t>
      </w:r>
      <w:r>
        <w:rPr>
          <w:szCs w:val="32"/>
        </w:rPr>
        <w:t>．对获得重庆市工业和信息化专项资金支持的项目，不再审核，并按以下方式给予补助：</w:t>
      </w:r>
    </w:p>
    <w:p w:rsidR="009C11E2" w:rsidRDefault="008A050F">
      <w:pPr>
        <w:ind w:firstLineChars="200" w:firstLine="640"/>
        <w:rPr>
          <w:szCs w:val="32"/>
        </w:rPr>
      </w:pPr>
      <w:r>
        <w:rPr>
          <w:szCs w:val="32"/>
        </w:rPr>
        <w:t xml:space="preserve">9.1 </w:t>
      </w:r>
      <w:r>
        <w:rPr>
          <w:szCs w:val="32"/>
        </w:rPr>
        <w:t>对获得市级工业和信息化专项资金支持的投资类项目：以市级补助金额按</w:t>
      </w:r>
      <w:r>
        <w:rPr>
          <w:szCs w:val="32"/>
        </w:rPr>
        <w:t>1:0.5</w:t>
      </w:r>
      <w:r>
        <w:rPr>
          <w:szCs w:val="32"/>
        </w:rPr>
        <w:t>的标准给予补助，单个项目的补助金额最高不得超过</w:t>
      </w:r>
      <w:r>
        <w:rPr>
          <w:szCs w:val="32"/>
        </w:rPr>
        <w:t>150</w:t>
      </w:r>
      <w:r>
        <w:rPr>
          <w:szCs w:val="32"/>
        </w:rPr>
        <w:t>万元。</w:t>
      </w:r>
    </w:p>
    <w:p w:rsidR="009C11E2" w:rsidRDefault="008A050F">
      <w:pPr>
        <w:ind w:firstLineChars="200" w:firstLine="640"/>
        <w:rPr>
          <w:szCs w:val="32"/>
        </w:rPr>
      </w:pPr>
      <w:r>
        <w:rPr>
          <w:szCs w:val="32"/>
        </w:rPr>
        <w:t xml:space="preserve">9.2 </w:t>
      </w:r>
      <w:r>
        <w:rPr>
          <w:szCs w:val="32"/>
        </w:rPr>
        <w:t>对数字化车间和智能工厂认定项目：以市级补助金额按</w:t>
      </w:r>
      <w:r>
        <w:rPr>
          <w:szCs w:val="32"/>
        </w:rPr>
        <w:t>1:0.5</w:t>
      </w:r>
      <w:r>
        <w:rPr>
          <w:szCs w:val="32"/>
        </w:rPr>
        <w:t>的标准给予补助，单个项目的补助金额最高不得超过</w:t>
      </w:r>
      <w:r>
        <w:rPr>
          <w:szCs w:val="32"/>
        </w:rPr>
        <w:t>50</w:t>
      </w:r>
      <w:r>
        <w:rPr>
          <w:szCs w:val="32"/>
        </w:rPr>
        <w:t>万元。</w:t>
      </w:r>
    </w:p>
    <w:p w:rsidR="009C11E2" w:rsidRDefault="008A050F">
      <w:pPr>
        <w:ind w:firstLineChars="200" w:firstLine="640"/>
        <w:rPr>
          <w:szCs w:val="32"/>
        </w:rPr>
      </w:pPr>
      <w:r>
        <w:rPr>
          <w:szCs w:val="32"/>
        </w:rPr>
        <w:t xml:space="preserve">9.3 </w:t>
      </w:r>
      <w:r>
        <w:rPr>
          <w:szCs w:val="32"/>
        </w:rPr>
        <w:t>对绿色工厂、中小企业上云认定项目：以市级补助金额按</w:t>
      </w:r>
      <w:r>
        <w:rPr>
          <w:szCs w:val="32"/>
        </w:rPr>
        <w:t>1:0.5</w:t>
      </w:r>
      <w:r>
        <w:rPr>
          <w:szCs w:val="32"/>
        </w:rPr>
        <w:t>的标准给予补助，单个项目的补助金额最高不得超过</w:t>
      </w:r>
      <w:r>
        <w:rPr>
          <w:szCs w:val="32"/>
        </w:rPr>
        <w:t>20</w:t>
      </w:r>
      <w:r>
        <w:rPr>
          <w:szCs w:val="32"/>
        </w:rPr>
        <w:t>万元。</w:t>
      </w:r>
    </w:p>
    <w:p w:rsidR="009C11E2" w:rsidRDefault="008A050F">
      <w:pPr>
        <w:ind w:firstLineChars="200" w:firstLine="640"/>
        <w:rPr>
          <w:szCs w:val="32"/>
        </w:rPr>
      </w:pPr>
      <w:r>
        <w:rPr>
          <w:szCs w:val="32"/>
        </w:rPr>
        <w:t>10</w:t>
      </w:r>
      <w:r>
        <w:rPr>
          <w:szCs w:val="32"/>
        </w:rPr>
        <w:t>．对本方案</w:t>
      </w:r>
      <w:r>
        <w:rPr>
          <w:rFonts w:hint="eastAsia"/>
          <w:szCs w:val="32"/>
        </w:rPr>
        <w:t>“</w:t>
      </w:r>
      <w:r>
        <w:rPr>
          <w:szCs w:val="32"/>
        </w:rPr>
        <w:t>1.1</w:t>
      </w:r>
      <w:r>
        <w:rPr>
          <w:szCs w:val="32"/>
        </w:rPr>
        <w:t>款</w:t>
      </w:r>
      <w:r>
        <w:rPr>
          <w:rFonts w:hint="eastAsia"/>
          <w:szCs w:val="32"/>
        </w:rPr>
        <w:t>”</w:t>
      </w:r>
      <w:r>
        <w:rPr>
          <w:szCs w:val="32"/>
        </w:rPr>
        <w:t>中未获得市级专项资金支持的投资类项目及本方案</w:t>
      </w:r>
      <w:r>
        <w:rPr>
          <w:rFonts w:hint="eastAsia"/>
          <w:szCs w:val="32"/>
        </w:rPr>
        <w:t>“</w:t>
      </w:r>
      <w:r>
        <w:rPr>
          <w:szCs w:val="32"/>
        </w:rPr>
        <w:t>1.2</w:t>
      </w:r>
      <w:r>
        <w:rPr>
          <w:szCs w:val="32"/>
        </w:rPr>
        <w:t>款</w:t>
      </w:r>
      <w:r>
        <w:rPr>
          <w:rFonts w:hint="eastAsia"/>
          <w:szCs w:val="32"/>
        </w:rPr>
        <w:t>”</w:t>
      </w:r>
      <w:r>
        <w:rPr>
          <w:szCs w:val="32"/>
        </w:rPr>
        <w:t>的其他投资类项目实行差异化补助：对一般技改项目按项目投资额的</w:t>
      </w:r>
      <w:r>
        <w:rPr>
          <w:szCs w:val="32"/>
        </w:rPr>
        <w:t>5%</w:t>
      </w:r>
      <w:r>
        <w:rPr>
          <w:szCs w:val="32"/>
        </w:rPr>
        <w:t>予以补助，单个项目的补助金额最高不得超过</w:t>
      </w:r>
      <w:r>
        <w:rPr>
          <w:szCs w:val="32"/>
        </w:rPr>
        <w:t>50</w:t>
      </w:r>
      <w:r>
        <w:rPr>
          <w:szCs w:val="32"/>
        </w:rPr>
        <w:t>万元；对智能化、数字化、工业互联网及节能项目按投资额的</w:t>
      </w:r>
      <w:r>
        <w:rPr>
          <w:szCs w:val="32"/>
        </w:rPr>
        <w:t>10%</w:t>
      </w:r>
      <w:r>
        <w:rPr>
          <w:szCs w:val="32"/>
        </w:rPr>
        <w:t>予以补助，单个项目的补助金额最高不</w:t>
      </w:r>
      <w:r>
        <w:rPr>
          <w:szCs w:val="32"/>
        </w:rPr>
        <w:lastRenderedPageBreak/>
        <w:t>得超过</w:t>
      </w:r>
      <w:r>
        <w:rPr>
          <w:szCs w:val="32"/>
        </w:rPr>
        <w:t>100</w:t>
      </w:r>
      <w:r>
        <w:rPr>
          <w:szCs w:val="32"/>
        </w:rPr>
        <w:t>万元。</w:t>
      </w:r>
    </w:p>
    <w:p w:rsidR="009C11E2" w:rsidRDefault="008A050F">
      <w:pPr>
        <w:ind w:firstLineChars="200" w:firstLine="640"/>
        <w:rPr>
          <w:szCs w:val="32"/>
        </w:rPr>
      </w:pPr>
      <w:r>
        <w:rPr>
          <w:szCs w:val="32"/>
        </w:rPr>
        <w:t>11</w:t>
      </w:r>
      <w:r>
        <w:rPr>
          <w:szCs w:val="32"/>
        </w:rPr>
        <w:t>．区财政每年安排不高于</w:t>
      </w:r>
      <w:r>
        <w:rPr>
          <w:szCs w:val="32"/>
        </w:rPr>
        <w:t>3000</w:t>
      </w:r>
      <w:r>
        <w:rPr>
          <w:szCs w:val="32"/>
        </w:rPr>
        <w:t>万元专项补助资金。补助资金由重庆璧山高新区管委会承担，并纳入区经济信息委年度预算安排。</w:t>
      </w:r>
    </w:p>
    <w:p w:rsidR="009C11E2" w:rsidRDefault="008A050F">
      <w:pPr>
        <w:ind w:firstLineChars="200" w:firstLine="640"/>
        <w:rPr>
          <w:szCs w:val="32"/>
        </w:rPr>
      </w:pPr>
      <w:r>
        <w:rPr>
          <w:szCs w:val="32"/>
        </w:rPr>
        <w:t>12</w:t>
      </w:r>
      <w:r>
        <w:rPr>
          <w:szCs w:val="32"/>
        </w:rPr>
        <w:t>．每个企业年度申报项目最多不超过</w:t>
      </w:r>
      <w:r>
        <w:rPr>
          <w:szCs w:val="32"/>
        </w:rPr>
        <w:t>2</w:t>
      </w:r>
      <w:r>
        <w:rPr>
          <w:szCs w:val="32"/>
        </w:rPr>
        <w:t>个，如因年度项目多、投资额大造成专项资金不足，按项目计算补助资金总额与财政专项资金总额的比例，分摊到所有项目。</w:t>
      </w:r>
    </w:p>
    <w:p w:rsidR="009C11E2" w:rsidRDefault="008A050F">
      <w:pPr>
        <w:ind w:firstLineChars="200" w:firstLine="640"/>
        <w:rPr>
          <w:rFonts w:eastAsia="方正黑体_GBK"/>
          <w:szCs w:val="32"/>
        </w:rPr>
      </w:pPr>
      <w:r>
        <w:rPr>
          <w:rFonts w:eastAsia="方正黑体_GBK"/>
          <w:szCs w:val="32"/>
        </w:rPr>
        <w:t>四、项目申报与审核</w:t>
      </w:r>
    </w:p>
    <w:p w:rsidR="009C11E2" w:rsidRDefault="008A050F">
      <w:pPr>
        <w:ind w:firstLineChars="200" w:firstLine="640"/>
        <w:rPr>
          <w:rFonts w:eastAsia="方正楷体_GBK"/>
          <w:szCs w:val="32"/>
        </w:rPr>
      </w:pPr>
      <w:bookmarkStart w:id="0" w:name="_GoBack"/>
      <w:r>
        <w:rPr>
          <w:rFonts w:eastAsia="方正楷体_GBK"/>
          <w:szCs w:val="32"/>
        </w:rPr>
        <w:t>（一）项目申报</w:t>
      </w:r>
    </w:p>
    <w:bookmarkEnd w:id="0"/>
    <w:p w:rsidR="009C11E2" w:rsidRDefault="008A050F">
      <w:pPr>
        <w:ind w:firstLineChars="200" w:firstLine="640"/>
        <w:rPr>
          <w:szCs w:val="32"/>
        </w:rPr>
      </w:pPr>
      <w:r>
        <w:rPr>
          <w:szCs w:val="32"/>
        </w:rPr>
        <w:t>13</w:t>
      </w:r>
      <w:r>
        <w:rPr>
          <w:szCs w:val="32"/>
        </w:rPr>
        <w:t>．从</w:t>
      </w:r>
      <w:r>
        <w:rPr>
          <w:szCs w:val="32"/>
        </w:rPr>
        <w:t>2021</w:t>
      </w:r>
      <w:r>
        <w:rPr>
          <w:szCs w:val="32"/>
        </w:rPr>
        <w:t>年起，项目实施单位对上年度已完工项目按附件所列清单规范编制项目申报书一式三份，在当年</w:t>
      </w:r>
      <w:r>
        <w:rPr>
          <w:szCs w:val="32"/>
        </w:rPr>
        <w:t>3</w:t>
      </w:r>
      <w:r>
        <w:rPr>
          <w:szCs w:val="32"/>
        </w:rPr>
        <w:t>月底前直接向区经济信息委申报。</w:t>
      </w:r>
    </w:p>
    <w:p w:rsidR="009C11E2" w:rsidRDefault="008A050F">
      <w:pPr>
        <w:ind w:firstLineChars="200" w:firstLine="640"/>
        <w:rPr>
          <w:rFonts w:eastAsia="方正楷体_GBK"/>
          <w:szCs w:val="32"/>
        </w:rPr>
      </w:pPr>
      <w:r>
        <w:rPr>
          <w:rFonts w:eastAsia="方正楷体_GBK"/>
          <w:szCs w:val="32"/>
        </w:rPr>
        <w:t>（二）项目审核</w:t>
      </w:r>
    </w:p>
    <w:p w:rsidR="009C11E2" w:rsidRDefault="008A050F">
      <w:pPr>
        <w:ind w:firstLineChars="200" w:firstLine="640"/>
        <w:rPr>
          <w:szCs w:val="32"/>
        </w:rPr>
      </w:pPr>
      <w:r>
        <w:rPr>
          <w:szCs w:val="32"/>
        </w:rPr>
        <w:t>14</w:t>
      </w:r>
      <w:r>
        <w:rPr>
          <w:szCs w:val="32"/>
        </w:rPr>
        <w:t>．由重庆璧山高新区管委会、区发展改革委、区财政局、</w:t>
      </w:r>
      <w:r>
        <w:rPr>
          <w:szCs w:val="32"/>
        </w:rPr>
        <w:t>区经济信息委、区科技局、区税务局等单位组成项目联席会议，负责项目审核、资金拨付工作，日常工作由区经济信息委负责。</w:t>
      </w:r>
    </w:p>
    <w:p w:rsidR="009C11E2" w:rsidRDefault="008A050F">
      <w:pPr>
        <w:ind w:firstLineChars="200" w:firstLine="640"/>
        <w:rPr>
          <w:szCs w:val="32"/>
        </w:rPr>
      </w:pPr>
      <w:r>
        <w:rPr>
          <w:szCs w:val="32"/>
        </w:rPr>
        <w:t>15</w:t>
      </w:r>
      <w:r>
        <w:rPr>
          <w:szCs w:val="32"/>
        </w:rPr>
        <w:t>．为确保项目审核公平公正，参照重庆市工业和信息化专项资金项目审核方式，委托第三方机构对项目的投资额进行核实。审核经费纳入重庆市工业和信息化专项资金项目真实性核查经费预算，由区财政安排。</w:t>
      </w:r>
    </w:p>
    <w:p w:rsidR="009C11E2" w:rsidRDefault="008A050F">
      <w:pPr>
        <w:pStyle w:val="a0"/>
        <w:ind w:firstLineChars="200" w:firstLine="640"/>
        <w:rPr>
          <w:sz w:val="32"/>
          <w:szCs w:val="32"/>
        </w:rPr>
      </w:pPr>
      <w:r>
        <w:rPr>
          <w:sz w:val="32"/>
          <w:szCs w:val="32"/>
        </w:rPr>
        <w:t>16</w:t>
      </w:r>
      <w:r>
        <w:rPr>
          <w:sz w:val="32"/>
          <w:szCs w:val="32"/>
        </w:rPr>
        <w:t>．项目审核工作完成后由区经济信息委上报区政府审批，</w:t>
      </w:r>
      <w:r>
        <w:rPr>
          <w:sz w:val="32"/>
          <w:szCs w:val="32"/>
        </w:rPr>
        <w:lastRenderedPageBreak/>
        <w:t>经区政府审批同意后，在区政府网站公示</w:t>
      </w:r>
      <w:r>
        <w:rPr>
          <w:sz w:val="32"/>
          <w:szCs w:val="32"/>
        </w:rPr>
        <w:t>7</w:t>
      </w:r>
      <w:r>
        <w:rPr>
          <w:sz w:val="32"/>
          <w:szCs w:val="32"/>
        </w:rPr>
        <w:t>个工作日，对无投诉、举报的项目完善补助资金拨付手续。</w:t>
      </w:r>
    </w:p>
    <w:p w:rsidR="009C11E2" w:rsidRDefault="008A050F">
      <w:pPr>
        <w:pStyle w:val="7"/>
        <w:ind w:left="0" w:firstLineChars="200" w:firstLine="640"/>
      </w:pPr>
      <w:r>
        <w:rPr>
          <w:rFonts w:ascii="方正仿宋_GBK" w:hAnsi="方正仿宋_GBK" w:cs="方正仿宋_GBK" w:hint="eastAsia"/>
          <w:kern w:val="0"/>
          <w:szCs w:val="32"/>
          <w:shd w:val="clear" w:color="auto" w:fill="FFFFFF"/>
        </w:rPr>
        <w:t>本办法自印发之日起施行。</w:t>
      </w:r>
    </w:p>
    <w:sectPr w:rsidR="009C11E2" w:rsidSect="009C11E2">
      <w:headerReference w:type="default" r:id="rId7"/>
      <w:footerReference w:type="even" r:id="rId8"/>
      <w:footerReference w:type="default" r:id="rId9"/>
      <w:pgSz w:w="11906" w:h="16838"/>
      <w:pgMar w:top="1962" w:right="1474" w:bottom="1848" w:left="1588" w:header="851" w:footer="1474" w:gutter="0"/>
      <w:pgNumType w:fmt="numberInDash"/>
      <w:cols w:space="720"/>
      <w:docGrid w:type="lines" w:linePitch="578"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50F" w:rsidRDefault="008A050F" w:rsidP="009C11E2">
      <w:r>
        <w:separator/>
      </w:r>
    </w:p>
  </w:endnote>
  <w:endnote w:type="continuationSeparator" w:id="1">
    <w:p w:rsidR="008A050F" w:rsidRDefault="008A050F" w:rsidP="009C11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E2" w:rsidRDefault="008A050F">
    <w:pPr>
      <w:pStyle w:val="a4"/>
      <w:ind w:right="360" w:firstLine="360"/>
      <w:rPr>
        <w:rFonts w:ascii="宋体" w:eastAsia="宋体" w:hAnsi="宋体"/>
        <w:sz w:val="28"/>
      </w:rPr>
    </w:pPr>
    <w:r>
      <w:rPr>
        <w:rStyle w:val="a6"/>
        <w:rFonts w:ascii="宋体" w:eastAsia="宋体" w:hAnsi="宋体" w:hint="eastAsia"/>
        <w:sz w:val="28"/>
      </w:rPr>
      <w:t>―</w:t>
    </w:r>
    <w:r w:rsidR="009C11E2">
      <w:rPr>
        <w:rFonts w:ascii="宋体" w:eastAsia="宋体" w:hAnsi="宋体" w:hint="eastAsia"/>
        <w:kern w:val="0"/>
        <w:sz w:val="28"/>
      </w:rPr>
      <w:fldChar w:fldCharType="begin"/>
    </w:r>
    <w:r>
      <w:rPr>
        <w:rFonts w:ascii="宋体" w:eastAsia="宋体" w:hAnsi="宋体" w:hint="eastAsia"/>
        <w:kern w:val="0"/>
        <w:sz w:val="28"/>
      </w:rPr>
      <w:instrText xml:space="preserve"> PAGE </w:instrText>
    </w:r>
    <w:r w:rsidR="009C11E2">
      <w:rPr>
        <w:rFonts w:ascii="宋体" w:eastAsia="宋体" w:hAnsi="宋体" w:hint="eastAsia"/>
        <w:kern w:val="0"/>
        <w:sz w:val="28"/>
      </w:rPr>
      <w:fldChar w:fldCharType="separate"/>
    </w:r>
    <w:r>
      <w:rPr>
        <w:rFonts w:ascii="宋体" w:eastAsia="宋体" w:hAnsi="宋体"/>
        <w:kern w:val="0"/>
        <w:sz w:val="28"/>
      </w:rPr>
      <w:t>2</w:t>
    </w:r>
    <w:r w:rsidR="009C11E2">
      <w:rPr>
        <w:rFonts w:ascii="宋体" w:eastAsia="宋体" w:hAnsi="宋体" w:hint="eastAsia"/>
        <w:kern w:val="0"/>
        <w:sz w:val="28"/>
      </w:rPr>
      <w:fldChar w:fldCharType="end"/>
    </w:r>
    <w:r>
      <w:rPr>
        <w:rStyle w:val="a6"/>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E2" w:rsidRDefault="009C11E2">
    <w:pPr>
      <w:pStyle w:val="a4"/>
      <w:ind w:rightChars="100" w:right="320"/>
      <w:jc w:val="both"/>
      <w:rPr>
        <w:rFonts w:eastAsia="仿宋"/>
        <w:sz w:val="32"/>
        <w:szCs w:val="48"/>
      </w:rPr>
    </w:pPr>
    <w:r w:rsidRPr="009C11E2">
      <w:rPr>
        <w:sz w:val="32"/>
      </w:rPr>
      <w:pict>
        <v:shapetype id="_x0000_t202" coordsize="21600,21600" o:spt="202" path="m,l,21600r21600,l21600,xe">
          <v:stroke joinstyle="miter"/>
          <v:path gradientshapeok="t" o:connecttype="rect"/>
        </v:shapetype>
        <v:shape id="_x0000_s1028" type="#_x0000_t202" style="position:absolute;left:0;text-align:left;margin-left:104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9C11E2" w:rsidRDefault="009C11E2">
                <w:pPr>
                  <w:pStyle w:val="a4"/>
                  <w:rPr>
                    <w:rFonts w:ascii="宋体" w:eastAsia="宋体" w:hAnsi="宋体" w:cs="宋体"/>
                    <w:sz w:val="28"/>
                    <w:szCs w:val="32"/>
                  </w:rPr>
                </w:pPr>
                <w:r>
                  <w:rPr>
                    <w:rFonts w:ascii="宋体" w:eastAsia="宋体" w:hAnsi="宋体" w:cs="宋体" w:hint="eastAsia"/>
                    <w:sz w:val="28"/>
                    <w:szCs w:val="32"/>
                  </w:rPr>
                  <w:fldChar w:fldCharType="begin"/>
                </w:r>
                <w:r w:rsidR="008A050F">
                  <w:rPr>
                    <w:rFonts w:ascii="宋体" w:eastAsia="宋体" w:hAnsi="宋体" w:cs="宋体" w:hint="eastAsia"/>
                    <w:sz w:val="28"/>
                    <w:szCs w:val="32"/>
                  </w:rPr>
                  <w:instrText xml:space="preserve"> PAGE  \* MERGEFORMAT </w:instrText>
                </w:r>
                <w:r>
                  <w:rPr>
                    <w:rFonts w:ascii="宋体" w:eastAsia="宋体" w:hAnsi="宋体" w:cs="宋体" w:hint="eastAsia"/>
                    <w:sz w:val="28"/>
                    <w:szCs w:val="32"/>
                  </w:rPr>
                  <w:fldChar w:fldCharType="separate"/>
                </w:r>
                <w:r w:rsidR="003C278C">
                  <w:rPr>
                    <w:rFonts w:ascii="宋体" w:eastAsia="宋体" w:hAnsi="宋体" w:cs="宋体"/>
                    <w:noProof/>
                    <w:sz w:val="28"/>
                    <w:szCs w:val="32"/>
                  </w:rPr>
                  <w:t>- 6 -</w:t>
                </w:r>
                <w:r>
                  <w:rPr>
                    <w:rFonts w:ascii="宋体" w:eastAsia="宋体" w:hAnsi="宋体" w:cs="宋体" w:hint="eastAsia"/>
                    <w:sz w:val="28"/>
                    <w:szCs w:val="32"/>
                  </w:rPr>
                  <w:fldChar w:fldCharType="end"/>
                </w:r>
              </w:p>
            </w:txbxContent>
          </v:textbox>
          <w10:wrap anchorx="margin"/>
        </v:shape>
      </w:pict>
    </w:r>
    <w:r w:rsidR="008A050F">
      <w:rPr>
        <w:rFonts w:eastAsia="仿宋" w:hint="eastAsia"/>
        <w:sz w:val="32"/>
        <w:szCs w:val="48"/>
      </w:rPr>
      <w:tab/>
    </w:r>
    <w:r w:rsidR="008A050F">
      <w:rPr>
        <w:rFonts w:eastAsia="仿宋" w:hint="eastAsia"/>
        <w:sz w:val="32"/>
        <w:szCs w:val="48"/>
      </w:rPr>
      <w:tab/>
    </w:r>
  </w:p>
  <w:p w:rsidR="009C11E2" w:rsidRDefault="009C11E2">
    <w:pPr>
      <w:pStyle w:val="a5"/>
      <w:ind w:leftChars="700" w:left="2240" w:firstLineChars="2461" w:firstLine="7875"/>
      <w:jc w:val="left"/>
      <w:rPr>
        <w:rStyle w:val="a6"/>
        <w:rFonts w:ascii="宋体" w:eastAsia="宋体" w:hAnsi="宋体"/>
        <w:sz w:val="28"/>
      </w:rPr>
    </w:pPr>
    <w:r w:rsidRPr="009C11E2">
      <w:rPr>
        <w:color w:val="FAFAFA"/>
        <w:sz w:val="32"/>
      </w:rPr>
      <w:pict>
        <v:line id="_x0000_s1027" style="position:absolute;left:0;text-align:left;z-index:251660288" from="0,5.85pt" to="442.25pt,6pt"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strokecolor="#005192" strokeweight="1.75pt">
          <v:stroke joinstyle="miter"/>
        </v:line>
      </w:pict>
    </w:r>
    <w:r w:rsidR="008A050F">
      <w:rPr>
        <w:rFonts w:ascii="宋体" w:eastAsia="宋体" w:hAnsi="宋体" w:cs="宋体" w:hint="eastAsia"/>
        <w:b/>
        <w:bCs/>
        <w:color w:val="005192"/>
        <w:sz w:val="28"/>
        <w:szCs w:val="44"/>
      </w:rPr>
      <w:t xml:space="preserve"> </w:t>
    </w:r>
    <w:r w:rsidR="008A050F">
      <w:rPr>
        <w:rFonts w:ascii="宋体" w:eastAsia="宋体" w:hAnsi="宋体" w:cs="宋体" w:hint="eastAsia"/>
        <w:b/>
        <w:bCs/>
        <w:color w:val="005192"/>
        <w:sz w:val="28"/>
        <w:szCs w:val="44"/>
      </w:rPr>
      <w:t>重庆市璧山区经济和信息化委员会发布</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50F" w:rsidRDefault="008A050F" w:rsidP="009C11E2">
      <w:r>
        <w:separator/>
      </w:r>
    </w:p>
  </w:footnote>
  <w:footnote w:type="continuationSeparator" w:id="1">
    <w:p w:rsidR="008A050F" w:rsidRDefault="008A050F" w:rsidP="009C11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1E2" w:rsidRDefault="009C11E2">
    <w:pPr>
      <w:pStyle w:val="a5"/>
      <w:textAlignment w:val="center"/>
      <w:rPr>
        <w:rFonts w:ascii="方正仿宋_GBK" w:hAnsi="方正仿宋_GBK" w:cs="方正仿宋_GBK"/>
        <w:b/>
        <w:bCs/>
        <w:color w:val="000000" w:themeColor="text1"/>
        <w:sz w:val="32"/>
      </w:rPr>
    </w:pPr>
    <w:r>
      <w:rPr>
        <w:rFonts w:ascii="方正仿宋_GBK" w:hAnsi="方正仿宋_GBK" w:cs="方正仿宋_GBK"/>
        <w:b/>
        <w:bCs/>
        <w:color w:val="000000" w:themeColor="text1"/>
        <w:sz w:val="32"/>
      </w:rPr>
      <w:pict>
        <v:line id="_x0000_s1026" style="position:absolute;left:0;text-align:left;z-index:251659264" from="0,54.35pt" to="442.55pt,54.35pt"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strokecolor="#005192" strokeweight="1.75pt">
          <v:stroke joinstyle="miter"/>
        </v:line>
      </w:pict>
    </w:r>
  </w:p>
  <w:p w:rsidR="009C11E2" w:rsidRDefault="008A050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重庆市璧山区经济和信息化委员会</w:t>
    </w:r>
    <w:r>
      <w:rPr>
        <w:rFonts w:ascii="宋体" w:eastAsia="宋体" w:hAnsi="宋体" w:cs="宋体" w:hint="eastAsia"/>
        <w:b/>
        <w:bCs/>
        <w:color w:val="005192"/>
        <w:sz w:val="32"/>
        <w:szCs w:val="32"/>
        <w:lang/>
      </w:rPr>
      <w:t>规范性文件</w:t>
    </w:r>
  </w:p>
  <w:p w:rsidR="009C11E2" w:rsidRDefault="009C11E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yMTIzNzllMWFhOGY5MTdjNjFkMWRlMGE4NjNhZTMifQ=="/>
  </w:docVars>
  <w:rsids>
    <w:rsidRoot w:val="284B012A"/>
    <w:rsid w:val="003C278C"/>
    <w:rsid w:val="008A050F"/>
    <w:rsid w:val="009C11E2"/>
    <w:rsid w:val="1A2A01E4"/>
    <w:rsid w:val="1DF24184"/>
    <w:rsid w:val="284B012A"/>
    <w:rsid w:val="3D402D06"/>
    <w:rsid w:val="3F3A2CEF"/>
    <w:rsid w:val="4AFA35C1"/>
    <w:rsid w:val="603911C4"/>
    <w:rsid w:val="60E94998"/>
    <w:rsid w:val="68000819"/>
    <w:rsid w:val="73AB3D2F"/>
    <w:rsid w:val="78153E6C"/>
    <w:rsid w:val="791D122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7" w:qFormat="1"/>
    <w:lsdException w:name="footer" w:uiPriority="99"/>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9C11E2"/>
    <w:pPr>
      <w:widowControl w:val="0"/>
      <w:jc w:val="both"/>
    </w:pPr>
    <w:rPr>
      <w:rFonts w:ascii="Times New Roman" w:eastAsia="方正仿宋_GBK" w:hAnsi="Times New Roman" w:cs="Times New Roman"/>
      <w:kern w:val="2"/>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7"/>
    <w:qFormat/>
    <w:rsid w:val="009C11E2"/>
    <w:rPr>
      <w:sz w:val="30"/>
    </w:rPr>
  </w:style>
  <w:style w:type="paragraph" w:styleId="7">
    <w:name w:val="index 7"/>
    <w:basedOn w:val="a"/>
    <w:next w:val="a"/>
    <w:qFormat/>
    <w:rsid w:val="009C11E2"/>
    <w:pPr>
      <w:ind w:left="2520"/>
    </w:pPr>
  </w:style>
  <w:style w:type="paragraph" w:styleId="a4">
    <w:name w:val="footer"/>
    <w:basedOn w:val="a"/>
    <w:uiPriority w:val="99"/>
    <w:rsid w:val="009C11E2"/>
    <w:pPr>
      <w:tabs>
        <w:tab w:val="center" w:pos="4153"/>
        <w:tab w:val="right" w:pos="8306"/>
      </w:tabs>
      <w:snapToGrid w:val="0"/>
      <w:jc w:val="left"/>
    </w:pPr>
    <w:rPr>
      <w:sz w:val="18"/>
    </w:rPr>
  </w:style>
  <w:style w:type="paragraph" w:styleId="a5">
    <w:name w:val="header"/>
    <w:basedOn w:val="a"/>
    <w:rsid w:val="009C11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rsid w:val="009C11E2"/>
  </w:style>
  <w:style w:type="character" w:customStyle="1" w:styleId="fontstyle41">
    <w:name w:val="fontstyle41"/>
    <w:basedOn w:val="a1"/>
    <w:rsid w:val="009C11E2"/>
    <w:rPr>
      <w:rFonts w:ascii="宋体" w:eastAsia="宋体" w:hAnsi="宋体" w:hint="eastAsia"/>
      <w:color w:val="000000"/>
      <w:sz w:val="24"/>
      <w:szCs w:val="24"/>
    </w:rPr>
  </w:style>
  <w:style w:type="paragraph" w:styleId="a7">
    <w:name w:val="Balloon Text"/>
    <w:basedOn w:val="a"/>
    <w:link w:val="Char"/>
    <w:rsid w:val="003C278C"/>
    <w:rPr>
      <w:sz w:val="18"/>
      <w:szCs w:val="18"/>
    </w:rPr>
  </w:style>
  <w:style w:type="character" w:customStyle="1" w:styleId="Char">
    <w:name w:val="批注框文本 Char"/>
    <w:basedOn w:val="a1"/>
    <w:link w:val="a7"/>
    <w:rsid w:val="003C278C"/>
    <w:rPr>
      <w:rFonts w:ascii="Times New Roman" w:eastAsia="方正仿宋_GBK"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294</Words>
  <Characters>1681</Characters>
  <Application>Microsoft Office Word</Application>
  <DocSecurity>0</DocSecurity>
  <Lines>14</Lines>
  <Paragraphs>3</Paragraphs>
  <ScaleCrop>false</ScaleCrop>
  <Company>微软中国</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飞奔的胖头鱼</dc:creator>
  <cp:lastModifiedBy>经信委管理员[jxw_admin]</cp:lastModifiedBy>
  <cp:revision>2</cp:revision>
  <dcterms:created xsi:type="dcterms:W3CDTF">2023-06-25T06:35:00Z</dcterms:created>
  <dcterms:modified xsi:type="dcterms:W3CDTF">2023-09-19T08:05:00Z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2052-11.1.0.14177</vt:lpwstr>
  </property>
  <property fmtid="{D5CDD505-2E9C-101B-9397-08002B2CF9AE}" pid="3" name="ICV">
    <vt:lpwstr>D6C9442AD8284FAC8EDC7DC8BB3BCF4A_13</vt:lpwstr>
  </property>
</Properties>
</file>