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0"/>
          <w:szCs w:val="44"/>
        </w:rPr>
      </w:pPr>
    </w:p>
    <w:p>
      <w:pPr>
        <w:jc w:val="center"/>
        <w:rPr>
          <w:rFonts w:ascii="方正小标宋_GBK" w:hAnsi="方正小标宋_GBK" w:eastAsia="方正小标宋_GBK" w:cs="方正小标宋_GBK"/>
          <w:sz w:val="40"/>
          <w:szCs w:val="44"/>
        </w:rPr>
      </w:pPr>
    </w:p>
    <w:p>
      <w:pPr>
        <w:jc w:val="center"/>
        <w:rPr>
          <w:rFonts w:ascii="方正小标宋_GBK" w:hAnsi="方正小标宋_GBK" w:eastAsia="方正小标宋_GBK" w:cs="方正小标宋_GBK"/>
          <w:sz w:val="40"/>
          <w:szCs w:val="44"/>
        </w:rPr>
      </w:pPr>
    </w:p>
    <w:p>
      <w:pPr>
        <w:jc w:val="center"/>
        <w:rPr>
          <w:rFonts w:ascii="方正小标宋_GBK" w:hAnsi="方正小标宋_GBK" w:eastAsia="方正小标宋_GBK" w:cs="方正小标宋_GBK"/>
          <w:sz w:val="40"/>
          <w:szCs w:val="44"/>
        </w:rPr>
      </w:pPr>
    </w:p>
    <w:p>
      <w:pPr>
        <w:jc w:val="center"/>
        <w:rPr>
          <w:rFonts w:ascii="方正小标宋_GBK" w:hAnsi="方正小标宋_GBK" w:eastAsia="方正小标宋_GBK" w:cs="方正小标宋_GBK"/>
          <w:sz w:val="40"/>
          <w:szCs w:val="44"/>
        </w:rPr>
      </w:pPr>
    </w:p>
    <w:p>
      <w:pPr>
        <w:rPr>
          <w:rFonts w:ascii="方正小标宋_GBK" w:hAnsi="方正小标宋_GBK" w:eastAsia="方正小标宋_GBK" w:cs="方正小标宋_GBK"/>
          <w:sz w:val="40"/>
          <w:szCs w:val="44"/>
        </w:rPr>
      </w:pPr>
    </w:p>
    <w:p>
      <w:pPr>
        <w:jc w:val="center"/>
        <w:rPr>
          <w:rFonts w:ascii="方正小标宋_GBK" w:hAnsi="方正小标宋_GBK" w:eastAsia="方正小标宋_GBK" w:cs="方正小标宋_GBK"/>
          <w:sz w:val="40"/>
          <w:szCs w:val="44"/>
        </w:rPr>
      </w:pPr>
      <w:r>
        <w:rPr>
          <w:rFonts w:hint="eastAsia" w:ascii="Times New Roman" w:hAnsi="Times New Roman" w:eastAsia="方正仿宋_GBK" w:cs="Times New Roman"/>
          <w:sz w:val="32"/>
          <w:szCs w:val="32"/>
        </w:rPr>
        <w:t>璧山经信发〔2023〕61号</w:t>
      </w:r>
    </w:p>
    <w:p>
      <w:pPr>
        <w:jc w:val="center"/>
        <w:rPr>
          <w:rFonts w:ascii="方正小标宋_GBK" w:hAnsi="方正小标宋_GBK" w:eastAsia="方正小标宋_GBK" w:cs="方正小标宋_GBK"/>
          <w:sz w:val="40"/>
          <w:szCs w:val="44"/>
        </w:rPr>
      </w:pPr>
    </w:p>
    <w:p>
      <w:pPr>
        <w:pStyle w:val="2"/>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重庆市璧山区经济和信息化委员会</w:t>
      </w:r>
    </w:p>
    <w:p>
      <w:pPr>
        <w:spacing w:line="600" w:lineRule="exact"/>
        <w:jc w:val="center"/>
        <w:rPr>
          <w:sz w:val="36"/>
          <w:szCs w:val="36"/>
        </w:rPr>
      </w:pPr>
      <w:r>
        <w:rPr>
          <w:rFonts w:hint="eastAsia" w:ascii="方正小标宋_GBK" w:hAnsi="方正小标宋_GBK" w:eastAsia="方正小标宋_GBK" w:cs="方正小标宋_GBK"/>
          <w:sz w:val="44"/>
          <w:szCs w:val="44"/>
        </w:rPr>
        <w:t>关于加快推进负控能力建设深化新型电力负荷管理系统的通知</w:t>
      </w:r>
    </w:p>
    <w:p>
      <w:pPr>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各镇人民政府、街道办事处，璧山高新区管委会，国网璧山供电公司，各相关用电企业：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电力负荷管理系统是对电力用户用电信息进行监测和电力负荷进行控制的综合管理系统，深化新型电力负荷管理系统建设是落实市、区两级负荷管理中心职能的重要举措，为贯彻落实市经济信息委关于做好2023年迎峰度夏负荷管理工作要求，结合</w:t>
      </w:r>
      <w:r>
        <w:rPr>
          <w:rFonts w:hint="eastAsia" w:ascii="Times New Roman" w:hAnsi="Times New Roman" w:eastAsia="方正仿宋_GBK" w:cs="Times New Roman"/>
          <w:sz w:val="32"/>
          <w:szCs w:val="32"/>
        </w:rPr>
        <w:t>我</w:t>
      </w:r>
      <w:r>
        <w:rPr>
          <w:rFonts w:ascii="Times New Roman" w:hAnsi="Times New Roman" w:eastAsia="方正仿宋_GBK" w:cs="Times New Roman"/>
          <w:sz w:val="32"/>
          <w:szCs w:val="32"/>
        </w:rPr>
        <w:t>区电力负荷侧管理工作情况，现就加快推进负控能力建设深化新型电力负荷管理系统的有关事宜通知如下：</w:t>
      </w:r>
    </w:p>
    <w:p>
      <w:pPr>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一、总体目标</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依托市级新型电力负荷管理平台，深化推进负荷管理用户控制终端覆盖，实现负荷控制能力达到16.46万千瓦以上、负荷精细化管理能力达到8.23万千瓦以上，实现</w:t>
      </w:r>
      <w:r>
        <w:rPr>
          <w:rFonts w:hint="eastAsia" w:ascii="Times New Roman" w:hAnsi="Times New Roman" w:eastAsia="方正仿宋_GBK" w:cs="Times New Roman"/>
          <w:sz w:val="32"/>
          <w:szCs w:val="32"/>
        </w:rPr>
        <w:t>璧山</w:t>
      </w:r>
      <w:r>
        <w:rPr>
          <w:rFonts w:ascii="Times New Roman" w:hAnsi="Times New Roman" w:eastAsia="方正仿宋_GBK" w:cs="Times New Roman"/>
          <w:sz w:val="32"/>
          <w:szCs w:val="32"/>
        </w:rPr>
        <w:t>区负荷侧资源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统一管理、统一调控、统一服务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，提升负荷侧数字化管理、精准化控制水平。</w:t>
      </w:r>
    </w:p>
    <w:p>
      <w:pPr>
        <w:numPr>
          <w:ilvl w:val="0"/>
          <w:numId w:val="1"/>
        </w:numPr>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工作职能</w:t>
      </w:r>
    </w:p>
    <w:p>
      <w:pPr>
        <w:spacing w:line="60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区经济信息委：</w:t>
      </w:r>
      <w:r>
        <w:rPr>
          <w:rFonts w:hint="eastAsia" w:ascii="Times New Roman" w:hAnsi="Times New Roman" w:eastAsia="方正仿宋_GBK" w:cs="Times New Roman"/>
          <w:sz w:val="32"/>
          <w:szCs w:val="32"/>
        </w:rPr>
        <w:t>负责统筹开展对电力负荷侧有关工作的部署、安排和监督管理。</w:t>
      </w:r>
    </w:p>
    <w:p>
      <w:pPr>
        <w:spacing w:line="60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各镇人民政府、街道办事处、璧山高新区管委会</w:t>
      </w:r>
      <w:r>
        <w:rPr>
          <w:rFonts w:hint="eastAsia" w:ascii="方正仿宋_GBK" w:hAnsi="方正仿宋_GBK" w:eastAsia="方正仿宋_GBK" w:cs="方正仿宋_GBK"/>
          <w:sz w:val="32"/>
          <w:szCs w:val="32"/>
        </w:rPr>
        <w:t>（以下简称：各镇街、高新区）：负责辖区内电力客户负荷控制能力建设的统筹推进，组织国网璧山供电公司工作人员协同开展电力负荷资源摸排、负荷控制能力建设、协议签订等相关工作。</w:t>
      </w:r>
    </w:p>
    <w:p>
      <w:pPr>
        <w:spacing w:line="60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国网璧山供电公司：</w:t>
      </w:r>
      <w:r>
        <w:rPr>
          <w:rFonts w:hint="eastAsia" w:ascii="方正仿宋_GBK" w:hAnsi="方正仿宋_GBK" w:eastAsia="方正仿宋_GBK" w:cs="方正仿宋_GBK"/>
          <w:sz w:val="32"/>
          <w:szCs w:val="32"/>
        </w:rPr>
        <w:t>按照负荷控制能力建设相关要求配合开展电力负荷资源摸排，指导各相关用电企业完成信息报表的填报、收集，负责负荷控制终端的安装、做好终端安装工作的人员、资金安排，以及对负荷控制系统的运行维护、现场检查和问题上报。</w:t>
      </w:r>
    </w:p>
    <w:p>
      <w:pPr>
        <w:spacing w:line="60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各相关用电企业：</w:t>
      </w:r>
      <w:r>
        <w:rPr>
          <w:rFonts w:hint="eastAsia" w:ascii="方正仿宋_GBK" w:hAnsi="方正仿宋_GBK" w:eastAsia="方正仿宋_GBK" w:cs="方正仿宋_GBK"/>
          <w:sz w:val="32"/>
          <w:szCs w:val="32"/>
        </w:rPr>
        <w:t>积极响应负荷控制能力建设相关工作安排，配合完成负荷控制能力建设相关信息收集、报送和协议签订，配合开展负荷控制终端安装、控制回路接入、试跳验证等工作，对不满足控制要求的开关进行改造或更换。</w:t>
      </w:r>
    </w:p>
    <w:p>
      <w:pPr>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三、重点工作任务</w:t>
      </w:r>
    </w:p>
    <w:p>
      <w:pPr>
        <w:spacing w:line="60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（一）制定负荷控制用户清单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结合璧山区2023年迎峰度夏负荷侧管理工作情况和电力负荷控制现状，负荷控制用户清单</w:t>
      </w:r>
      <w:r>
        <w:rPr>
          <w:rFonts w:hint="eastAsia" w:ascii="Times New Roman" w:hAnsi="Times New Roman" w:eastAsia="方正仿宋_GBK" w:cs="Times New Roman"/>
          <w:sz w:val="32"/>
          <w:szCs w:val="32"/>
        </w:rPr>
        <w:t>覆盖规上工业企业（转供用电主体）、高耗能企业</w:t>
      </w:r>
      <w:r>
        <w:rPr>
          <w:rFonts w:ascii="Times New Roman" w:hAnsi="Times New Roman" w:eastAsia="方正仿宋_GBK" w:cs="Times New Roman"/>
          <w:sz w:val="32"/>
          <w:szCs w:val="32"/>
        </w:rPr>
        <w:t>共</w:t>
      </w:r>
      <w:r>
        <w:rPr>
          <w:rFonts w:hint="eastAsia" w:ascii="Times New Roman" w:hAnsi="Times New Roman" w:eastAsia="方正仿宋_GBK" w:cs="Times New Roman"/>
          <w:sz w:val="32"/>
          <w:szCs w:val="32"/>
        </w:rPr>
        <w:t>287家，共计301</w:t>
      </w:r>
      <w:r>
        <w:rPr>
          <w:rFonts w:ascii="Times New Roman" w:hAnsi="Times New Roman" w:eastAsia="方正仿宋_GBK" w:cs="Times New Roman"/>
          <w:sz w:val="32"/>
          <w:szCs w:val="32"/>
        </w:rPr>
        <w:t>个用电户</w:t>
      </w:r>
      <w:r>
        <w:rPr>
          <w:rFonts w:hint="eastAsia" w:ascii="Times New Roman" w:hAnsi="Times New Roman" w:eastAsia="方正仿宋_GBK" w:cs="Times New Roman"/>
          <w:sz w:val="32"/>
          <w:szCs w:val="32"/>
        </w:rPr>
        <w:t>号</w:t>
      </w:r>
      <w:r>
        <w:rPr>
          <w:rFonts w:ascii="Times New Roman" w:hAnsi="Times New Roman" w:eastAsia="方正仿宋_GBK" w:cs="Times New Roman"/>
          <w:b/>
          <w:bCs/>
          <w:sz w:val="32"/>
          <w:szCs w:val="32"/>
        </w:rPr>
        <w:t>（见附件1）</w:t>
      </w:r>
      <w:r>
        <w:rPr>
          <w:rFonts w:ascii="Times New Roman" w:hAnsi="Times New Roman" w:eastAsia="方正仿宋_GBK" w:cs="Times New Roman"/>
          <w:sz w:val="32"/>
          <w:szCs w:val="32"/>
        </w:rPr>
        <w:t>。</w:t>
      </w:r>
    </w:p>
    <w:p>
      <w:pPr>
        <w:spacing w:line="60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（二）扎实开展负荷资源摸排</w:t>
      </w:r>
    </w:p>
    <w:p>
      <w:pPr>
        <w:spacing w:line="60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由各镇街、高新区组织国网璧山供电公司开展电力负荷资源摸排，制定负荷控制能力建设“一户一策”方案，深入调研各企业用户可控回路、负荷类型、回路开关信息等配用电信息情况，加强对客户保安负荷的勘察与认定，坚决避免将保安负荷接入控制回路。</w:t>
      </w:r>
      <w:r>
        <w:rPr>
          <w:rFonts w:hint="eastAsia" w:ascii="方正仿宋_GBK" w:hAnsi="方正仿宋_GBK" w:eastAsia="方正仿宋_GBK" w:cs="方正仿宋_GBK"/>
          <w:b/>
          <w:bCs/>
          <w:sz w:val="32"/>
          <w:szCs w:val="32"/>
        </w:rPr>
        <w:t>二是</w:t>
      </w:r>
      <w:r>
        <w:rPr>
          <w:rFonts w:ascii="Times New Roman" w:hAnsi="Times New Roman" w:eastAsia="方正仿宋_GBK" w:cs="Times New Roman"/>
          <w:sz w:val="32"/>
          <w:szCs w:val="32"/>
        </w:rPr>
        <w:t>5月30日前完</w:t>
      </w:r>
      <w:r>
        <w:rPr>
          <w:rFonts w:hint="eastAsia" w:ascii="方正仿宋_GBK" w:hAnsi="方正仿宋_GBK" w:eastAsia="方正仿宋_GBK" w:cs="方正仿宋_GBK"/>
          <w:sz w:val="32"/>
          <w:szCs w:val="32"/>
        </w:rPr>
        <w:t>成纳入负荷控制能力提升计划用户负荷摸排任务，指导电力用户填报《用电负荷信息表》《配用电信息表</w:t>
      </w: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见</w:t>
      </w:r>
      <w:r>
        <w:rPr>
          <w:rFonts w:ascii="Times New Roman" w:hAnsi="Times New Roman" w:eastAsia="方正仿宋_GBK" w:cs="Times New Roman"/>
          <w:b/>
          <w:bCs/>
          <w:sz w:val="32"/>
          <w:szCs w:val="32"/>
        </w:rPr>
        <w:t>附件2、附件3</w:t>
      </w:r>
      <w:r>
        <w:rPr>
          <w:rFonts w:hint="eastAsia"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b/>
          <w:bCs/>
          <w:sz w:val="32"/>
          <w:szCs w:val="32"/>
        </w:rPr>
        <w:t>三是</w:t>
      </w:r>
      <w:r>
        <w:rPr>
          <w:rFonts w:hint="eastAsia" w:ascii="方正仿宋_GBK" w:hAnsi="方正仿宋_GBK" w:eastAsia="方正仿宋_GBK" w:cs="方正仿宋_GBK"/>
          <w:sz w:val="32"/>
          <w:szCs w:val="32"/>
        </w:rPr>
        <w:t>按照“应接尽接”的原则，推进负荷接入市级新型电力负荷管理平台。</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（三）推进电力负荷控制接入及改造</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1.加快安装负荷控制终端。</w:t>
      </w:r>
      <w:r>
        <w:rPr>
          <w:rFonts w:ascii="Times New Roman" w:hAnsi="Times New Roman" w:eastAsia="方正仿宋_GBK" w:cs="Times New Roman"/>
          <w:sz w:val="32"/>
          <w:szCs w:val="32"/>
        </w:rPr>
        <w:t>纳入负荷控制用户清单的电力用户均应安装负荷控制终端，结合负荷资源摸排工作情况，国网璧山供电公司要做好人员及资金安排，逐步安装负荷控制终端，6月20日前，完成具备负荷控制条件的用户负荷控制终端的安装工作。</w:t>
      </w:r>
    </w:p>
    <w:p>
      <w:pPr>
        <w:spacing w:line="600" w:lineRule="exact"/>
        <w:ind w:firstLine="643" w:firstLineChars="200"/>
        <w:rPr>
          <w:rFonts w:ascii="Times New Roman" w:hAnsi="Times New Roman" w:eastAsia="方正仿宋_GBK" w:cs="Times New Roman"/>
          <w:sz w:val="32"/>
          <w:szCs w:val="32"/>
          <w:highlight w:val="green"/>
        </w:rPr>
      </w:pPr>
      <w:r>
        <w:rPr>
          <w:rFonts w:ascii="Times New Roman" w:hAnsi="Times New Roman" w:eastAsia="方正仿宋_GBK" w:cs="Times New Roman"/>
          <w:b/>
          <w:bCs/>
          <w:sz w:val="32"/>
          <w:szCs w:val="32"/>
        </w:rPr>
        <w:t>2.开展客户负荷接入。</w:t>
      </w:r>
      <w:r>
        <w:rPr>
          <w:rFonts w:ascii="Times New Roman" w:hAnsi="Times New Roman" w:eastAsia="方正仿宋_GBK" w:cs="Times New Roman"/>
          <w:sz w:val="32"/>
          <w:szCs w:val="32"/>
        </w:rPr>
        <w:t>国网璧山供电公司要根据用户确认的分路负荷接入方案，将终端与低压开关或高压开关的二次回路进行连接，实现客户负荷分轮次接入；要综合考虑安全性和经济性，优先控制客户末端低压负荷380伏出线开关，对同类负荷可直接控制。电力用户应积极响应负荷控制能力建设要求，签订《有序用电负荷控制能力改造协议》《分轮次接入确认函》</w:t>
      </w:r>
      <w:r>
        <w:rPr>
          <w:rFonts w:ascii="Times New Roman" w:hAnsi="Times New Roman" w:eastAsia="方正仿宋_GBK" w:cs="Times New Roman"/>
          <w:b/>
          <w:bCs/>
          <w:sz w:val="32"/>
          <w:szCs w:val="32"/>
        </w:rPr>
        <w:t>（见附件4、附件5）</w:t>
      </w:r>
      <w:r>
        <w:rPr>
          <w:rFonts w:ascii="Times New Roman" w:hAnsi="Times New Roman" w:eastAsia="方正仿宋_GBK" w:cs="Times New Roman"/>
          <w:sz w:val="32"/>
          <w:szCs w:val="32"/>
        </w:rPr>
        <w:t>，实现负荷控制和负荷精细化管理能力，配合开展负荷控制终端安装、控制回路接入、试跳验证等工作，对负荷控制开关不满足控制要求的，要进行改造或更换；对保安负荷随生产线进行安装的，应进行整改。</w:t>
      </w:r>
    </w:p>
    <w:p>
      <w:pPr>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（一）加强负荷控制系统运维。</w:t>
      </w:r>
      <w:r>
        <w:rPr>
          <w:rFonts w:ascii="Times New Roman" w:hAnsi="Times New Roman" w:eastAsia="方正仿宋_GBK" w:cs="Times New Roman"/>
          <w:sz w:val="32"/>
          <w:szCs w:val="32"/>
        </w:rPr>
        <w:t>区经济信息委组织国网璧山供电公司对负荷控制装置进行检查，国网璧山供电公司要根据负荷管理工作的需要，加强人力资源保障，做好负荷控制终端的日常维护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在巡视和检修中，应核对可控轮次的正确性和动作的可靠性，用电企业应给予配合。</w:t>
      </w:r>
    </w:p>
    <w:p>
      <w:pPr>
        <w:spacing w:line="600" w:lineRule="exact"/>
        <w:ind w:firstLine="640" w:firstLineChars="200"/>
        <w:jc w:val="left"/>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强化问题检查和处置。</w:t>
      </w:r>
      <w:r>
        <w:rPr>
          <w:rFonts w:ascii="Times New Roman" w:hAnsi="Times New Roman" w:eastAsia="方正仿宋_GBK" w:cs="Times New Roman"/>
          <w:sz w:val="32"/>
          <w:szCs w:val="32"/>
        </w:rPr>
        <w:t>电力用户要积极配合负荷控制管理，遵守有序用电纪律，接受对负荷控制装置的检查和指导，自觉维护装置的正常运行。若发现擅自更改、变动负荷定值，擅自拆除终端、使终端控制功能失效等问题，由国网璧山供电公司上报区经济信息委，区经济信息委出具书面整改通知书，督促指导用户及时整改。</w:t>
      </w:r>
    </w:p>
    <w:p>
      <w:pPr>
        <w:pStyle w:val="2"/>
        <w:spacing w:after="0" w:line="600" w:lineRule="exact"/>
        <w:ind w:firstLine="0"/>
        <w:rPr>
          <w:rFonts w:eastAsia="方正仿宋_GBK"/>
        </w:rPr>
      </w:pPr>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附件：1.负荷控制用户清单</w:t>
      </w:r>
    </w:p>
    <w:p>
      <w:pPr>
        <w:pStyle w:val="2"/>
        <w:spacing w:after="0" w:line="600" w:lineRule="exact"/>
        <w:ind w:firstLine="1600" w:firstLineChars="500"/>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2.用电负荷信息表</w:t>
      </w:r>
    </w:p>
    <w:p>
      <w:pPr>
        <w:spacing w:line="600" w:lineRule="exact"/>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3.配用电信息表</w:t>
      </w:r>
    </w:p>
    <w:p>
      <w:pPr>
        <w:spacing w:line="600" w:lineRule="exact"/>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4.有序用电负荷控制能力改造协议</w:t>
      </w:r>
    </w:p>
    <w:p>
      <w:pPr>
        <w:spacing w:line="600" w:lineRule="exact"/>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5.分轮次接入确认函</w:t>
      </w:r>
    </w:p>
    <w:p>
      <w:pPr>
        <w:pStyle w:val="2"/>
      </w:pPr>
    </w:p>
    <w:p/>
    <w:p>
      <w:pPr>
        <w:spacing w:line="600" w:lineRule="exact"/>
        <w:ind w:firstLine="2880" w:firstLineChars="9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重庆市璧山区经济和信息化委员会</w:t>
      </w:r>
    </w:p>
    <w:p>
      <w:pPr>
        <w:spacing w:line="600" w:lineRule="exact"/>
        <w:ind w:firstLine="4160" w:firstLineChars="13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2023年4月</w:t>
      </w:r>
      <w:r>
        <w:rPr>
          <w:rFonts w:hint="eastAsia" w:ascii="Times New Roman" w:hAnsi="Times New Roman" w:eastAsia="方正仿宋_GBK" w:cs="Times New Roman"/>
          <w:sz w:val="32"/>
          <w:szCs w:val="32"/>
        </w:rPr>
        <w:t>11</w:t>
      </w:r>
      <w:r>
        <w:rPr>
          <w:rFonts w:ascii="Times New Roman" w:hAnsi="Times New Roman" w:eastAsia="方正仿宋_GBK" w:cs="Times New Roman"/>
          <w:sz w:val="32"/>
          <w:szCs w:val="32"/>
        </w:rPr>
        <w:t>号</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（此件公开发布）</w:t>
      </w:r>
    </w:p>
    <w:p>
      <w:pPr>
        <w:pStyle w:val="2"/>
        <w:spacing w:after="0" w:line="600" w:lineRule="exact"/>
        <w:rPr>
          <w:rFonts w:eastAsia="方正仿宋_GBK"/>
        </w:rPr>
      </w:pPr>
    </w:p>
    <w:p>
      <w:pPr>
        <w:spacing w:line="600" w:lineRule="exact"/>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黑体_GBK" w:cs="Times New Roman"/>
          <w:sz w:val="32"/>
          <w:szCs w:val="32"/>
        </w:rPr>
      </w:pPr>
    </w:p>
    <w:p>
      <w:pPr>
        <w:spacing w:line="600" w:lineRule="exact"/>
        <w:jc w:val="left"/>
        <w:rPr>
          <w:rFonts w:ascii="Times New Roman" w:hAnsi="Times New Roman" w:eastAsia="方正黑体_GBK" w:cs="Times New Roman"/>
          <w:sz w:val="32"/>
          <w:szCs w:val="32"/>
        </w:rPr>
      </w:pPr>
    </w:p>
    <w:p>
      <w:pPr>
        <w:spacing w:line="600" w:lineRule="exact"/>
        <w:jc w:val="left"/>
        <w:rPr>
          <w:rFonts w:ascii="Times New Roman" w:hAnsi="Times New Roman" w:eastAsia="方正黑体_GBK" w:cs="Times New Roman"/>
          <w:sz w:val="32"/>
          <w:szCs w:val="32"/>
        </w:rPr>
      </w:pPr>
    </w:p>
    <w:p>
      <w:pPr>
        <w:spacing w:line="600" w:lineRule="exact"/>
        <w:jc w:val="left"/>
        <w:rPr>
          <w:rFonts w:ascii="Times New Roman" w:hAnsi="Times New Roman" w:eastAsia="方正黑体_GBK" w:cs="Times New Roman"/>
          <w:sz w:val="32"/>
          <w:szCs w:val="32"/>
        </w:rPr>
      </w:pPr>
    </w:p>
    <w:p>
      <w:pPr>
        <w:spacing w:line="600" w:lineRule="exac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spacing w:line="60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sz w:val="44"/>
          <w:szCs w:val="44"/>
        </w:rPr>
        <w:t>负荷控制用户清单</w:t>
      </w:r>
    </w:p>
    <w:tbl>
      <w:tblPr>
        <w:tblStyle w:val="6"/>
        <w:tblW w:w="9238" w:type="dxa"/>
        <w:tblInd w:w="-160" w:type="dxa"/>
        <w:tblLayout w:type="fixed"/>
        <w:tblCellMar>
          <w:top w:w="15" w:type="dxa"/>
          <w:left w:w="15" w:type="dxa"/>
          <w:bottom w:w="15" w:type="dxa"/>
          <w:right w:w="15" w:type="dxa"/>
        </w:tblCellMar>
      </w:tblPr>
      <w:tblGrid>
        <w:gridCol w:w="677"/>
        <w:gridCol w:w="4468"/>
        <w:gridCol w:w="4093"/>
      </w:tblGrid>
      <w:tr>
        <w:tblPrEx>
          <w:tblCellMar>
            <w:top w:w="15" w:type="dxa"/>
            <w:left w:w="15" w:type="dxa"/>
            <w:bottom w:w="15" w:type="dxa"/>
            <w:right w:w="15" w:type="dxa"/>
          </w:tblCellMar>
        </w:tblPrEx>
        <w:trPr>
          <w:trHeight w:val="8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序号</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用电户名</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行业分类</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重庆榆璧陶瓷有限公司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日用陶瓷制品制造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重庆市璧弘新型环保建材有限公司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重庆金锐龙建材有限公司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重庆市璧山区恒大建材有限公司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重庆市璧山区赛源建材有限公司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重庆市璧山区六合建材有限公司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重庆康明建材有限公司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重庆市中电水泥制品有限公司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石膏、水泥制品及类似制品制造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重庆榆璧陶瓷有限公司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日用陶瓷制品制造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冀东水泥璧山有限责任公司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其中:水泥制造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重庆重玻节能玻璃有限公司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其他玻璃制品制造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重庆庆华璧山混凝土有限公司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重庆鑫科新型建筑材料有限责任公司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重庆飞强混凝土有限公司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重庆榄菊实业有限公司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日用化学产品制造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重庆建研科之杰新材料有限公司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合成材料制造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重庆市璧山正发有色金属有限公司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摩托车制造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重庆康腾饮品有限公司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饮料制造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重庆大茂伟瑞柯车灯有限公司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重庆金仑工业股份有限公司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重庆凯成科技有限公司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重庆丰川电子科技有限公司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重庆瀚方钢结构有限公司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其他未列明的制造业</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重庆统一企业有限公司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饮料制造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重庆优地工业地产发展有限公司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其他电子设备制造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重庆旺德福机械有限公司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有友食品重庆制造有限公司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其他食品制造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精元(重庆)电脑有限公司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重庆浩誉实业有限公司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计算机制造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重庆华孚工业股份有限公司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交通器材及其他交通运输设备制造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重庆大泰电子科技有限公司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重庆华孚新材料技术有限公司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重庆华陵工业有限公司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重庆市星极齿轮有限责任公司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重庆汇聚教学设备有限公司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文教办公用品制造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重庆红宇精密工业集团有限公司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交通器材及其他交通运输设备制造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重庆亚瑞塑胶有限公司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重庆众青齿轮有限公司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尚亿精密机械(重庆)有限公司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重庆鑫赢机械制造有限公司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重庆集信机械有限公司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重庆莹帆精密五金有限公司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重庆宗申车辆有限公司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摩托车制造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重庆特奇机电有限公司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铸造及其他金属制品制造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重庆星达铜业有限公司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有色金属压延加工</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重庆力耀科技有限公司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重庆南雁实业集团有限公司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重庆亚鑫汽车部件有限公司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重庆新冰点饮品有限公司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其他食品制造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重庆市璧山区丁家加鑫吹膜厂(普通合伙)</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电线、电缆、光缆及电工器材制造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重庆禾嘉鞋业有限公司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重庆永安安防科技有限公司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纺织、服装和皮革工业专用设备制造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重庆九方铸造有限责任公司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重庆锟运光电科技有限公司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重庆奥方汽车零部件有限公司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重庆诠友电子科技有限公司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重庆芯乾卫生用品有限公司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重庆梦赛力士光电股份有限公司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电子元件及电子专用材料制造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重庆金稳热处理有限公司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金属表面处理及热处理加工</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重庆大道泡沫塑料包装材料有限公司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泡沫塑料制造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重庆精雅电子科技有限公司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重庆首科实业有限公司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塑料板、管、型材制造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巨昊(重庆)科技有限公司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其他电子设备制造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重庆隆耀科技发展有限公司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电子元件及电子专用材料制造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重庆红火鸟鞋业有限公司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重庆盛达自动化有限公司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重庆普杰汽车零部件有限公司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重庆三三电器股份有限公司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通用仪器仪表制造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重庆傲屹机械制造有限公司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重庆国瑞金属制品有限公司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重庆智能工贸有限公司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重庆市东银包装有限公司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纸制品制造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赫得纳米科技重庆有限公司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家用纺织制成品制造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重庆市继仁鞋业有限公司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制鞋业</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重庆祥顺机械配件制造有限公司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重庆晶焱鑫聚奎科技有限公司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重庆冠宝包装材料有限公司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塑料零件制造及其他塑料制品制造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重庆康达包装印务有限公司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印刷</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重庆富易达科技有限公司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泡沫塑料制造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重庆红旗缸盖制造有限公司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重庆稳健机械有限公司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重庆景鑫星瀚新材料科技有限公司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交通器材及其他交通运输设备制造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重庆市平步青云鞋业有限公司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重庆栋能科技股份有限公司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电子元件及电子专用材料制造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重庆市璧山区祥和包装印刷有限公司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装订及其他印刷服务活动</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重庆华宝工业制品有限公司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重庆红土地实业有限公司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重庆市世鑫包装有限责任公司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塑料丝、绳及编织品制造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重庆捷泰塑胶工业有限公司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塑料板、管、型材制造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重庆王子新材料有限公司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重庆双禾科技有限公司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重庆红宇摩擦制品有限公司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重庆富易达科技有限公司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塑料包装箱及容器制造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重庆井上通电子科技有限公司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重庆金冠汽车制造股份有限公司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重庆迪恩家具有限公司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其他家具制造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重庆秀禄机械制造有限责任公司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重庆市佳南工贸有限公司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重庆钧冠机械制造有限公司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重庆仕佳精工科技有限公司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重庆平波机械有限公司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重庆市璧山区鑫科通用机械有限公司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重庆神舟电缆集团股份有限公司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电线、电缆、光缆及电工器材制造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重庆申蓝机械制造有限公司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重庆市飞瑞五金制品有限公司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通用仪器仪表制造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重庆益荣食品有限公司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焙烤食品制造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重庆永钢橡塑有限公司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日用塑料制造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重庆庆颖宜丰机械有限公司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重庆科泰表面处理有限公司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金属加工机械制造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重庆市凯悦鞋业有限公司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重庆万顺机械有限公司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重庆市中塑新材料有限公司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再生橡胶制造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重庆腾田科技发展有限公司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重庆爱多电器有限公司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重庆巨利塑胶有限公司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电线、电缆、光缆及电工器材制造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重庆市凌翔食品有限公司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方便食品制造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重庆凯斯瑞机电设备有限公司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重庆市法拉加斯鞋业有限责任公司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重庆市璧山区环宇汽车配件有限公司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重庆市瑞丰橡塑制品有限公司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制鞋业</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重庆市璧山区涂鑫机械有限责任公司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塑料零件制造及其他塑料制品制造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重庆三创印刷有限公司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塑料包装箱及容器制造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重庆鸿岑机械有限公司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重庆国鼎印务有限公司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重庆喜润光电科技有限公司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重庆市荣吉鞋业有限公司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重庆三木云创汽车部件有限公司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重庆市璧山区爱华机械有限公司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重庆信鼎精密机械有限公司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重庆源融标签印刷有限公司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金属加工机械制造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重庆精准印刷制版有限公司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印刷</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重庆鱼梦家俬实业公司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木质家具制造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重庆市璧山区恒信电子有限公司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重庆市璧山区环球汽配有限公司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重庆赛亿高分子材料有限公司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其他橡胶制品制造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重庆丰驰实业有限公司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塑料零件制造及其他塑料制品制造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重庆英耐尔科技有限公司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重庆富鸿齐电子有限公司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塑料包装箱及容器制造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重庆金福莱生物科技有限公司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兽用药品制造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重庆恒久成实钢管有限责任公司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重庆金特锐机械有限公司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塑料零件制造及其他塑料制品制造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重庆高强汽车配件制造有限公司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重庆至隆科技有限公司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重庆市安太弹簧有限责任公司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重庆博张机电设备有限公司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泵、阀门、压缩机及类似机械制造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重庆秋宇机械制造有限责任公司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铸造及其他金属制品制造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重庆市聚益橡胶制品有限公司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再生橡胶制造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重庆恒贤机械制造有限公司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重庆市金盾橡胶制品有限公司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轮胎制造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重庆市茂飞商贸有限公司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重庆市俊合鞋业有限公司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重庆市林丰纸业有限公司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纸制品制造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重庆安泰矿业发展有限公司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其他采矿业</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重庆市金诚热处理有限责任公司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金属表面处理及热处理加工</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重庆市大小金属铸件厂</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重庆康飞自动化科技有限公司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重庆新通联包装材料有限公司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纸制品制造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重庆金鑫滤清器制造有限公司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金属加工机械制造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重庆城跃机械有限公司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重庆市璧山区光大橡塑有限公司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橡胶板、管、带的制造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重庆德顺辉佳汽车部件制造有限公司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重庆大丰交通设施制造有限公司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重庆乾钢机械制造有限公司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通用仪器仪表制造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重庆佑威电子有限公司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重庆同力塑料制品有限公司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塑料零件制造及其他塑料制品制造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重庆祥凯食品有限公司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调味品、发酵制品制造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重庆市璧山新星机械制造有限公司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重庆市丰蕙达金属锻造有限公司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重庆市鸿富诚电子新材料有限公司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重庆市轰茂食品有限公司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调味品、发酵制品制造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重庆瑞维鼎机械有限公司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重庆天瑞机械有限公司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金属加工机械制造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重庆元昇塑胶制品有限公司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重庆九鼎教具有限公司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文教办公用品制造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重庆群光机械工具有限公司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重庆维博动力科技有限公司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重庆川武仪表有限公司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其他仪器仪表的制造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重庆市丰实电子有限公司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其他橡胶制品制造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重庆市璧山区隆翔机械有限公司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重庆中阔机械有限公司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铸造及其他金属制品制造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重庆耀盈纸业有限公司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纸制品制造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重庆汇卓机电科技有限公司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塑料零件制造及其他塑料制品制造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重庆市中亚动物药业有限公司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兽用药品制造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重庆市璧山区中山机械有限责任公司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铸造及其他金属制品制造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重庆市泽诚聚金属材料有限公司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金属加工机械制造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重庆市金盾人防设备有限公司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通用仪器仪表制造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重庆金龙电线电缆有限公司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重庆市帆泰橡塑制品有限公司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重庆标弛汽车配件有限公司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交通器材及其他交通运输设备制造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重庆港乾机械有限公司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重庆市龙泰鞋材有限公司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皮革制品制造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重庆鹏山机械制造有限公司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重庆宏双达机械工程有限公司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重庆市镁垲鑫机械制造有限公司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其他橡胶制品制造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重庆维富金属制品有限公司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重庆市渝坝汽车配件有限公司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通用设备修理</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重庆市华宏家具有限公司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木质家具制造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重庆成峰水务工程有限责任公司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重庆市银泉实业有限公司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重庆友擘机械制造有限公司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重庆市大通机械配件有限责任公司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重庆市众泰无纺制品有限公司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交通器材及其他交通运输设备制造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重庆大友金属有限责任公司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铸造及其他金属制品制造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重庆市璧山区方达机械配件有限公司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塑料包装箱及容器制造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重庆广天金属制品有限责任公司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重庆市璧山区长荣金属铸造有限公司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重庆科汇应用技术开发有限责任公司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塑料包装箱及容器制造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重庆市银河塑料有限公司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塑料薄膜制造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重庆梦赛力士光电股份有限公司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光学仪器制造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重庆市璧山区钛钢机械厂</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金属加工机械制造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重庆市璧山区鸿泰金属制品有限公司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金属加工机械制造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重庆白云化工研究所</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重庆速腾机械制造有限公司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重庆众享机电设备有限公司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重庆炳荣精密制造有限公司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重庆莹帆精密五金有限公司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重庆秉信包装有限公司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纸制品制造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重庆中车恒通汽车有限公司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新能源车整车制造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重庆市璧山宏运机械有限公司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摩托车制造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重庆龙祥橡塑有限责任公司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日用塑料制造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重庆市聚隆实业有限公司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重庆骏成机械配件有限公司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金属表面处理及热处理加工</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重庆华陵工业有限公司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重庆红旗缸盖制造有限公司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重庆岷江科技有限公司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重庆愚人科技有限公司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装订及其他印刷服务活动</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重庆市璧山正发有色金属有限公司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有色金属压延加工</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重庆市璧山区彩弘锦俊霖新能源有限公司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塑料包装箱及容器制造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重庆恒缘瑞塑胶制品有限公司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上海中炼线材有限公司重庆分公司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重庆洋源橡塑有限公司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重庆必胜钢模有限公司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物料搬运设备制造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重庆市璧山区明为电子科技有限公司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重庆市璧山区鑫鹏机械制造有限公司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重庆建铭包装材料有限公司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塑料包装箱及容器制造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重庆雅能建材有限公司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石膏、水泥制品及类似制品制造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重庆市璧山区宏林建材有限公司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砖瓦、石材等建筑材料制造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万承精密电子（重庆）有限公司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电子元件及电子专用材料制造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重庆有胜电子有限公司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重庆鸿基塑胶有限公司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重庆宝能普拉斯复合材料有限公司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合成材料制造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重庆三统科技开发有限公司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重庆昌源精密模具有限公司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湖南江南汽车制造有限公司重庆分公司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新能源车整车制造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重庆市地泽机械有限责任公司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重庆奇迹新能源汽车零部件制造有限责任公司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重庆市河海碳素制品有限公司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重庆东润君浩实业有限公司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重庆丰东金属表面处理有限公司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重庆市港风办公家私有限公司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木质家具制造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重庆杭飞机械制造有限公司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重庆思普宁塑胶制品有限公司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重庆富吉机械制造有限公司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交通器材及其他交通运输设备制造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重庆嘉木机械有限公司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重庆卡马机电有限责任公司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摩托车制造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重庆民发汽车配件有限责任公司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重庆瑞润电子有限公司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重庆瑞润电子有限公司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重庆茂和兴科技有限公司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光学仪器制造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重庆永达精密机械有限公司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交通器材及其他交通运输设备制造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重庆安洁电子有限公司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重庆顾地塑胶电器有限公司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塑料板、管、型材制造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重庆豪利原木文化发展有限公司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木质家具制造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重庆淮海车辆制造有限公司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重庆宇海精密制造股份有限公司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电子元件及电子专用材料制造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重庆品正食品有限公司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其他食品制造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重庆万泰电力科技有限公司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电线、电缆、光缆及电工器材制造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重庆东威隆诗特科技有限公司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重庆瑞普电气实业股份有限公司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电线、电缆、光缆及电工器材制造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重庆鑫盟精密模具有限公司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重庆臻风科技有限公司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重庆新颖泉汽车零部件有限公司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重庆四通机械科技有限公司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重庆山青机械制造有限公司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重庆市桂生机械制造有限公司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交通器材及其他交通运输设备制造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重庆市江汇机械有限责任公司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重庆豪能传动技术有限公司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重庆兴富吉实业有限公司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重庆青竹机械制造有限公司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重庆市诚润机械有限公司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金属加工机械制造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重庆康佳科技发展有限公司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其他电子设备制造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重庆康佳科技发展有限公司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电子元件及电子专用材料制造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重庆三友机器制造有限责任公司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重庆三友机器制造有限责任公司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重庆龙润汽车转向器有限公司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交通器材及其他交通运输设备制造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重庆龙润汽车转向器有限公司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结构性金属制品制造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重庆大江动力设备制造有限公司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摩托车制造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重庆万锦路桥设施制造有限公司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其他未列明的制造业</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重庆市璧山区天宇鸿图电子有限公司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电子和电工机械专用设备制造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重庆川东减震制造有限公司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蓝黛科技集团股份有限公司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292</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蓝黛科技集团股份有限公司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293</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重庆蓝黛变速器有限公司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通用零部件制造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294</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重庆瑞通精工科技股份有限公司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295</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重庆瑞通精工科技股份有限公司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296</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重庆盾之王实业有限公司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其他未列明的制造业</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297</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重庆青山工业有限责任公司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轴承、齿轮和传动部件制造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298</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重庆弗迪锂电池有限公司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汽车零部件及配件制造</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299</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重庆两山建设开发有限公司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互联网数据服务</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300</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重庆红宇精密工业集团有限公司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通用设备制造业</w:t>
            </w:r>
          </w:p>
        </w:tc>
      </w:tr>
      <w:tr>
        <w:tblPrEx>
          <w:tblCellMar>
            <w:top w:w="15" w:type="dxa"/>
            <w:left w:w="15" w:type="dxa"/>
            <w:bottom w:w="15" w:type="dxa"/>
            <w:right w:w="15" w:type="dxa"/>
          </w:tblCellMar>
        </w:tblPrEx>
        <w:trPr>
          <w:trHeight w:val="42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301</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达能(重庆)食品饮料有限公司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其他仓储业</w:t>
            </w:r>
          </w:p>
        </w:tc>
      </w:tr>
    </w:tbl>
    <w:p>
      <w:pPr>
        <w:pStyle w:val="2"/>
        <w:ind w:firstLine="0"/>
      </w:pPr>
    </w:p>
    <w:p/>
    <w:p>
      <w:pPr>
        <w:spacing w:line="600" w:lineRule="exact"/>
        <w:jc w:val="left"/>
        <w:rPr>
          <w:rFonts w:ascii="Times New Roman" w:hAnsi="Times New Roman" w:eastAsia="方正黑体_GBK" w:cs="Times New Roman"/>
          <w:sz w:val="32"/>
          <w:szCs w:val="32"/>
        </w:rPr>
      </w:pPr>
    </w:p>
    <w:p>
      <w:pPr>
        <w:spacing w:line="600" w:lineRule="exact"/>
        <w:jc w:val="left"/>
        <w:rPr>
          <w:rFonts w:ascii="Times New Roman" w:hAnsi="Times New Roman" w:eastAsia="方正黑体_GBK" w:cs="Times New Roman"/>
          <w:sz w:val="32"/>
          <w:szCs w:val="32"/>
        </w:rPr>
      </w:pPr>
    </w:p>
    <w:p>
      <w:pPr>
        <w:spacing w:line="600" w:lineRule="exact"/>
        <w:jc w:val="left"/>
        <w:rPr>
          <w:rFonts w:ascii="Times New Roman" w:hAnsi="Times New Roman" w:eastAsia="方正黑体_GBK" w:cs="Times New Roman"/>
          <w:sz w:val="32"/>
          <w:szCs w:val="32"/>
        </w:rPr>
      </w:pPr>
    </w:p>
    <w:p>
      <w:pPr>
        <w:spacing w:line="600" w:lineRule="exact"/>
        <w:jc w:val="left"/>
        <w:rPr>
          <w:rFonts w:ascii="Times New Roman" w:hAnsi="Times New Roman" w:eastAsia="方正黑体_GBK" w:cs="Times New Roman"/>
          <w:sz w:val="32"/>
          <w:szCs w:val="32"/>
        </w:rPr>
        <w:sectPr>
          <w:footerReference r:id="rId3" w:type="default"/>
          <w:pgSz w:w="11906" w:h="16838"/>
          <w:pgMar w:top="2098" w:right="1531" w:bottom="1984" w:left="1531" w:header="851" w:footer="992" w:gutter="0"/>
          <w:cols w:space="425" w:num="1"/>
          <w:docGrid w:type="lines" w:linePitch="312" w:charSpace="0"/>
        </w:sectPr>
      </w:pPr>
    </w:p>
    <w:p>
      <w:pPr>
        <w:spacing w:line="600" w:lineRule="exact"/>
        <w:jc w:val="left"/>
        <w:rPr>
          <w:rFonts w:ascii="方正仿宋_GBK" w:hAnsi="方正仿宋_GBK" w:eastAsia="方正仿宋_GBK" w:cs="方正仿宋_GBK"/>
          <w:sz w:val="32"/>
          <w:szCs w:val="32"/>
        </w:rPr>
      </w:pPr>
      <w:r>
        <w:rPr>
          <w:rFonts w:ascii="Times New Roman" w:hAnsi="Times New Roman" w:eastAsia="方正黑体_GBK" w:cs="Times New Roman"/>
          <w:sz w:val="32"/>
          <w:szCs w:val="32"/>
        </w:rPr>
        <w:t>附件2</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用电负荷信息表</w:t>
      </w:r>
    </w:p>
    <w:tbl>
      <w:tblPr>
        <w:tblStyle w:val="6"/>
        <w:tblW w:w="9281" w:type="dxa"/>
        <w:tblInd w:w="-210" w:type="dxa"/>
        <w:tblLayout w:type="fixed"/>
        <w:tblCellMar>
          <w:top w:w="15" w:type="dxa"/>
          <w:left w:w="15" w:type="dxa"/>
          <w:bottom w:w="15" w:type="dxa"/>
          <w:right w:w="15" w:type="dxa"/>
        </w:tblCellMar>
      </w:tblPr>
      <w:tblGrid>
        <w:gridCol w:w="2088"/>
        <w:gridCol w:w="1147"/>
        <w:gridCol w:w="1781"/>
        <w:gridCol w:w="1144"/>
        <w:gridCol w:w="1894"/>
        <w:gridCol w:w="1227"/>
      </w:tblGrid>
      <w:tr>
        <w:tblPrEx>
          <w:tblCellMar>
            <w:top w:w="15" w:type="dxa"/>
            <w:left w:w="15" w:type="dxa"/>
            <w:bottom w:w="15" w:type="dxa"/>
            <w:right w:w="15" w:type="dxa"/>
          </w:tblCellMar>
        </w:tblPrEx>
        <w:trPr>
          <w:trHeight w:val="28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所在地市</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黑体_GBK" w:hAnsi="方正黑体_GBK" w:eastAsia="方正黑体_GBK" w:cs="方正黑体_GBK"/>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所在县区</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黑体_GBK" w:hAnsi="方正黑体_GBK" w:eastAsia="方正黑体_GBK" w:cs="方正黑体_GBK"/>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所属行业及细分</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企业名称</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变压器容量（kVA）</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日平均用电量（kWh）</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日平均负荷（kW）</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夏/冬季最大负荷（kW）</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正常休息时段负荷</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夏/冬季典型日平均负荷</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企业生产排班方式</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每年生产时段</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8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是否高耗能企业</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是否参与需求响应</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是否参与绿电交易</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8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总配数量</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总配电压等级</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总配出线数量</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8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分配数量</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分配电压等级</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分配出线数量</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8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低压馈线数量</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低压馈线电压等级</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可控低压馈线数量</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8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保安负荷容量（kW）</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保安负荷设备名称</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应急电源类型及功率</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8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b/>
                <w:color w:val="000000"/>
                <w:szCs w:val="21"/>
              </w:rPr>
            </w:pPr>
            <w:r>
              <w:rPr>
                <w:rFonts w:ascii="Times New Roman" w:hAnsi="Times New Roman" w:eastAsia="方正仿宋_GBK" w:cs="Times New Roman"/>
                <w:b/>
                <w:color w:val="000000"/>
                <w:kern w:val="0"/>
                <w:szCs w:val="21"/>
              </w:rPr>
              <w:t>主要生产负荷</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平均负荷（kW）</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主要设备名称</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平均负荷容量（kW）</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所在回路</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最大可压限负荷（kW）</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提前通知执行时间</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最长连续限电时间</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调控方式（刚性/柔性）</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可响应时段</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恢复投运时间</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CellMar>
            <w:top w:w="15" w:type="dxa"/>
            <w:left w:w="15" w:type="dxa"/>
            <w:bottom w:w="15" w:type="dxa"/>
            <w:right w:w="15" w:type="dxa"/>
          </w:tblCellMar>
        </w:tblPrEx>
        <w:trPr>
          <w:trHeight w:val="28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b/>
                <w:color w:val="000000"/>
                <w:szCs w:val="21"/>
              </w:rPr>
            </w:pPr>
            <w:r>
              <w:rPr>
                <w:rFonts w:ascii="Times New Roman" w:hAnsi="Times New Roman" w:eastAsia="方正仿宋_GBK" w:cs="Times New Roman"/>
                <w:b/>
                <w:color w:val="000000"/>
                <w:kern w:val="0"/>
                <w:szCs w:val="21"/>
              </w:rPr>
              <w:t>辅助生产负荷</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平均负荷（kW）</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主要设备名称</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平均负荷容量（kW）</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所在回路</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最大可压限负荷（kW）</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提前通知执行时间</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最长连续限电时间</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调控方式（刚性/柔性）</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可响应时段</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恢复投运时间</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CellMar>
            <w:top w:w="15" w:type="dxa"/>
            <w:left w:w="15" w:type="dxa"/>
            <w:bottom w:w="15" w:type="dxa"/>
            <w:right w:w="15" w:type="dxa"/>
          </w:tblCellMar>
        </w:tblPrEx>
        <w:trPr>
          <w:trHeight w:val="28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b/>
                <w:color w:val="000000"/>
                <w:szCs w:val="21"/>
              </w:rPr>
            </w:pPr>
            <w:r>
              <w:rPr>
                <w:rFonts w:ascii="Times New Roman" w:hAnsi="Times New Roman" w:eastAsia="方正仿宋_GBK" w:cs="Times New Roman"/>
                <w:b/>
                <w:color w:val="000000"/>
                <w:kern w:val="0"/>
                <w:szCs w:val="21"/>
              </w:rPr>
              <w:t>非生产负荷</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平均负荷（kW）</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_GB2312"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主要设备名称</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平均负荷容量（kW）</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所在回路</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最大可压限负荷（kW）</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提前通知执行时间</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最长连续限电时间</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调控方式（刚性/柔性）</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可响应时段</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恢复投运时间</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r>
      <w:tr>
        <w:tblPrEx>
          <w:tblCellMar>
            <w:top w:w="15" w:type="dxa"/>
            <w:left w:w="15" w:type="dxa"/>
            <w:bottom w:w="15" w:type="dxa"/>
            <w:right w:w="15" w:type="dxa"/>
          </w:tblCellMar>
        </w:tblPrEx>
        <w:trPr>
          <w:trHeight w:val="510" w:hRule="atLeast"/>
        </w:trPr>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是否具备生产控制系统</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控制系统厂家及型号</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仿宋_GBK" w:cs="Times New Roman"/>
                <w:color w:val="000000"/>
                <w:szCs w:val="21"/>
              </w:rPr>
            </w:pPr>
          </w:p>
        </w:tc>
      </w:tr>
      <w:tr>
        <w:tblPrEx>
          <w:tblCellMar>
            <w:top w:w="15" w:type="dxa"/>
            <w:left w:w="15" w:type="dxa"/>
            <w:bottom w:w="15" w:type="dxa"/>
            <w:right w:w="15" w:type="dxa"/>
          </w:tblCellMar>
        </w:tblPrEx>
        <w:trPr>
          <w:trHeight w:val="286" w:hRule="atLeast"/>
        </w:trPr>
        <w:tc>
          <w:tcPr>
            <w:tcW w:w="92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电气一次接线图</w:t>
            </w:r>
          </w:p>
        </w:tc>
      </w:tr>
      <w:tr>
        <w:tblPrEx>
          <w:tblCellMar>
            <w:top w:w="15" w:type="dxa"/>
            <w:left w:w="15" w:type="dxa"/>
            <w:bottom w:w="15" w:type="dxa"/>
            <w:right w:w="15" w:type="dxa"/>
          </w:tblCellMar>
        </w:tblPrEx>
        <w:trPr>
          <w:trHeight w:val="286" w:hRule="atLeast"/>
        </w:trPr>
        <w:tc>
          <w:tcPr>
            <w:tcW w:w="9281"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imes New Roman" w:hAnsi="Times New Roman" w:eastAsia="方正仿宋_GBK" w:cs="Times New Roman"/>
                <w:color w:val="000000"/>
                <w:szCs w:val="21"/>
              </w:rPr>
            </w:pPr>
          </w:p>
        </w:tc>
      </w:tr>
      <w:tr>
        <w:tblPrEx>
          <w:tblCellMar>
            <w:top w:w="15" w:type="dxa"/>
            <w:left w:w="15" w:type="dxa"/>
            <w:bottom w:w="15" w:type="dxa"/>
            <w:right w:w="15" w:type="dxa"/>
          </w:tblCellMar>
        </w:tblPrEx>
        <w:trPr>
          <w:trHeight w:val="286" w:hRule="atLeast"/>
        </w:trPr>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rPr>
              <w:t>其它需要说明的情况</w:t>
            </w:r>
          </w:p>
        </w:tc>
        <w:tc>
          <w:tcPr>
            <w:tcW w:w="71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方正仿宋_GBK" w:cs="Times New Roman"/>
                <w:color w:val="000000"/>
                <w:szCs w:val="21"/>
              </w:rPr>
            </w:pPr>
          </w:p>
        </w:tc>
      </w:tr>
      <w:tr>
        <w:tblPrEx>
          <w:tblCellMar>
            <w:top w:w="15" w:type="dxa"/>
            <w:left w:w="15" w:type="dxa"/>
            <w:bottom w:w="15" w:type="dxa"/>
            <w:right w:w="15" w:type="dxa"/>
          </w:tblCellMar>
        </w:tblPrEx>
        <w:trPr>
          <w:trHeight w:val="638" w:hRule="atLeast"/>
        </w:trPr>
        <w:tc>
          <w:tcPr>
            <w:tcW w:w="92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方正仿宋_GBK" w:cs="Times New Roman"/>
                <w:color w:val="000000"/>
                <w:sz w:val="22"/>
              </w:rPr>
            </w:pPr>
            <w:r>
              <w:rPr>
                <w:rFonts w:ascii="Times New Roman" w:hAnsi="Times New Roman" w:eastAsia="方正仿宋_GBK" w:cs="Times New Roman"/>
                <w:color w:val="000000"/>
                <w:kern w:val="0"/>
                <w:sz w:val="20"/>
                <w:szCs w:val="20"/>
              </w:rPr>
              <w:t>注：本表可复制，推荐每类负荷下的主要设备分开填写，便于统计。</w:t>
            </w:r>
          </w:p>
        </w:tc>
      </w:tr>
    </w:tbl>
    <w:p>
      <w:pPr>
        <w:spacing w:line="600" w:lineRule="exact"/>
        <w:jc w:val="left"/>
        <w:rPr>
          <w:rFonts w:ascii="方正仿宋_GBK" w:hAnsi="方正仿宋_GBK" w:eastAsia="方正仿宋_GBK" w:cs="方正仿宋_GBK"/>
          <w:b/>
          <w:bCs/>
          <w:sz w:val="44"/>
          <w:szCs w:val="44"/>
        </w:rPr>
        <w:sectPr>
          <w:pgSz w:w="11906" w:h="16838"/>
          <w:pgMar w:top="1191" w:right="1191" w:bottom="1191" w:left="1191" w:header="851" w:footer="992" w:gutter="0"/>
          <w:cols w:space="0" w:num="1"/>
          <w:docGrid w:type="lines" w:linePitch="312" w:charSpace="0"/>
        </w:sectPr>
      </w:pPr>
    </w:p>
    <w:p>
      <w:pPr>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p>
      <w:pPr>
        <w:spacing w:line="60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sz w:val="44"/>
          <w:szCs w:val="44"/>
        </w:rPr>
        <w:t>配用电信息表</w:t>
      </w:r>
    </w:p>
    <w:tbl>
      <w:tblPr>
        <w:tblStyle w:val="6"/>
        <w:tblW w:w="13988" w:type="dxa"/>
        <w:tblInd w:w="0" w:type="dxa"/>
        <w:tblLayout w:type="fixed"/>
        <w:tblCellMar>
          <w:top w:w="15" w:type="dxa"/>
          <w:left w:w="15" w:type="dxa"/>
          <w:bottom w:w="15" w:type="dxa"/>
          <w:right w:w="15" w:type="dxa"/>
        </w:tblCellMar>
      </w:tblPr>
      <w:tblGrid>
        <w:gridCol w:w="815"/>
        <w:gridCol w:w="815"/>
        <w:gridCol w:w="815"/>
        <w:gridCol w:w="815"/>
        <w:gridCol w:w="823"/>
        <w:gridCol w:w="832"/>
        <w:gridCol w:w="831"/>
        <w:gridCol w:w="832"/>
        <w:gridCol w:w="831"/>
        <w:gridCol w:w="832"/>
        <w:gridCol w:w="832"/>
        <w:gridCol w:w="828"/>
        <w:gridCol w:w="828"/>
        <w:gridCol w:w="1226"/>
        <w:gridCol w:w="1218"/>
        <w:gridCol w:w="815"/>
      </w:tblGrid>
      <w:tr>
        <w:tblPrEx>
          <w:tblCellMar>
            <w:top w:w="15" w:type="dxa"/>
            <w:left w:w="15" w:type="dxa"/>
            <w:bottom w:w="15" w:type="dxa"/>
            <w:right w:w="15" w:type="dxa"/>
          </w:tblCellMar>
        </w:tblPrEx>
        <w:trPr>
          <w:trHeight w:val="1200"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序号</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可控</w:t>
            </w: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可控回路对应的供电回路名称</w:t>
            </w: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主要带载的设备或生产线</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负荷类型（主要生产负荷、辅助生产负荷、非生产性负荷）</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回路用电电压等级（kV）</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最大可压限负荷（kW）</w:t>
            </w:r>
          </w:p>
        </w:tc>
        <w:tc>
          <w:tcPr>
            <w:tcW w:w="33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回路负荷情况</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回路停电准备时间（h）</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回路最长停电时间（h）</w:t>
            </w:r>
          </w:p>
        </w:tc>
        <w:tc>
          <w:tcPr>
            <w:tcW w:w="24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回路开关信息</w:t>
            </w:r>
          </w:p>
        </w:tc>
        <w:tc>
          <w:tcPr>
            <w:tcW w:w="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是否具备配电自动化</w:t>
            </w:r>
          </w:p>
        </w:tc>
      </w:tr>
      <w:tr>
        <w:tblPrEx>
          <w:tblCellMar>
            <w:top w:w="15" w:type="dxa"/>
            <w:left w:w="15" w:type="dxa"/>
            <w:bottom w:w="15" w:type="dxa"/>
            <w:right w:w="15" w:type="dxa"/>
          </w:tblCellMar>
        </w:tblPrEx>
        <w:trPr>
          <w:trHeight w:val="1501"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回路</w:t>
            </w: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夏季午高峰负荷（kW）</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夏季晚高峰负荷（kW）</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冬季午高峰负荷（kW）</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冬季晚高峰负荷（kW）</w:t>
            </w: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断路器种类（万能式断路器、真空断路器、塑壳式断路器、其他）</w:t>
            </w:r>
          </w:p>
        </w:tc>
        <w:tc>
          <w:tcPr>
            <w:tcW w:w="12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是否具备远程自动开断功能</w:t>
            </w:r>
          </w:p>
        </w:tc>
        <w:tc>
          <w:tcPr>
            <w:tcW w:w="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系统</w:t>
            </w: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8</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8回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9</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9回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10回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286"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11回</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bl>
    <w:p>
      <w:pPr>
        <w:spacing w:line="600" w:lineRule="exact"/>
        <w:ind w:firstLine="640" w:firstLineChars="200"/>
        <w:rPr>
          <w:rFonts w:ascii="方正仿宋_GBK" w:hAnsi="方正仿宋_GBK" w:eastAsia="方正仿宋_GBK" w:cs="方正仿宋_GBK"/>
          <w:sz w:val="32"/>
          <w:szCs w:val="32"/>
        </w:rPr>
        <w:sectPr>
          <w:pgSz w:w="16838" w:h="11906" w:orient="landscape"/>
          <w:pgMar w:top="1191" w:right="1191" w:bottom="1191" w:left="1191" w:header="851" w:footer="992" w:gutter="0"/>
          <w:cols w:space="0" w:num="1"/>
          <w:docGrid w:type="lines" w:linePitch="317" w:charSpace="0"/>
        </w:sectPr>
      </w:pPr>
      <w:r>
        <w:rPr>
          <w:rFonts w:hint="eastAsia" w:ascii="方正仿宋_GBK" w:hAnsi="方正仿宋_GBK" w:eastAsia="方正仿宋_GBK" w:cs="方正仿宋_GBK"/>
          <w:sz w:val="32"/>
          <w:szCs w:val="32"/>
        </w:rPr>
        <w:br w:type="page"/>
      </w:r>
    </w:p>
    <w:p>
      <w:pPr>
        <w:spacing w:line="600" w:lineRule="exact"/>
        <w:rPr>
          <w:rFonts w:ascii="Times New Roman" w:hAnsi="Times New Roman" w:eastAsia="方正黑体_GBK" w:cs="Times New Roman"/>
          <w:bCs/>
          <w:kern w:val="44"/>
          <w:sz w:val="32"/>
          <w:szCs w:val="32"/>
        </w:rPr>
      </w:pPr>
      <w:r>
        <w:rPr>
          <w:rFonts w:ascii="Times New Roman" w:hAnsi="Times New Roman" w:eastAsia="方正黑体_GBK" w:cs="Times New Roman"/>
          <w:sz w:val="32"/>
          <w:szCs w:val="32"/>
        </w:rPr>
        <w:t>附件4</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有序用电负荷控制能力改造协议</w:t>
      </w:r>
    </w:p>
    <w:p>
      <w:pPr>
        <w:spacing w:line="560" w:lineRule="exact"/>
        <w:jc w:val="center"/>
        <w:rPr>
          <w:rFonts w:ascii="仿宋_GB2312" w:hAnsi="宋体" w:eastAsia="仿宋_GB2312" w:cs="宋体"/>
        </w:rPr>
      </w:pPr>
      <w:r>
        <w:rPr>
          <w:rFonts w:hint="eastAsia" w:ascii="方正小标宋_GBK" w:hAnsi="方正小标宋_GBK" w:eastAsia="方正小标宋_GBK" w:cs="方正小标宋_GBK"/>
          <w:sz w:val="36"/>
          <w:szCs w:val="36"/>
        </w:rPr>
        <w:t>（参考模板）</w:t>
      </w:r>
    </w:p>
    <w:p>
      <w:pPr>
        <w:spacing w:line="560" w:lineRule="exact"/>
        <w:ind w:firstLine="560" w:firstLineChars="200"/>
        <w:rPr>
          <w:rFonts w:ascii="仿宋_GB2312" w:hAnsi="宋体" w:eastAsia="仿宋_GB2312" w:cs="宋体"/>
          <w:sz w:val="28"/>
          <w:szCs w:val="28"/>
        </w:rPr>
      </w:pP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见证方:地市电力运行主管部门名称</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甲方:国网重庆市电力公司XX供电分公司（备注：）</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乙方:XX公司(户号:)</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根据《重庆市经济和信息化委员会关于进一步加强电力需求侧管理的通知》规定，甲乙双方在平等、自愿的原则下，经过充分友好协商，就负荷控制能力改造事宜达成一致意见，特签定本协议。</w:t>
      </w:r>
    </w:p>
    <w:p>
      <w:pPr>
        <w:spacing w:line="560" w:lineRule="exact"/>
        <w:ind w:firstLine="560" w:firstLineChars="200"/>
        <w:rPr>
          <w:rFonts w:ascii="Times New Roman" w:hAnsi="Times New Roman" w:eastAsia="方正仿宋_GBK" w:cs="Times New Roman"/>
          <w:sz w:val="28"/>
          <w:szCs w:val="28"/>
        </w:rPr>
      </w:pPr>
      <w:r>
        <w:rPr>
          <w:rFonts w:hint="eastAsia" w:ascii="方正黑体_GBK" w:hAnsi="方正黑体_GBK" w:eastAsia="方正黑体_GBK" w:cs="方正黑体_GBK"/>
          <w:sz w:val="28"/>
          <w:szCs w:val="28"/>
        </w:rPr>
        <w:t>一、</w:t>
      </w:r>
      <w:r>
        <w:rPr>
          <w:rFonts w:ascii="Times New Roman" w:hAnsi="Times New Roman" w:eastAsia="方正仿宋_GBK" w:cs="Times New Roman"/>
          <w:sz w:val="28"/>
          <w:szCs w:val="28"/>
        </w:rPr>
        <w:t>见证方负责指导并监督甲乙双方履行本协议所约定的权利和义务，对负荷控制终端及控制回路安装运行情况、执行情况进行检查和督导。</w:t>
      </w:r>
    </w:p>
    <w:p>
      <w:pPr>
        <w:spacing w:line="560" w:lineRule="exact"/>
        <w:ind w:firstLine="560" w:firstLineChars="200"/>
        <w:rPr>
          <w:rFonts w:ascii="Times New Roman" w:hAnsi="Times New Roman" w:eastAsia="方正仿宋_GBK" w:cs="Times New Roman"/>
          <w:sz w:val="28"/>
          <w:szCs w:val="28"/>
        </w:rPr>
      </w:pPr>
      <w:r>
        <w:rPr>
          <w:rFonts w:ascii="方正黑体_GBK" w:hAnsi="方正黑体_GBK" w:eastAsia="方正黑体_GBK" w:cs="方正黑体_GBK"/>
          <w:sz w:val="28"/>
          <w:szCs w:val="28"/>
        </w:rPr>
        <w:t>二、</w:t>
      </w:r>
      <w:r>
        <w:rPr>
          <w:rFonts w:ascii="Times New Roman" w:hAnsi="Times New Roman" w:eastAsia="方正仿宋_GBK" w:cs="Times New Roman"/>
          <w:sz w:val="28"/>
          <w:szCs w:val="28"/>
        </w:rPr>
        <w:t>甲方负责实施负荷控制终端的改造、试跳、运行维护等工作，并定期进行控制回路检查，确保随时具备远程控制能力。</w:t>
      </w:r>
    </w:p>
    <w:p>
      <w:pPr>
        <w:spacing w:line="560" w:lineRule="exact"/>
        <w:ind w:firstLine="560" w:firstLineChars="200"/>
        <w:rPr>
          <w:rFonts w:ascii="Times New Roman" w:hAnsi="Times New Roman" w:eastAsia="方正仿宋_GBK" w:cs="Times New Roman"/>
          <w:sz w:val="28"/>
          <w:szCs w:val="28"/>
        </w:rPr>
      </w:pPr>
      <w:r>
        <w:rPr>
          <w:rFonts w:ascii="方正黑体_GBK" w:hAnsi="方正黑体_GBK" w:eastAsia="方正黑体_GBK" w:cs="方正黑体_GBK"/>
          <w:sz w:val="28"/>
          <w:szCs w:val="28"/>
        </w:rPr>
        <w:t>三、</w:t>
      </w:r>
      <w:r>
        <w:rPr>
          <w:rFonts w:ascii="Times New Roman" w:hAnsi="Times New Roman" w:eastAsia="方正仿宋_GBK" w:cs="Times New Roman"/>
          <w:sz w:val="28"/>
          <w:szCs w:val="28"/>
        </w:rPr>
        <w:t>乙方负责对自有设备的状况、生产工艺等实际情况进行充分评估，确保接入控制回路的负荷不存在可能危及人身和设备安全以及造成重大经济损失等风险。</w:t>
      </w:r>
    </w:p>
    <w:p>
      <w:pPr>
        <w:spacing w:line="560" w:lineRule="exact"/>
        <w:ind w:firstLine="560" w:firstLineChars="200"/>
        <w:rPr>
          <w:rFonts w:ascii="Times New Roman" w:hAnsi="Times New Roman" w:eastAsia="方正仿宋_GBK" w:cs="Times New Roman"/>
          <w:sz w:val="28"/>
          <w:szCs w:val="28"/>
        </w:rPr>
      </w:pPr>
      <w:r>
        <w:rPr>
          <w:rFonts w:ascii="方正黑体_GBK" w:hAnsi="方正黑体_GBK" w:eastAsia="方正黑体_GBK" w:cs="方正黑体_GBK"/>
          <w:sz w:val="28"/>
          <w:szCs w:val="28"/>
        </w:rPr>
        <w:t>四、</w:t>
      </w:r>
      <w:r>
        <w:rPr>
          <w:rFonts w:ascii="Times New Roman" w:hAnsi="Times New Roman" w:eastAsia="方正仿宋_GBK" w:cs="Times New Roman"/>
          <w:sz w:val="28"/>
          <w:szCs w:val="28"/>
        </w:rPr>
        <w:t>乙方有义务对安装在其场所内的负荷控制终端和控制回路进行巡视和保护，发现异常情况应及时告知甲方，主动配合甲方开展相关检查。不得随意操作负荷控制终端及控制回路等设备。</w:t>
      </w:r>
    </w:p>
    <w:p>
      <w:pPr>
        <w:spacing w:line="560" w:lineRule="exact"/>
        <w:ind w:firstLine="560" w:firstLineChars="200"/>
        <w:rPr>
          <w:rFonts w:ascii="Times New Roman" w:hAnsi="Times New Roman" w:eastAsia="方正仿宋_GBK" w:cs="Times New Roman"/>
          <w:sz w:val="28"/>
          <w:szCs w:val="28"/>
        </w:rPr>
      </w:pPr>
      <w:r>
        <w:rPr>
          <w:rFonts w:ascii="方正黑体_GBK" w:hAnsi="方正黑体_GBK" w:eastAsia="方正黑体_GBK" w:cs="方正黑体_GBK"/>
          <w:sz w:val="28"/>
          <w:szCs w:val="28"/>
        </w:rPr>
        <w:t>五、</w:t>
      </w:r>
      <w:r>
        <w:rPr>
          <w:rFonts w:ascii="Times New Roman" w:hAnsi="Times New Roman" w:eastAsia="方正仿宋_GBK" w:cs="Times New Roman"/>
          <w:sz w:val="28"/>
          <w:szCs w:val="28"/>
        </w:rPr>
        <w:t>乙方不得随意对接入负荷控制终端的开关下的可中断负荷进行切除、倒路等操作，确保可中断负荷规模且随时具备远程开断能力。</w:t>
      </w:r>
    </w:p>
    <w:p>
      <w:pPr>
        <w:spacing w:line="560" w:lineRule="exact"/>
        <w:ind w:firstLine="560" w:firstLineChars="200"/>
        <w:rPr>
          <w:rFonts w:ascii="Times New Roman" w:hAnsi="Times New Roman" w:eastAsia="方正仿宋_GBK" w:cs="Times New Roman"/>
          <w:sz w:val="28"/>
          <w:szCs w:val="28"/>
        </w:rPr>
      </w:pPr>
      <w:r>
        <w:rPr>
          <w:rFonts w:ascii="方正黑体_GBK" w:hAnsi="方正黑体_GBK" w:eastAsia="方正黑体_GBK" w:cs="方正黑体_GBK"/>
          <w:sz w:val="28"/>
          <w:szCs w:val="28"/>
        </w:rPr>
        <w:t>六、</w:t>
      </w:r>
      <w:r>
        <w:rPr>
          <w:rFonts w:ascii="Times New Roman" w:hAnsi="Times New Roman" w:eastAsia="方正仿宋_GBK" w:cs="Times New Roman"/>
          <w:sz w:val="28"/>
          <w:szCs w:val="28"/>
        </w:rPr>
        <w:t>根据有序用电方案及见证方要求，甲方有权在乙方有序用电执行不到位或电网发生紧急状况时，远程断开乙方接入负荷控制终端的开关并暂时中断该开关下所有负荷。负荷中断前，甲方按照有序用电方案相关规定，提前1天通过短信或电话等方式通知乙方。</w:t>
      </w:r>
    </w:p>
    <w:p>
      <w:pPr>
        <w:spacing w:line="560" w:lineRule="exact"/>
        <w:ind w:firstLine="560" w:firstLineChars="200"/>
        <w:rPr>
          <w:rFonts w:ascii="Times New Roman" w:hAnsi="Times New Roman" w:eastAsia="方正仿宋_GBK" w:cs="Times New Roman"/>
          <w:sz w:val="28"/>
          <w:szCs w:val="28"/>
        </w:rPr>
      </w:pPr>
      <w:r>
        <w:rPr>
          <w:rFonts w:ascii="方正黑体_GBK" w:hAnsi="方正黑体_GBK" w:eastAsia="方正黑体_GBK" w:cs="方正黑体_GBK"/>
          <w:sz w:val="28"/>
          <w:szCs w:val="28"/>
        </w:rPr>
        <w:t>七、</w:t>
      </w:r>
      <w:r>
        <w:rPr>
          <w:rFonts w:ascii="Times New Roman" w:hAnsi="Times New Roman" w:eastAsia="方正仿宋_GBK" w:cs="Times New Roman"/>
          <w:sz w:val="28"/>
          <w:szCs w:val="28"/>
        </w:rPr>
        <w:t>乙方经改造后接入负荷控制终端的可中断负荷为XX千瓦。接入负荷的占比为XX。</w:t>
      </w:r>
    </w:p>
    <w:p>
      <w:pPr>
        <w:spacing w:line="560" w:lineRule="exact"/>
        <w:ind w:firstLine="560" w:firstLineChars="200"/>
        <w:rPr>
          <w:rFonts w:ascii="Times New Roman" w:hAnsi="Times New Roman" w:eastAsia="方正仿宋_GBK" w:cs="Times New Roman"/>
          <w:sz w:val="28"/>
          <w:szCs w:val="28"/>
        </w:rPr>
      </w:pPr>
      <w:r>
        <w:rPr>
          <w:rFonts w:ascii="方正黑体_GBK" w:hAnsi="方正黑体_GBK" w:eastAsia="方正黑体_GBK" w:cs="方正黑体_GBK"/>
          <w:sz w:val="28"/>
          <w:szCs w:val="28"/>
        </w:rPr>
        <w:t>八、</w:t>
      </w:r>
      <w:r>
        <w:rPr>
          <w:rFonts w:ascii="Times New Roman" w:hAnsi="Times New Roman" w:eastAsia="方正仿宋_GBK" w:cs="Times New Roman"/>
          <w:sz w:val="28"/>
          <w:szCs w:val="28"/>
        </w:rPr>
        <w:t>本协议自甲乙双方签字并盖章之日起生效，有效期一年，如本协议期限届满或乙方可中断负荷能力发生变化，可由甲方发起重新签订协议，乙方应当予以配合。发生上述情况，需要重新签订协议的，甲乙双方应在15个工作日内完成协议签订。新协议签订前，本协议继续有效。</w:t>
      </w:r>
    </w:p>
    <w:p>
      <w:pPr>
        <w:spacing w:line="560" w:lineRule="exact"/>
        <w:ind w:firstLine="560" w:firstLineChars="200"/>
        <w:rPr>
          <w:rFonts w:ascii="Times New Roman" w:hAnsi="Times New Roman" w:eastAsia="方正仿宋_GBK" w:cs="Times New Roman"/>
          <w:sz w:val="28"/>
          <w:szCs w:val="28"/>
        </w:rPr>
      </w:pPr>
      <w:r>
        <w:rPr>
          <w:rFonts w:ascii="方正黑体_GBK" w:hAnsi="方正黑体_GBK" w:eastAsia="方正黑体_GBK" w:cs="方正黑体_GBK"/>
          <w:sz w:val="28"/>
          <w:szCs w:val="28"/>
        </w:rPr>
        <w:t>九、</w:t>
      </w:r>
      <w:r>
        <w:rPr>
          <w:rFonts w:ascii="Times New Roman" w:hAnsi="Times New Roman" w:eastAsia="方正仿宋_GBK" w:cs="Times New Roman"/>
          <w:sz w:val="28"/>
          <w:szCs w:val="28"/>
        </w:rPr>
        <w:t>本协议作为甲乙双方供用电合同的补充协议，其未尽事宜按照甲乙双方签订的供用电合同执行。</w:t>
      </w:r>
    </w:p>
    <w:p>
      <w:pPr>
        <w:spacing w:line="560" w:lineRule="exact"/>
        <w:ind w:firstLine="560" w:firstLineChars="200"/>
        <w:rPr>
          <w:rFonts w:ascii="仿宋_GB2312" w:hAnsi="宋体" w:eastAsia="仿宋_GB2312" w:cs="宋体"/>
          <w:sz w:val="28"/>
          <w:szCs w:val="28"/>
        </w:rPr>
      </w:pPr>
      <w:r>
        <w:rPr>
          <w:rFonts w:ascii="方正黑体_GBK" w:hAnsi="方正黑体_GBK" w:eastAsia="方正黑体_GBK" w:cs="方正黑体_GBK"/>
          <w:sz w:val="28"/>
          <w:szCs w:val="28"/>
        </w:rPr>
        <w:t>十、</w:t>
      </w:r>
      <w:r>
        <w:rPr>
          <w:rFonts w:ascii="Times New Roman" w:hAnsi="Times New Roman" w:eastAsia="方正仿宋_GBK" w:cs="Times New Roman"/>
          <w:sz w:val="28"/>
          <w:szCs w:val="28"/>
        </w:rPr>
        <w:t>本协议一式叁份，甲乙双方和见证方各执壹份。</w:t>
      </w:r>
    </w:p>
    <w:p>
      <w:pPr>
        <w:spacing w:line="560" w:lineRule="exact"/>
        <w:ind w:firstLine="560" w:firstLineChars="200"/>
        <w:rPr>
          <w:rFonts w:ascii="仿宋_GB2312" w:hAnsi="宋体" w:eastAsia="仿宋_GB2312" w:cs="宋体"/>
          <w:sz w:val="28"/>
          <w:szCs w:val="28"/>
        </w:rPr>
      </w:pPr>
    </w:p>
    <w:tbl>
      <w:tblPr>
        <w:tblStyle w:val="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甲方:</w:t>
            </w:r>
          </w:p>
        </w:tc>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乙方:</w:t>
            </w:r>
          </w:p>
        </w:tc>
      </w:tr>
      <w:tr>
        <w:tblPrEx>
          <w:tblCellMar>
            <w:top w:w="0" w:type="dxa"/>
            <w:left w:w="108" w:type="dxa"/>
            <w:bottom w:w="0" w:type="dxa"/>
            <w:right w:w="108" w:type="dxa"/>
          </w:tblCellMar>
        </w:tblPrEx>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(盖章)</w:t>
            </w:r>
          </w:p>
        </w:tc>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(盖章)</w:t>
            </w:r>
          </w:p>
        </w:tc>
      </w:tr>
      <w:tr>
        <w:tblPrEx>
          <w:tblCellMar>
            <w:top w:w="0" w:type="dxa"/>
            <w:left w:w="108" w:type="dxa"/>
            <w:bottom w:w="0" w:type="dxa"/>
            <w:right w:w="108" w:type="dxa"/>
          </w:tblCellMar>
        </w:tblPrEx>
        <w:tc>
          <w:tcPr>
            <w:tcW w:w="4261" w:type="dxa"/>
            <w:tcBorders>
              <w:tl2br w:val="nil"/>
              <w:tr2bl w:val="nil"/>
            </w:tcBorders>
          </w:tcPr>
          <w:p>
            <w:pPr>
              <w:spacing w:line="560" w:lineRule="exact"/>
              <w:rPr>
                <w:rFonts w:ascii="仿宋_GB2312" w:hAnsi="宋体" w:eastAsia="仿宋_GB2312" w:cs="宋体"/>
                <w:sz w:val="28"/>
                <w:szCs w:val="28"/>
              </w:rPr>
            </w:pPr>
            <w:r>
              <w:rPr>
                <w:rFonts w:hint="eastAsia" w:ascii="仿宋_GB2312" w:hAnsi="宋体" w:eastAsia="仿宋_GB2312" w:cs="宋体"/>
                <w:sz w:val="28"/>
                <w:szCs w:val="28"/>
              </w:rPr>
              <w:t>负责人或授权代表</w:t>
            </w:r>
          </w:p>
        </w:tc>
        <w:tc>
          <w:tcPr>
            <w:tcW w:w="4261" w:type="dxa"/>
            <w:tcBorders>
              <w:tl2br w:val="nil"/>
              <w:tr2bl w:val="nil"/>
            </w:tcBorders>
          </w:tcPr>
          <w:p>
            <w:pPr>
              <w:spacing w:line="560" w:lineRule="exact"/>
              <w:rPr>
                <w:rFonts w:ascii="仿宋_GB2312" w:hAnsi="宋体" w:eastAsia="仿宋_GB2312" w:cs="宋体"/>
                <w:sz w:val="28"/>
                <w:szCs w:val="28"/>
              </w:rPr>
            </w:pPr>
            <w:r>
              <w:rPr>
                <w:rFonts w:hint="eastAsia" w:ascii="仿宋_GB2312" w:hAnsi="宋体" w:eastAsia="仿宋_GB2312" w:cs="宋体"/>
                <w:sz w:val="28"/>
                <w:szCs w:val="28"/>
              </w:rPr>
              <w:t>法定代表人或授权代表</w:t>
            </w:r>
          </w:p>
        </w:tc>
      </w:tr>
      <w:tr>
        <w:tblPrEx>
          <w:tblCellMar>
            <w:top w:w="0" w:type="dxa"/>
            <w:left w:w="108" w:type="dxa"/>
            <w:bottom w:w="0" w:type="dxa"/>
            <w:right w:w="108" w:type="dxa"/>
          </w:tblCellMar>
        </w:tblPrEx>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(签字):</w:t>
            </w:r>
          </w:p>
        </w:tc>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(签字):</w:t>
            </w:r>
          </w:p>
        </w:tc>
      </w:tr>
      <w:tr>
        <w:tblPrEx>
          <w:tblCellMar>
            <w:top w:w="0" w:type="dxa"/>
            <w:left w:w="108" w:type="dxa"/>
            <w:bottom w:w="0" w:type="dxa"/>
            <w:right w:w="108" w:type="dxa"/>
          </w:tblCellMar>
        </w:tblPrEx>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签订日期:</w:t>
            </w:r>
          </w:p>
        </w:tc>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签订日期:</w:t>
            </w:r>
          </w:p>
        </w:tc>
      </w:tr>
      <w:tr>
        <w:tblPrEx>
          <w:tblCellMar>
            <w:top w:w="0" w:type="dxa"/>
            <w:left w:w="108" w:type="dxa"/>
            <w:bottom w:w="0" w:type="dxa"/>
            <w:right w:w="108" w:type="dxa"/>
          </w:tblCellMar>
        </w:tblPrEx>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联系人:</w:t>
            </w:r>
          </w:p>
        </w:tc>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联系人:</w:t>
            </w:r>
          </w:p>
        </w:tc>
      </w:tr>
      <w:tr>
        <w:tblPrEx>
          <w:tblCellMar>
            <w:top w:w="0" w:type="dxa"/>
            <w:left w:w="108" w:type="dxa"/>
            <w:bottom w:w="0" w:type="dxa"/>
            <w:right w:w="108" w:type="dxa"/>
          </w:tblCellMar>
        </w:tblPrEx>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传真:</w:t>
            </w:r>
          </w:p>
        </w:tc>
        <w:tc>
          <w:tcPr>
            <w:tcW w:w="4261" w:type="dxa"/>
            <w:tcBorders>
              <w:tl2br w:val="nil"/>
              <w:tr2bl w:val="nil"/>
            </w:tcBorders>
          </w:tcPr>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传真:</w:t>
            </w:r>
          </w:p>
        </w:tc>
      </w:tr>
    </w:tbl>
    <w:p>
      <w:pPr>
        <w:spacing w:line="560" w:lineRule="exact"/>
        <w:rPr>
          <w:rFonts w:ascii="仿宋_GB2312" w:hAnsi="宋体" w:eastAsia="仿宋_GB2312" w:cs="宋体"/>
          <w:sz w:val="28"/>
          <w:szCs w:val="28"/>
        </w:rPr>
      </w:pPr>
    </w:p>
    <w:p>
      <w:pPr>
        <w:pStyle w:val="2"/>
        <w:spacing w:line="560" w:lineRule="exact"/>
        <w:ind w:firstLine="560" w:firstLineChars="200"/>
        <w:rPr>
          <w:rFonts w:ascii="仿宋_GB2312" w:hAnsi="宋体" w:eastAsia="仿宋_GB2312" w:cs="宋体"/>
          <w:sz w:val="28"/>
          <w:szCs w:val="28"/>
          <w:u w:val="single"/>
        </w:rPr>
      </w:pPr>
      <w:r>
        <w:rPr>
          <w:rFonts w:hint="eastAsia" w:ascii="仿宋_GB2312" w:hAnsi="宋体" w:eastAsia="仿宋_GB2312" w:cs="宋体"/>
          <w:sz w:val="28"/>
          <w:szCs w:val="28"/>
        </w:rPr>
        <w:t>见证方（签字、盖章）：</w:t>
      </w: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sectPr>
          <w:pgSz w:w="11906" w:h="16838"/>
          <w:pgMar w:top="1757" w:right="1531" w:bottom="1757" w:left="1531" w:header="851" w:footer="992" w:gutter="0"/>
          <w:cols w:space="0" w:num="1"/>
          <w:docGrid w:type="lines" w:linePitch="317" w:charSpace="0"/>
        </w:sectPr>
      </w:pPr>
    </w:p>
    <w:p>
      <w:pPr>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附件5</w:t>
      </w:r>
    </w:p>
    <w:p>
      <w:pPr>
        <w:spacing w:line="600" w:lineRule="exact"/>
        <w:ind w:firstLine="880" w:firstLineChars="200"/>
        <w:jc w:val="center"/>
        <w:rPr>
          <w:rFonts w:ascii="方正仿宋_GBK" w:hAnsi="方正仿宋_GBK" w:eastAsia="方正仿宋_GBK" w:cs="方正仿宋_GBK"/>
          <w:b/>
          <w:bCs/>
          <w:sz w:val="44"/>
          <w:szCs w:val="44"/>
        </w:rPr>
      </w:pPr>
      <w:r>
        <w:rPr>
          <w:rFonts w:hint="eastAsia" w:ascii="方正小标宋_GBK" w:hAnsi="方正小标宋_GBK" w:eastAsia="方正小标宋_GBK" w:cs="方正小标宋_GBK"/>
          <w:sz w:val="44"/>
          <w:szCs w:val="44"/>
        </w:rPr>
        <w:t>分轮次接入确认函</w:t>
      </w:r>
    </w:p>
    <w:p>
      <w:pPr>
        <w:snapToGrid w:val="0"/>
        <w:spacing w:line="560" w:lineRule="exact"/>
        <w:jc w:val="left"/>
        <w:rPr>
          <w:rFonts w:ascii="仿宋_GB2312" w:eastAsia="仿宋_GB2312"/>
          <w:sz w:val="24"/>
        </w:rPr>
      </w:pPr>
    </w:p>
    <w:p>
      <w:pPr>
        <w:snapToGrid w:val="0"/>
        <w:spacing w:line="560" w:lineRule="exact"/>
        <w:jc w:val="left"/>
        <w:rPr>
          <w:rFonts w:ascii="仿宋_GB2312" w:eastAsia="仿宋_GB2312"/>
          <w:sz w:val="24"/>
        </w:rPr>
      </w:pPr>
      <w:r>
        <w:rPr>
          <w:rFonts w:hint="eastAsia" w:ascii="仿宋_GB2312" w:eastAsia="仿宋_GB2312"/>
          <w:sz w:val="24"/>
        </w:rPr>
        <w:t xml:space="preserve">户号:户名: </w:t>
      </w:r>
    </w:p>
    <w:p>
      <w:pPr>
        <w:snapToGrid w:val="0"/>
        <w:spacing w:line="560" w:lineRule="exact"/>
        <w:jc w:val="right"/>
        <w:rPr>
          <w:rFonts w:ascii="仿宋_GB2312" w:eastAsia="仿宋_GB2312"/>
          <w:sz w:val="24"/>
          <w:u w:val="single"/>
        </w:rPr>
      </w:pPr>
      <w:r>
        <w:rPr>
          <w:rFonts w:hint="eastAsia" w:ascii="仿宋_GB2312" w:eastAsia="仿宋_GB2312"/>
          <w:sz w:val="24"/>
          <w:u w:val="single"/>
        </w:rPr>
        <w:t>_____年___月___日</w:t>
      </w:r>
    </w:p>
    <w:tbl>
      <w:tblPr>
        <w:tblStyle w:val="6"/>
        <w:tblpPr w:leftFromText="180" w:rightFromText="180" w:vertAnchor="text" w:horzAnchor="page" w:tblpXSpec="center" w:tblpY="267"/>
        <w:tblOverlap w:val="never"/>
        <w:tblW w:w="10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85"/>
        <w:gridCol w:w="1845"/>
        <w:gridCol w:w="1787"/>
        <w:gridCol w:w="1665"/>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0" w:type="dxa"/>
            <w:gridSpan w:val="2"/>
            <w:vAlign w:val="center"/>
          </w:tcPr>
          <w:p>
            <w:pPr>
              <w:spacing w:line="560" w:lineRule="exact"/>
              <w:jc w:val="center"/>
              <w:rPr>
                <w:rFonts w:ascii="仿宋_GB2312" w:hAnsi="宋体" w:eastAsia="仿宋_GB2312"/>
                <w:sz w:val="24"/>
              </w:rPr>
            </w:pPr>
            <w:r>
              <w:rPr>
                <w:rFonts w:hint="eastAsia" w:ascii="仿宋_GB2312" w:hAnsi="宋体" w:eastAsia="仿宋_GB2312"/>
                <w:sz w:val="24"/>
              </w:rPr>
              <w:t>用户地址</w:t>
            </w:r>
          </w:p>
        </w:tc>
        <w:tc>
          <w:tcPr>
            <w:tcW w:w="5297" w:type="dxa"/>
            <w:gridSpan w:val="3"/>
            <w:vAlign w:val="center"/>
          </w:tcPr>
          <w:p>
            <w:pPr>
              <w:spacing w:line="560" w:lineRule="exact"/>
              <w:jc w:val="center"/>
              <w:rPr>
                <w:rFonts w:ascii="仿宋_GB2312" w:hAnsi="宋体" w:eastAsia="仿宋_GB2312"/>
                <w:sz w:val="24"/>
              </w:rPr>
            </w:pPr>
          </w:p>
        </w:tc>
        <w:tc>
          <w:tcPr>
            <w:tcW w:w="2618" w:type="dxa"/>
            <w:vMerge w:val="restart"/>
            <w:vAlign w:val="center"/>
          </w:tcPr>
          <w:p>
            <w:pPr>
              <w:spacing w:beforeLines="50" w:afterLines="50" w:line="340" w:lineRule="exact"/>
              <w:rPr>
                <w:rFonts w:ascii="仿宋_GB2312" w:eastAsia="仿宋_GB2312"/>
                <w:sz w:val="24"/>
              </w:rPr>
            </w:pPr>
            <w:r>
              <w:rPr>
                <w:rFonts w:hint="eastAsia" w:ascii="仿宋_GB2312" w:eastAsia="仿宋_GB2312"/>
                <w:sz w:val="24"/>
              </w:rPr>
              <w:t>1、为维护正常供电秩序，确保用户安全、稳定、经济运行，因而在贵单位接入分轮次负荷控制回路。请妥善保护，积极配合。</w:t>
            </w:r>
          </w:p>
          <w:p>
            <w:pPr>
              <w:spacing w:beforeLines="50" w:afterLines="50" w:line="340" w:lineRule="exact"/>
              <w:rPr>
                <w:rFonts w:ascii="仿宋_GB2312" w:eastAsia="仿宋_GB2312"/>
                <w:sz w:val="24"/>
              </w:rPr>
            </w:pPr>
            <w:r>
              <w:rPr>
                <w:rFonts w:hint="eastAsia" w:ascii="仿宋_GB2312" w:eastAsia="仿宋_GB2312"/>
                <w:sz w:val="24"/>
              </w:rPr>
              <w:t>2、贵单位应加强对负荷控制装置的巡视和卫生清扫，发现异常及时向供电公司工作人员报告。</w:t>
            </w:r>
          </w:p>
          <w:p>
            <w:pPr>
              <w:spacing w:beforeLines="50" w:afterLines="50" w:line="340" w:lineRule="exact"/>
              <w:rPr>
                <w:rFonts w:ascii="仿宋_GB2312" w:eastAsia="仿宋_GB2312"/>
                <w:sz w:val="24"/>
              </w:rPr>
            </w:pPr>
            <w:r>
              <w:rPr>
                <w:rFonts w:hint="eastAsia" w:ascii="仿宋_GB2312" w:eastAsia="仿宋_GB2312"/>
                <w:sz w:val="24"/>
              </w:rPr>
              <w:t>3、贵单位在收到有序用电指令后，应根据有序用电方案积极迅速地作出反应。否则造成负荷控制跳闸带来的损失由用户自己负责。</w:t>
            </w:r>
          </w:p>
          <w:p>
            <w:pPr>
              <w:spacing w:beforeLines="50" w:afterLines="50" w:line="340" w:lineRule="exact"/>
              <w:rPr>
                <w:rFonts w:ascii="仿宋_GB2312" w:eastAsia="仿宋_GB2312"/>
                <w:sz w:val="24"/>
              </w:rPr>
            </w:pPr>
            <w:r>
              <w:rPr>
                <w:rFonts w:hint="eastAsia" w:ascii="仿宋_GB2312" w:eastAsia="仿宋_GB2312"/>
                <w:sz w:val="24"/>
              </w:rPr>
              <w:t>4、本确认函自安装调试完毕时生效。</w:t>
            </w:r>
          </w:p>
          <w:p>
            <w:pPr>
              <w:spacing w:line="340" w:lineRule="exact"/>
              <w:rPr>
                <w:rFonts w:ascii="仿宋_GB2312" w:eastAsia="仿宋_GB2312"/>
                <w:sz w:val="24"/>
              </w:rPr>
            </w:pPr>
            <w:r>
              <w:rPr>
                <w:rFonts w:hint="eastAsia" w:ascii="仿宋_GB2312" w:eastAsia="仿宋_GB2312"/>
                <w:sz w:val="24"/>
              </w:rPr>
              <w:t xml:space="preserve">5、备注：            </w:t>
            </w:r>
          </w:p>
          <w:p>
            <w:pPr>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0" w:type="dxa"/>
            <w:gridSpan w:val="2"/>
            <w:vAlign w:val="center"/>
          </w:tcPr>
          <w:p>
            <w:pPr>
              <w:spacing w:line="560" w:lineRule="exact"/>
              <w:jc w:val="center"/>
              <w:rPr>
                <w:rFonts w:ascii="仿宋_GB2312" w:hAnsi="宋体" w:eastAsia="仿宋_GB2312"/>
                <w:sz w:val="24"/>
              </w:rPr>
            </w:pPr>
            <w:r>
              <w:rPr>
                <w:rFonts w:hint="eastAsia" w:ascii="仿宋_GB2312" w:hAnsi="宋体" w:eastAsia="仿宋_GB2312"/>
                <w:sz w:val="24"/>
              </w:rPr>
              <w:t>客户联系人</w:t>
            </w:r>
          </w:p>
        </w:tc>
        <w:tc>
          <w:tcPr>
            <w:tcW w:w="1845" w:type="dxa"/>
            <w:vAlign w:val="center"/>
          </w:tcPr>
          <w:p>
            <w:pPr>
              <w:spacing w:line="560" w:lineRule="exact"/>
              <w:jc w:val="center"/>
              <w:rPr>
                <w:rFonts w:ascii="仿宋_GB2312" w:hAnsi="宋体" w:eastAsia="仿宋_GB2312"/>
                <w:sz w:val="24"/>
              </w:rPr>
            </w:pPr>
          </w:p>
        </w:tc>
        <w:tc>
          <w:tcPr>
            <w:tcW w:w="1787" w:type="dxa"/>
            <w:vAlign w:val="center"/>
          </w:tcPr>
          <w:p>
            <w:pPr>
              <w:spacing w:line="560" w:lineRule="exact"/>
              <w:jc w:val="center"/>
              <w:rPr>
                <w:rFonts w:ascii="仿宋_GB2312" w:hAnsi="宋体" w:eastAsia="仿宋_GB2312"/>
                <w:sz w:val="24"/>
              </w:rPr>
            </w:pPr>
            <w:r>
              <w:rPr>
                <w:rFonts w:hint="eastAsia" w:ascii="仿宋_GB2312" w:hAnsi="宋体" w:eastAsia="仿宋_GB2312"/>
                <w:sz w:val="24"/>
              </w:rPr>
              <w:t>联系电话</w:t>
            </w:r>
          </w:p>
        </w:tc>
        <w:tc>
          <w:tcPr>
            <w:tcW w:w="1665" w:type="dxa"/>
            <w:vAlign w:val="center"/>
          </w:tcPr>
          <w:p>
            <w:pPr>
              <w:spacing w:line="560" w:lineRule="exact"/>
              <w:jc w:val="center"/>
              <w:rPr>
                <w:rFonts w:ascii="仿宋_GB2312" w:hAnsi="宋体" w:eastAsia="仿宋_GB2312"/>
                <w:sz w:val="24"/>
              </w:rPr>
            </w:pP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0" w:type="dxa"/>
            <w:gridSpan w:val="2"/>
            <w:vAlign w:val="center"/>
          </w:tcPr>
          <w:p>
            <w:pPr>
              <w:spacing w:line="560" w:lineRule="exact"/>
              <w:jc w:val="center"/>
              <w:rPr>
                <w:rFonts w:ascii="仿宋_GB2312" w:hAnsi="宋体" w:eastAsia="仿宋_GB2312"/>
                <w:sz w:val="24"/>
              </w:rPr>
            </w:pPr>
            <w:r>
              <w:rPr>
                <w:rFonts w:hint="eastAsia" w:ascii="仿宋_GB2312" w:hAnsi="宋体" w:eastAsia="仿宋_GB2312"/>
                <w:sz w:val="24"/>
              </w:rPr>
              <w:t>电压等级</w:t>
            </w:r>
          </w:p>
        </w:tc>
        <w:tc>
          <w:tcPr>
            <w:tcW w:w="1845" w:type="dxa"/>
            <w:vAlign w:val="center"/>
          </w:tcPr>
          <w:p>
            <w:pPr>
              <w:spacing w:line="560" w:lineRule="exact"/>
              <w:jc w:val="left"/>
              <w:rPr>
                <w:rFonts w:ascii="仿宋_GB2312" w:hAnsi="宋体" w:eastAsia="仿宋_GB2312"/>
                <w:sz w:val="24"/>
              </w:rPr>
            </w:pPr>
            <w:r>
              <w:rPr>
                <w:rFonts w:hint="eastAsia" w:ascii="仿宋_GB2312" w:eastAsia="仿宋_GB2312"/>
                <w:sz w:val="24"/>
              </w:rPr>
              <w:t xml:space="preserve">           kV</w:t>
            </w:r>
          </w:p>
        </w:tc>
        <w:tc>
          <w:tcPr>
            <w:tcW w:w="1787" w:type="dxa"/>
            <w:vAlign w:val="center"/>
          </w:tcPr>
          <w:p>
            <w:pPr>
              <w:spacing w:line="560" w:lineRule="exact"/>
              <w:jc w:val="center"/>
              <w:rPr>
                <w:rFonts w:ascii="仿宋_GB2312" w:hAnsi="宋体" w:eastAsia="仿宋_GB2312"/>
                <w:sz w:val="24"/>
              </w:rPr>
            </w:pPr>
            <w:r>
              <w:rPr>
                <w:rFonts w:hint="eastAsia" w:ascii="仿宋_GB2312" w:hAnsi="宋体" w:eastAsia="仿宋_GB2312"/>
                <w:sz w:val="24"/>
              </w:rPr>
              <w:t>变压器容量</w:t>
            </w:r>
          </w:p>
        </w:tc>
        <w:tc>
          <w:tcPr>
            <w:tcW w:w="1665" w:type="dxa"/>
            <w:vAlign w:val="center"/>
          </w:tcPr>
          <w:p>
            <w:pPr>
              <w:spacing w:line="560" w:lineRule="exact"/>
              <w:jc w:val="left"/>
              <w:rPr>
                <w:rFonts w:ascii="仿宋_GB2312" w:hAnsi="宋体" w:eastAsia="仿宋_GB2312"/>
                <w:sz w:val="24"/>
              </w:rPr>
            </w:pPr>
            <w:r>
              <w:rPr>
                <w:rFonts w:hint="eastAsia" w:ascii="仿宋_GB2312" w:eastAsia="仿宋_GB2312"/>
                <w:sz w:val="24"/>
              </w:rPr>
              <w:t xml:space="preserve">        kVA</w:t>
            </w: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560" w:lineRule="exact"/>
              <w:jc w:val="center"/>
              <w:rPr>
                <w:rFonts w:ascii="仿宋_GB2312" w:hAnsi="宋体" w:eastAsia="仿宋_GB2312"/>
                <w:sz w:val="24"/>
              </w:rPr>
            </w:pPr>
            <w:r>
              <w:rPr>
                <w:rFonts w:hint="eastAsia" w:ascii="仿宋_GB2312" w:hAnsi="宋体" w:eastAsia="仿宋_GB2312"/>
                <w:sz w:val="24"/>
              </w:rPr>
              <w:t>轮次</w:t>
            </w:r>
          </w:p>
        </w:tc>
        <w:tc>
          <w:tcPr>
            <w:tcW w:w="1485" w:type="dxa"/>
            <w:vAlign w:val="center"/>
          </w:tcPr>
          <w:p>
            <w:pPr>
              <w:spacing w:line="560" w:lineRule="exact"/>
              <w:jc w:val="center"/>
              <w:rPr>
                <w:rFonts w:ascii="仿宋_GB2312" w:hAnsi="宋体" w:eastAsia="仿宋_GB2312"/>
                <w:sz w:val="24"/>
              </w:rPr>
            </w:pPr>
            <w:r>
              <w:rPr>
                <w:rFonts w:hint="eastAsia" w:ascii="仿宋_GB2312" w:hAnsi="宋体" w:eastAsia="仿宋_GB2312"/>
                <w:sz w:val="24"/>
              </w:rPr>
              <w:t>开关编号</w:t>
            </w:r>
          </w:p>
        </w:tc>
        <w:tc>
          <w:tcPr>
            <w:tcW w:w="1845" w:type="dxa"/>
            <w:vAlign w:val="center"/>
          </w:tcPr>
          <w:p>
            <w:pPr>
              <w:spacing w:line="560" w:lineRule="exact"/>
              <w:jc w:val="center"/>
              <w:rPr>
                <w:rFonts w:ascii="仿宋_GB2312" w:hAnsi="宋体" w:eastAsia="仿宋_GB2312"/>
                <w:sz w:val="24"/>
              </w:rPr>
            </w:pPr>
            <w:r>
              <w:rPr>
                <w:rFonts w:hint="eastAsia" w:ascii="仿宋_GB2312" w:hAnsi="宋体" w:eastAsia="仿宋_GB2312"/>
                <w:sz w:val="24"/>
              </w:rPr>
              <w:t>开关名称</w:t>
            </w:r>
          </w:p>
        </w:tc>
        <w:tc>
          <w:tcPr>
            <w:tcW w:w="1787" w:type="dxa"/>
            <w:vAlign w:val="center"/>
          </w:tcPr>
          <w:p>
            <w:pPr>
              <w:spacing w:line="560" w:lineRule="exact"/>
              <w:jc w:val="center"/>
              <w:rPr>
                <w:rFonts w:ascii="仿宋_GB2312" w:hAnsi="宋体" w:eastAsia="仿宋_GB2312"/>
                <w:sz w:val="24"/>
              </w:rPr>
            </w:pPr>
            <w:r>
              <w:rPr>
                <w:rFonts w:hint="eastAsia" w:ascii="仿宋_GB2312" w:hAnsi="宋体" w:eastAsia="仿宋_GB2312"/>
                <w:sz w:val="24"/>
              </w:rPr>
              <w:t>被控设备名称</w:t>
            </w:r>
          </w:p>
        </w:tc>
        <w:tc>
          <w:tcPr>
            <w:tcW w:w="1665" w:type="dxa"/>
            <w:vAlign w:val="center"/>
          </w:tcPr>
          <w:p>
            <w:pPr>
              <w:spacing w:line="560" w:lineRule="exact"/>
              <w:jc w:val="center"/>
              <w:rPr>
                <w:rFonts w:ascii="仿宋_GB2312" w:hAnsi="宋体" w:eastAsia="仿宋_GB2312"/>
                <w:sz w:val="24"/>
              </w:rPr>
            </w:pPr>
            <w:r>
              <w:rPr>
                <w:rFonts w:hint="eastAsia" w:ascii="仿宋_GB2312" w:hAnsi="宋体" w:eastAsia="仿宋_GB2312"/>
                <w:sz w:val="24"/>
              </w:rPr>
              <w:t>可控负荷（kW）</w:t>
            </w: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35" w:type="dxa"/>
            <w:vMerge w:val="restart"/>
            <w:vAlign w:val="center"/>
          </w:tcPr>
          <w:p>
            <w:pPr>
              <w:spacing w:line="560" w:lineRule="exact"/>
              <w:jc w:val="center"/>
              <w:rPr>
                <w:rFonts w:ascii="仿宋_GB2312" w:hAnsi="宋体" w:eastAsia="仿宋_GB2312"/>
                <w:sz w:val="24"/>
              </w:rPr>
            </w:pPr>
            <w:r>
              <w:rPr>
                <w:rFonts w:hint="eastAsia" w:ascii="仿宋_GB2312" w:hAnsi="宋体" w:eastAsia="仿宋_GB2312"/>
                <w:sz w:val="24"/>
              </w:rPr>
              <w:t>一</w:t>
            </w:r>
          </w:p>
        </w:tc>
        <w:tc>
          <w:tcPr>
            <w:tcW w:w="1485" w:type="dxa"/>
            <w:vAlign w:val="center"/>
          </w:tcPr>
          <w:p>
            <w:pPr>
              <w:spacing w:line="560" w:lineRule="exact"/>
              <w:jc w:val="center"/>
              <w:rPr>
                <w:rFonts w:ascii="仿宋_GB2312" w:hAnsi="宋体" w:eastAsia="仿宋_GB2312"/>
                <w:sz w:val="24"/>
              </w:rPr>
            </w:pPr>
          </w:p>
        </w:tc>
        <w:tc>
          <w:tcPr>
            <w:tcW w:w="1845" w:type="dxa"/>
            <w:vAlign w:val="center"/>
          </w:tcPr>
          <w:p>
            <w:pPr>
              <w:spacing w:line="560" w:lineRule="exact"/>
              <w:jc w:val="center"/>
              <w:rPr>
                <w:rFonts w:ascii="仿宋_GB2312" w:hAnsi="宋体" w:eastAsia="仿宋_GB2312"/>
                <w:sz w:val="24"/>
              </w:rPr>
            </w:pPr>
          </w:p>
        </w:tc>
        <w:tc>
          <w:tcPr>
            <w:tcW w:w="1787" w:type="dxa"/>
            <w:vAlign w:val="center"/>
          </w:tcPr>
          <w:p>
            <w:pPr>
              <w:spacing w:line="560" w:lineRule="exact"/>
              <w:jc w:val="center"/>
              <w:rPr>
                <w:rFonts w:ascii="仿宋_GB2312" w:hAnsi="宋体" w:eastAsia="仿宋_GB2312"/>
                <w:sz w:val="24"/>
              </w:rPr>
            </w:pPr>
          </w:p>
        </w:tc>
        <w:tc>
          <w:tcPr>
            <w:tcW w:w="1665" w:type="dxa"/>
            <w:vAlign w:val="center"/>
          </w:tcPr>
          <w:p>
            <w:pPr>
              <w:spacing w:line="560" w:lineRule="exact"/>
              <w:jc w:val="center"/>
              <w:rPr>
                <w:rFonts w:ascii="仿宋_GB2312" w:hAnsi="宋体" w:eastAsia="仿宋_GB2312"/>
                <w:sz w:val="24"/>
              </w:rPr>
            </w:pP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35" w:type="dxa"/>
            <w:vMerge w:val="continue"/>
            <w:vAlign w:val="center"/>
          </w:tcPr>
          <w:p>
            <w:pPr>
              <w:spacing w:line="560" w:lineRule="exact"/>
              <w:jc w:val="center"/>
              <w:rPr>
                <w:rFonts w:ascii="仿宋_GB2312" w:hAnsi="宋体" w:eastAsia="仿宋_GB2312"/>
                <w:sz w:val="24"/>
              </w:rPr>
            </w:pPr>
          </w:p>
        </w:tc>
        <w:tc>
          <w:tcPr>
            <w:tcW w:w="1485" w:type="dxa"/>
            <w:vAlign w:val="center"/>
          </w:tcPr>
          <w:p>
            <w:pPr>
              <w:spacing w:line="560" w:lineRule="exact"/>
              <w:jc w:val="center"/>
              <w:rPr>
                <w:rFonts w:ascii="仿宋_GB2312" w:hAnsi="宋体" w:eastAsia="仿宋_GB2312"/>
                <w:sz w:val="24"/>
              </w:rPr>
            </w:pPr>
          </w:p>
        </w:tc>
        <w:tc>
          <w:tcPr>
            <w:tcW w:w="1845" w:type="dxa"/>
            <w:vAlign w:val="center"/>
          </w:tcPr>
          <w:p>
            <w:pPr>
              <w:spacing w:line="560" w:lineRule="exact"/>
              <w:jc w:val="center"/>
              <w:rPr>
                <w:rFonts w:ascii="仿宋_GB2312" w:hAnsi="宋体" w:eastAsia="仿宋_GB2312"/>
                <w:sz w:val="24"/>
              </w:rPr>
            </w:pPr>
          </w:p>
        </w:tc>
        <w:tc>
          <w:tcPr>
            <w:tcW w:w="1787" w:type="dxa"/>
            <w:vAlign w:val="center"/>
          </w:tcPr>
          <w:p>
            <w:pPr>
              <w:spacing w:line="560" w:lineRule="exact"/>
              <w:jc w:val="center"/>
              <w:rPr>
                <w:rFonts w:ascii="仿宋_GB2312" w:hAnsi="宋体" w:eastAsia="仿宋_GB2312"/>
                <w:sz w:val="24"/>
              </w:rPr>
            </w:pPr>
          </w:p>
        </w:tc>
        <w:tc>
          <w:tcPr>
            <w:tcW w:w="1665" w:type="dxa"/>
            <w:vAlign w:val="center"/>
          </w:tcPr>
          <w:p>
            <w:pPr>
              <w:spacing w:line="560" w:lineRule="exact"/>
              <w:jc w:val="center"/>
              <w:rPr>
                <w:rFonts w:ascii="仿宋_GB2312" w:hAnsi="宋体" w:eastAsia="仿宋_GB2312"/>
                <w:sz w:val="24"/>
              </w:rPr>
            </w:pP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35" w:type="dxa"/>
            <w:vMerge w:val="restart"/>
            <w:vAlign w:val="center"/>
          </w:tcPr>
          <w:p>
            <w:pPr>
              <w:spacing w:line="560" w:lineRule="exact"/>
              <w:jc w:val="center"/>
              <w:rPr>
                <w:rFonts w:ascii="仿宋_GB2312" w:hAnsi="宋体" w:eastAsia="仿宋_GB2312"/>
                <w:sz w:val="24"/>
              </w:rPr>
            </w:pPr>
            <w:r>
              <w:rPr>
                <w:rFonts w:hint="eastAsia" w:ascii="仿宋_GB2312" w:hAnsi="宋体" w:eastAsia="仿宋_GB2312"/>
                <w:sz w:val="24"/>
              </w:rPr>
              <w:t>二</w:t>
            </w:r>
          </w:p>
        </w:tc>
        <w:tc>
          <w:tcPr>
            <w:tcW w:w="1485" w:type="dxa"/>
            <w:vAlign w:val="center"/>
          </w:tcPr>
          <w:p>
            <w:pPr>
              <w:spacing w:line="560" w:lineRule="exact"/>
              <w:jc w:val="center"/>
              <w:rPr>
                <w:rFonts w:ascii="仿宋_GB2312" w:hAnsi="宋体" w:eastAsia="仿宋_GB2312"/>
                <w:sz w:val="24"/>
              </w:rPr>
            </w:pPr>
          </w:p>
        </w:tc>
        <w:tc>
          <w:tcPr>
            <w:tcW w:w="1845" w:type="dxa"/>
            <w:vAlign w:val="center"/>
          </w:tcPr>
          <w:p>
            <w:pPr>
              <w:spacing w:line="560" w:lineRule="exact"/>
              <w:jc w:val="center"/>
              <w:rPr>
                <w:rFonts w:ascii="仿宋_GB2312" w:hAnsi="宋体" w:eastAsia="仿宋_GB2312"/>
                <w:sz w:val="24"/>
              </w:rPr>
            </w:pPr>
          </w:p>
        </w:tc>
        <w:tc>
          <w:tcPr>
            <w:tcW w:w="1787" w:type="dxa"/>
            <w:vAlign w:val="center"/>
          </w:tcPr>
          <w:p>
            <w:pPr>
              <w:spacing w:line="560" w:lineRule="exact"/>
              <w:jc w:val="center"/>
              <w:rPr>
                <w:rFonts w:ascii="仿宋_GB2312" w:hAnsi="宋体" w:eastAsia="仿宋_GB2312"/>
                <w:sz w:val="24"/>
              </w:rPr>
            </w:pPr>
          </w:p>
        </w:tc>
        <w:tc>
          <w:tcPr>
            <w:tcW w:w="1665" w:type="dxa"/>
            <w:vAlign w:val="center"/>
          </w:tcPr>
          <w:p>
            <w:pPr>
              <w:spacing w:line="560" w:lineRule="exact"/>
              <w:jc w:val="center"/>
              <w:rPr>
                <w:rFonts w:ascii="仿宋_GB2312" w:hAnsi="宋体" w:eastAsia="仿宋_GB2312"/>
                <w:sz w:val="24"/>
              </w:rPr>
            </w:pP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35" w:type="dxa"/>
            <w:vMerge w:val="continue"/>
            <w:vAlign w:val="center"/>
          </w:tcPr>
          <w:p>
            <w:pPr>
              <w:spacing w:line="560" w:lineRule="exact"/>
              <w:jc w:val="center"/>
              <w:rPr>
                <w:rFonts w:ascii="仿宋_GB2312" w:hAnsi="宋体" w:eastAsia="仿宋_GB2312"/>
                <w:sz w:val="24"/>
              </w:rPr>
            </w:pPr>
          </w:p>
        </w:tc>
        <w:tc>
          <w:tcPr>
            <w:tcW w:w="1485" w:type="dxa"/>
            <w:vAlign w:val="center"/>
          </w:tcPr>
          <w:p>
            <w:pPr>
              <w:spacing w:line="560" w:lineRule="exact"/>
              <w:jc w:val="center"/>
              <w:rPr>
                <w:rFonts w:ascii="仿宋_GB2312" w:hAnsi="宋体" w:eastAsia="仿宋_GB2312"/>
                <w:sz w:val="24"/>
              </w:rPr>
            </w:pPr>
          </w:p>
        </w:tc>
        <w:tc>
          <w:tcPr>
            <w:tcW w:w="1845" w:type="dxa"/>
            <w:vAlign w:val="center"/>
          </w:tcPr>
          <w:p>
            <w:pPr>
              <w:spacing w:line="560" w:lineRule="exact"/>
              <w:jc w:val="center"/>
              <w:rPr>
                <w:rFonts w:ascii="仿宋_GB2312" w:hAnsi="宋体" w:eastAsia="仿宋_GB2312"/>
                <w:sz w:val="24"/>
              </w:rPr>
            </w:pPr>
          </w:p>
        </w:tc>
        <w:tc>
          <w:tcPr>
            <w:tcW w:w="1787" w:type="dxa"/>
            <w:vAlign w:val="center"/>
          </w:tcPr>
          <w:p>
            <w:pPr>
              <w:spacing w:line="560" w:lineRule="exact"/>
              <w:jc w:val="center"/>
              <w:rPr>
                <w:rFonts w:ascii="仿宋_GB2312" w:hAnsi="宋体" w:eastAsia="仿宋_GB2312"/>
                <w:sz w:val="24"/>
              </w:rPr>
            </w:pPr>
          </w:p>
        </w:tc>
        <w:tc>
          <w:tcPr>
            <w:tcW w:w="1665" w:type="dxa"/>
            <w:vAlign w:val="center"/>
          </w:tcPr>
          <w:p>
            <w:pPr>
              <w:spacing w:line="560" w:lineRule="exact"/>
              <w:jc w:val="center"/>
              <w:rPr>
                <w:rFonts w:ascii="仿宋_GB2312" w:hAnsi="宋体" w:eastAsia="仿宋_GB2312"/>
                <w:sz w:val="24"/>
              </w:rPr>
            </w:pP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735" w:type="dxa"/>
            <w:vMerge w:val="restart"/>
            <w:vAlign w:val="center"/>
          </w:tcPr>
          <w:p>
            <w:pPr>
              <w:spacing w:line="560" w:lineRule="exact"/>
              <w:jc w:val="center"/>
              <w:rPr>
                <w:rFonts w:ascii="仿宋_GB2312" w:hAnsi="宋体" w:eastAsia="仿宋_GB2312"/>
                <w:sz w:val="24"/>
              </w:rPr>
            </w:pPr>
            <w:r>
              <w:rPr>
                <w:rFonts w:hint="eastAsia" w:ascii="仿宋_GB2312" w:hAnsi="宋体" w:eastAsia="仿宋_GB2312"/>
                <w:sz w:val="24"/>
              </w:rPr>
              <w:t>三</w:t>
            </w:r>
          </w:p>
        </w:tc>
        <w:tc>
          <w:tcPr>
            <w:tcW w:w="1485" w:type="dxa"/>
            <w:vAlign w:val="center"/>
          </w:tcPr>
          <w:p>
            <w:pPr>
              <w:spacing w:line="560" w:lineRule="exact"/>
              <w:jc w:val="center"/>
              <w:rPr>
                <w:rFonts w:ascii="仿宋_GB2312" w:hAnsi="宋体" w:eastAsia="仿宋_GB2312"/>
                <w:sz w:val="24"/>
              </w:rPr>
            </w:pPr>
          </w:p>
        </w:tc>
        <w:tc>
          <w:tcPr>
            <w:tcW w:w="1845" w:type="dxa"/>
            <w:vAlign w:val="center"/>
          </w:tcPr>
          <w:p>
            <w:pPr>
              <w:spacing w:line="560" w:lineRule="exact"/>
              <w:jc w:val="center"/>
              <w:rPr>
                <w:rFonts w:ascii="仿宋_GB2312" w:hAnsi="宋体" w:eastAsia="仿宋_GB2312"/>
                <w:sz w:val="24"/>
              </w:rPr>
            </w:pPr>
          </w:p>
        </w:tc>
        <w:tc>
          <w:tcPr>
            <w:tcW w:w="1787" w:type="dxa"/>
            <w:vAlign w:val="center"/>
          </w:tcPr>
          <w:p>
            <w:pPr>
              <w:spacing w:line="560" w:lineRule="exact"/>
              <w:jc w:val="center"/>
              <w:rPr>
                <w:rFonts w:ascii="仿宋_GB2312" w:hAnsi="宋体" w:eastAsia="仿宋_GB2312"/>
                <w:sz w:val="24"/>
              </w:rPr>
            </w:pPr>
          </w:p>
        </w:tc>
        <w:tc>
          <w:tcPr>
            <w:tcW w:w="1665" w:type="dxa"/>
            <w:vAlign w:val="center"/>
          </w:tcPr>
          <w:p>
            <w:pPr>
              <w:spacing w:line="560" w:lineRule="exact"/>
              <w:jc w:val="center"/>
              <w:rPr>
                <w:rFonts w:ascii="仿宋_GB2312" w:hAnsi="宋体" w:eastAsia="仿宋_GB2312"/>
                <w:sz w:val="24"/>
              </w:rPr>
            </w:pP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35" w:type="dxa"/>
            <w:vMerge w:val="continue"/>
            <w:vAlign w:val="center"/>
          </w:tcPr>
          <w:p>
            <w:pPr>
              <w:spacing w:line="560" w:lineRule="exact"/>
              <w:jc w:val="center"/>
              <w:rPr>
                <w:rFonts w:ascii="仿宋_GB2312" w:hAnsi="宋体" w:eastAsia="仿宋_GB2312"/>
                <w:sz w:val="24"/>
              </w:rPr>
            </w:pPr>
          </w:p>
        </w:tc>
        <w:tc>
          <w:tcPr>
            <w:tcW w:w="1485" w:type="dxa"/>
            <w:vAlign w:val="center"/>
          </w:tcPr>
          <w:p>
            <w:pPr>
              <w:spacing w:line="560" w:lineRule="exact"/>
              <w:jc w:val="center"/>
              <w:rPr>
                <w:rFonts w:ascii="仿宋_GB2312" w:hAnsi="宋体" w:eastAsia="仿宋_GB2312"/>
                <w:sz w:val="24"/>
              </w:rPr>
            </w:pPr>
          </w:p>
        </w:tc>
        <w:tc>
          <w:tcPr>
            <w:tcW w:w="1845" w:type="dxa"/>
            <w:vAlign w:val="center"/>
          </w:tcPr>
          <w:p>
            <w:pPr>
              <w:spacing w:line="560" w:lineRule="exact"/>
              <w:jc w:val="center"/>
              <w:rPr>
                <w:rFonts w:ascii="仿宋_GB2312" w:hAnsi="宋体" w:eastAsia="仿宋_GB2312"/>
                <w:sz w:val="24"/>
              </w:rPr>
            </w:pPr>
          </w:p>
        </w:tc>
        <w:tc>
          <w:tcPr>
            <w:tcW w:w="1787" w:type="dxa"/>
            <w:vAlign w:val="center"/>
          </w:tcPr>
          <w:p>
            <w:pPr>
              <w:spacing w:line="560" w:lineRule="exact"/>
              <w:jc w:val="center"/>
              <w:rPr>
                <w:rFonts w:ascii="仿宋_GB2312" w:hAnsi="宋体" w:eastAsia="仿宋_GB2312"/>
                <w:sz w:val="24"/>
              </w:rPr>
            </w:pPr>
          </w:p>
        </w:tc>
        <w:tc>
          <w:tcPr>
            <w:tcW w:w="1665" w:type="dxa"/>
            <w:vAlign w:val="center"/>
          </w:tcPr>
          <w:p>
            <w:pPr>
              <w:spacing w:line="560" w:lineRule="exact"/>
              <w:jc w:val="center"/>
              <w:rPr>
                <w:rFonts w:ascii="仿宋_GB2312" w:hAnsi="宋体" w:eastAsia="仿宋_GB2312"/>
                <w:sz w:val="24"/>
              </w:rPr>
            </w:pP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35" w:type="dxa"/>
            <w:vMerge w:val="restart"/>
            <w:vAlign w:val="center"/>
          </w:tcPr>
          <w:p>
            <w:pPr>
              <w:spacing w:line="560" w:lineRule="exact"/>
              <w:jc w:val="center"/>
              <w:rPr>
                <w:rFonts w:ascii="仿宋_GB2312" w:hAnsi="宋体" w:eastAsia="仿宋_GB2312"/>
                <w:sz w:val="24"/>
              </w:rPr>
            </w:pPr>
            <w:r>
              <w:rPr>
                <w:rFonts w:hint="eastAsia" w:ascii="仿宋_GB2312" w:hAnsi="宋体" w:eastAsia="仿宋_GB2312"/>
                <w:sz w:val="24"/>
              </w:rPr>
              <w:t>四</w:t>
            </w:r>
          </w:p>
        </w:tc>
        <w:tc>
          <w:tcPr>
            <w:tcW w:w="1485" w:type="dxa"/>
            <w:vAlign w:val="center"/>
          </w:tcPr>
          <w:p>
            <w:pPr>
              <w:spacing w:line="560" w:lineRule="exact"/>
              <w:jc w:val="center"/>
              <w:rPr>
                <w:rFonts w:ascii="仿宋_GB2312" w:hAnsi="宋体" w:eastAsia="仿宋_GB2312"/>
                <w:sz w:val="24"/>
              </w:rPr>
            </w:pPr>
          </w:p>
        </w:tc>
        <w:tc>
          <w:tcPr>
            <w:tcW w:w="1845" w:type="dxa"/>
            <w:vAlign w:val="center"/>
          </w:tcPr>
          <w:p>
            <w:pPr>
              <w:spacing w:line="560" w:lineRule="exact"/>
              <w:jc w:val="center"/>
              <w:rPr>
                <w:rFonts w:ascii="仿宋_GB2312" w:hAnsi="宋体" w:eastAsia="仿宋_GB2312"/>
                <w:sz w:val="24"/>
              </w:rPr>
            </w:pPr>
          </w:p>
        </w:tc>
        <w:tc>
          <w:tcPr>
            <w:tcW w:w="1787" w:type="dxa"/>
            <w:vAlign w:val="center"/>
          </w:tcPr>
          <w:p>
            <w:pPr>
              <w:spacing w:line="560" w:lineRule="exact"/>
              <w:jc w:val="center"/>
              <w:rPr>
                <w:rFonts w:ascii="仿宋_GB2312" w:hAnsi="宋体" w:eastAsia="仿宋_GB2312"/>
                <w:sz w:val="24"/>
              </w:rPr>
            </w:pPr>
          </w:p>
        </w:tc>
        <w:tc>
          <w:tcPr>
            <w:tcW w:w="1665" w:type="dxa"/>
            <w:vAlign w:val="center"/>
          </w:tcPr>
          <w:p>
            <w:pPr>
              <w:spacing w:line="560" w:lineRule="exact"/>
              <w:jc w:val="center"/>
              <w:rPr>
                <w:rFonts w:ascii="仿宋_GB2312" w:hAnsi="宋体" w:eastAsia="仿宋_GB2312"/>
                <w:sz w:val="24"/>
              </w:rPr>
            </w:pPr>
          </w:p>
        </w:tc>
        <w:tc>
          <w:tcPr>
            <w:tcW w:w="2618"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35" w:type="dxa"/>
            <w:vMerge w:val="continue"/>
            <w:vAlign w:val="center"/>
          </w:tcPr>
          <w:p>
            <w:pPr>
              <w:spacing w:line="560" w:lineRule="exact"/>
              <w:jc w:val="center"/>
              <w:rPr>
                <w:rFonts w:ascii="仿宋_GB2312" w:hAnsi="宋体" w:eastAsia="仿宋_GB2312"/>
                <w:sz w:val="24"/>
              </w:rPr>
            </w:pPr>
          </w:p>
        </w:tc>
        <w:tc>
          <w:tcPr>
            <w:tcW w:w="1485" w:type="dxa"/>
            <w:vAlign w:val="center"/>
          </w:tcPr>
          <w:p>
            <w:pPr>
              <w:spacing w:line="560" w:lineRule="exact"/>
              <w:jc w:val="center"/>
              <w:rPr>
                <w:rFonts w:ascii="仿宋_GB2312" w:hAnsi="宋体" w:eastAsia="仿宋_GB2312"/>
                <w:sz w:val="24"/>
              </w:rPr>
            </w:pPr>
          </w:p>
        </w:tc>
        <w:tc>
          <w:tcPr>
            <w:tcW w:w="1845" w:type="dxa"/>
            <w:vAlign w:val="center"/>
          </w:tcPr>
          <w:p>
            <w:pPr>
              <w:spacing w:line="560" w:lineRule="exact"/>
              <w:jc w:val="center"/>
              <w:rPr>
                <w:rFonts w:ascii="仿宋_GB2312" w:hAnsi="宋体" w:eastAsia="仿宋_GB2312"/>
                <w:sz w:val="24"/>
              </w:rPr>
            </w:pPr>
          </w:p>
        </w:tc>
        <w:tc>
          <w:tcPr>
            <w:tcW w:w="1787" w:type="dxa"/>
            <w:vAlign w:val="center"/>
          </w:tcPr>
          <w:p>
            <w:pPr>
              <w:spacing w:line="560" w:lineRule="exact"/>
              <w:jc w:val="center"/>
              <w:rPr>
                <w:rFonts w:ascii="仿宋_GB2312" w:hAnsi="宋体" w:eastAsia="仿宋_GB2312"/>
                <w:sz w:val="24"/>
              </w:rPr>
            </w:pPr>
          </w:p>
        </w:tc>
        <w:tc>
          <w:tcPr>
            <w:tcW w:w="1665" w:type="dxa"/>
            <w:vAlign w:val="center"/>
          </w:tcPr>
          <w:p>
            <w:pPr>
              <w:spacing w:line="560" w:lineRule="exact"/>
              <w:jc w:val="center"/>
              <w:rPr>
                <w:rFonts w:ascii="仿宋_GB2312" w:hAnsi="宋体" w:eastAsia="仿宋_GB2312"/>
                <w:sz w:val="24"/>
              </w:rPr>
            </w:pPr>
          </w:p>
        </w:tc>
        <w:tc>
          <w:tcPr>
            <w:tcW w:w="2618" w:type="dxa"/>
            <w:vMerge w:val="continue"/>
            <w:vAlign w:val="center"/>
          </w:tcPr>
          <w:p>
            <w:pPr>
              <w:spacing w:line="560" w:lineRule="exact"/>
              <w:jc w:val="center"/>
              <w:rPr>
                <w:rFonts w:ascii="仿宋_GB2312" w:eastAsia="仿宋_GB2312"/>
                <w:sz w:val="24"/>
              </w:rPr>
            </w:pPr>
          </w:p>
        </w:tc>
      </w:tr>
    </w:tbl>
    <w:p>
      <w:pPr>
        <w:snapToGrid w:val="0"/>
        <w:spacing w:line="560" w:lineRule="exact"/>
        <w:jc w:val="center"/>
        <w:rPr>
          <w:rFonts w:ascii="仿宋_GB2312" w:eastAsia="仿宋_GB2312"/>
          <w:sz w:val="24"/>
        </w:rPr>
      </w:pPr>
    </w:p>
    <w:p>
      <w:pPr>
        <w:rPr>
          <w:rFonts w:ascii="仿宋_GB2312" w:eastAsia="仿宋_GB2312"/>
          <w:sz w:val="24"/>
        </w:rPr>
        <w:sectPr>
          <w:pgSz w:w="11906" w:h="16838"/>
          <w:pgMar w:top="1417" w:right="1191" w:bottom="1417" w:left="1191" w:header="851" w:footer="992" w:gutter="0"/>
          <w:cols w:space="0" w:num="1"/>
          <w:docGrid w:type="lines" w:linePitch="317" w:charSpace="0"/>
        </w:sectPr>
      </w:pPr>
      <w:r>
        <w:rPr>
          <w:rFonts w:hint="eastAsia" w:ascii="仿宋_GB2312" w:eastAsia="仿宋_GB2312"/>
          <w:sz w:val="24"/>
        </w:rPr>
        <w:t xml:space="preserve">签收人（客户）：      </w:t>
      </w:r>
    </w:p>
    <w:p>
      <w:pPr>
        <w:tabs>
          <w:tab w:val="left" w:pos="675"/>
        </w:tabs>
        <w:jc w:val="left"/>
      </w:pPr>
      <w:bookmarkStart w:id="0" w:name="_GoBack"/>
      <w:bookmarkEnd w:id="0"/>
    </w:p>
    <w:sectPr>
      <w:pgSz w:w="11906" w:h="16838"/>
      <w:pgMar w:top="2098" w:right="1531" w:bottom="1984" w:left="1531"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3.8pt;height:144pt;width:144pt;mso-position-horizontal:outside;mso-position-horizontal-relative:margin;mso-wrap-style:none;z-index:251659264;mso-width-relative:page;mso-height-relative:page;" filled="f" stroked="f" coordsize="21600,21600" o:gfxdata="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XfrQLTAAAABgEAAA8AAAAAAAAAAQAgAAAAIgAAAGRycy9kb3ducmV2LnhtbFBLAQIU&#10;ABQAAAAIAIdO4kBrhfn7MQIAAGEEAAAOAAAAAAAAAAEAIAAAACIBAABkcnMvZTJvRG9jLnhtbFBL&#10;BQYAAAAABgAGAFkBAADFBQAAAAA=&#10;">
          <v:path/>
          <v:fill on="f" focussize="0,0"/>
          <v:stroke on="f" weight="0.5pt" joinstyle="miter"/>
          <v:imagedata o:title=""/>
          <o:lock v:ext="edit"/>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CAD2C"/>
    <w:multiLevelType w:val="singleLevel"/>
    <w:tmpl w:val="B31CAD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UyMTIzNzllMWFhOGY5MTdjNjFkMWRlMGE4NjNhZTMifQ=="/>
  </w:docVars>
  <w:rsids>
    <w:rsidRoot w:val="00A56989"/>
    <w:rsid w:val="00024303"/>
    <w:rsid w:val="001557A1"/>
    <w:rsid w:val="001D7A68"/>
    <w:rsid w:val="001F0315"/>
    <w:rsid w:val="0031610E"/>
    <w:rsid w:val="0063656F"/>
    <w:rsid w:val="006E53D9"/>
    <w:rsid w:val="008813C2"/>
    <w:rsid w:val="00961F9B"/>
    <w:rsid w:val="009D1437"/>
    <w:rsid w:val="00A56989"/>
    <w:rsid w:val="00AE384C"/>
    <w:rsid w:val="00C2490F"/>
    <w:rsid w:val="00CA00ED"/>
    <w:rsid w:val="00D54D10"/>
    <w:rsid w:val="00DF6C0B"/>
    <w:rsid w:val="00E258DD"/>
    <w:rsid w:val="00F7653B"/>
    <w:rsid w:val="060B30A1"/>
    <w:rsid w:val="06B11C08"/>
    <w:rsid w:val="07790E12"/>
    <w:rsid w:val="07D12090"/>
    <w:rsid w:val="09C45462"/>
    <w:rsid w:val="0A667FFC"/>
    <w:rsid w:val="0B891EFD"/>
    <w:rsid w:val="0F2B2507"/>
    <w:rsid w:val="0FC80001"/>
    <w:rsid w:val="125577E5"/>
    <w:rsid w:val="12C5365F"/>
    <w:rsid w:val="165B5C0E"/>
    <w:rsid w:val="1A0B0EA7"/>
    <w:rsid w:val="1A237193"/>
    <w:rsid w:val="1A7E51E3"/>
    <w:rsid w:val="1B30425C"/>
    <w:rsid w:val="1B5951F1"/>
    <w:rsid w:val="1BAB4C29"/>
    <w:rsid w:val="1BB57B81"/>
    <w:rsid w:val="1CDB6333"/>
    <w:rsid w:val="20C41398"/>
    <w:rsid w:val="22BC2B08"/>
    <w:rsid w:val="26C43E5E"/>
    <w:rsid w:val="28755CC1"/>
    <w:rsid w:val="29B960DF"/>
    <w:rsid w:val="2AB34D8C"/>
    <w:rsid w:val="2B5B5499"/>
    <w:rsid w:val="2C0D225C"/>
    <w:rsid w:val="2C7B2DF3"/>
    <w:rsid w:val="2D124E0D"/>
    <w:rsid w:val="2D484A64"/>
    <w:rsid w:val="2FC832B8"/>
    <w:rsid w:val="34C87095"/>
    <w:rsid w:val="37101BB8"/>
    <w:rsid w:val="388F1EE7"/>
    <w:rsid w:val="3B471370"/>
    <w:rsid w:val="3D8527ED"/>
    <w:rsid w:val="42C7692B"/>
    <w:rsid w:val="47372B4F"/>
    <w:rsid w:val="49DF3172"/>
    <w:rsid w:val="4A2F6887"/>
    <w:rsid w:val="4AC5200A"/>
    <w:rsid w:val="4EEC7A6C"/>
    <w:rsid w:val="4FE7690D"/>
    <w:rsid w:val="504F696F"/>
    <w:rsid w:val="52362960"/>
    <w:rsid w:val="535C58E5"/>
    <w:rsid w:val="536E2382"/>
    <w:rsid w:val="549552AD"/>
    <w:rsid w:val="54CD4D2A"/>
    <w:rsid w:val="5571293C"/>
    <w:rsid w:val="581C5A08"/>
    <w:rsid w:val="58B23E2E"/>
    <w:rsid w:val="5920753D"/>
    <w:rsid w:val="59704823"/>
    <w:rsid w:val="59721C0F"/>
    <w:rsid w:val="59786367"/>
    <w:rsid w:val="5AA07A85"/>
    <w:rsid w:val="5AC30F0B"/>
    <w:rsid w:val="5B6F0A4D"/>
    <w:rsid w:val="5C8311B0"/>
    <w:rsid w:val="5CC279B5"/>
    <w:rsid w:val="5D1533B4"/>
    <w:rsid w:val="5D895C73"/>
    <w:rsid w:val="5DC5677F"/>
    <w:rsid w:val="5E48573D"/>
    <w:rsid w:val="638D62C4"/>
    <w:rsid w:val="64BE7375"/>
    <w:rsid w:val="724C3921"/>
    <w:rsid w:val="74973CD3"/>
    <w:rsid w:val="76444EAD"/>
    <w:rsid w:val="78C251AC"/>
    <w:rsid w:val="7F7E19D4"/>
    <w:rsid w:val="7FBF69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adjustRightInd w:val="0"/>
      <w:spacing w:after="200" w:line="312" w:lineRule="atLeast"/>
      <w:ind w:firstLine="420"/>
      <w:textAlignment w:val="baseline"/>
    </w:pPr>
    <w:rPr>
      <w:kern w:val="0"/>
      <w:szCs w:val="20"/>
    </w:rPr>
  </w:style>
  <w:style w:type="paragraph" w:styleId="3">
    <w:name w:val="Balloon Text"/>
    <w:basedOn w:val="1"/>
    <w:link w:val="9"/>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font21"/>
    <w:basedOn w:val="8"/>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1936</Words>
  <Characters>11041</Characters>
  <Lines>92</Lines>
  <Paragraphs>25</Paragraphs>
  <TotalTime>26</TotalTime>
  <ScaleCrop>false</ScaleCrop>
  <LinksUpToDate>false</LinksUpToDate>
  <CharactersWithSpaces>12952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2023-04-02T14:38:00Z</dcterms:created>
  <dc:creator>NING MEI</dc:creator>
  <cp:lastModifiedBy>毛泽均</cp:lastModifiedBy>
  <cp:lastPrinted>2023-04-11T08:24:00Z</cp:lastPrinted>
  <dcterms:modified xsi:type="dcterms:W3CDTF">2023-12-05T10:02:52Z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CC104AB12701449AAC98BA3FCC1A3433_13</vt:lpwstr>
  </property>
</Properties>
</file>