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560" w:lineRule="exact"/>
        <w:jc w:val="center"/>
        <w:textAlignment w:val="auto"/>
        <w:rPr>
          <w:rFonts w:hint="eastAsia" w:ascii="方正仿宋_GBK" w:hAnsi="方正仿宋_GBK" w:eastAsia="方正仿宋_GBK" w:cs="方正仿宋_GBK"/>
          <w:b w:val="0"/>
          <w:bCs w:val="0"/>
          <w:color w:val="auto"/>
          <w:sz w:val="44"/>
          <w:szCs w:val="32"/>
          <w:lang w:val="en-US" w:eastAsia="zh-CN"/>
        </w:rPr>
      </w:pPr>
    </w:p>
    <w:p>
      <w:pPr>
        <w:keepNext w:val="0"/>
        <w:keepLines w:val="0"/>
        <w:pageBreakBefore w:val="0"/>
        <w:kinsoku/>
        <w:wordWrap/>
        <w:overflowPunct/>
        <w:topLinePunct w:val="0"/>
        <w:bidi w:val="0"/>
        <w:spacing w:line="560" w:lineRule="exact"/>
        <w:jc w:val="center"/>
        <w:textAlignment w:val="auto"/>
        <w:rPr>
          <w:rFonts w:hint="eastAsia" w:ascii="仿宋" w:hAnsi="仿宋" w:eastAsia="仿宋" w:cs="仿宋"/>
          <w:b w:val="0"/>
          <w:bCs w:val="0"/>
          <w:color w:val="auto"/>
          <w:sz w:val="44"/>
          <w:szCs w:val="32"/>
          <w:lang w:val="en-US" w:eastAsia="zh-CN"/>
        </w:rPr>
      </w:pPr>
    </w:p>
    <w:p>
      <w:pPr>
        <w:keepNext w:val="0"/>
        <w:keepLines w:val="0"/>
        <w:pageBreakBefore w:val="0"/>
        <w:kinsoku/>
        <w:wordWrap/>
        <w:overflowPunct/>
        <w:topLinePunct w:val="0"/>
        <w:bidi w:val="0"/>
        <w:spacing w:line="560" w:lineRule="exact"/>
        <w:jc w:val="center"/>
        <w:textAlignment w:val="auto"/>
        <w:rPr>
          <w:rFonts w:hint="eastAsia" w:ascii="仿宋" w:hAnsi="仿宋" w:eastAsia="仿宋" w:cs="仿宋"/>
          <w:b w:val="0"/>
          <w:bCs w:val="0"/>
          <w:color w:val="auto"/>
          <w:sz w:val="44"/>
          <w:szCs w:val="32"/>
          <w:lang w:val="en-US" w:eastAsia="zh-CN"/>
        </w:rPr>
      </w:pPr>
    </w:p>
    <w:p>
      <w:pPr>
        <w:keepNext w:val="0"/>
        <w:keepLines w:val="0"/>
        <w:pageBreakBefore w:val="0"/>
        <w:kinsoku/>
        <w:wordWrap/>
        <w:overflowPunct/>
        <w:topLinePunct w:val="0"/>
        <w:bidi w:val="0"/>
        <w:spacing w:line="560" w:lineRule="exact"/>
        <w:jc w:val="center"/>
        <w:textAlignment w:val="auto"/>
        <w:rPr>
          <w:rFonts w:hint="eastAsia" w:ascii="仿宋" w:hAnsi="仿宋" w:eastAsia="仿宋" w:cs="仿宋"/>
          <w:b w:val="0"/>
          <w:bCs w:val="0"/>
          <w:color w:val="auto"/>
          <w:sz w:val="44"/>
          <w:szCs w:val="32"/>
          <w:lang w:val="en-US" w:eastAsia="zh-CN"/>
        </w:rPr>
      </w:pPr>
    </w:p>
    <w:p>
      <w:pPr>
        <w:keepNext w:val="0"/>
        <w:keepLines w:val="0"/>
        <w:pageBreakBefore w:val="0"/>
        <w:kinsoku/>
        <w:wordWrap/>
        <w:overflowPunct/>
        <w:topLinePunct w:val="0"/>
        <w:bidi w:val="0"/>
        <w:spacing w:line="560" w:lineRule="exact"/>
        <w:jc w:val="center"/>
        <w:textAlignment w:val="auto"/>
        <w:rPr>
          <w:rFonts w:hint="eastAsia" w:ascii="仿宋" w:hAnsi="仿宋" w:eastAsia="仿宋" w:cs="仿宋"/>
          <w:b w:val="0"/>
          <w:bCs w:val="0"/>
          <w:color w:val="auto"/>
          <w:sz w:val="44"/>
          <w:szCs w:val="32"/>
          <w:lang w:val="en-US" w:eastAsia="zh-CN"/>
        </w:rPr>
      </w:pPr>
    </w:p>
    <w:p>
      <w:pPr>
        <w:keepNext w:val="0"/>
        <w:keepLines w:val="0"/>
        <w:pageBreakBefore w:val="0"/>
        <w:kinsoku/>
        <w:wordWrap/>
        <w:overflowPunct/>
        <w:topLinePunct w:val="0"/>
        <w:bidi w:val="0"/>
        <w:spacing w:line="560" w:lineRule="exact"/>
        <w:jc w:val="center"/>
        <w:textAlignment w:val="auto"/>
        <w:rPr>
          <w:rFonts w:hint="eastAsia" w:ascii="仿宋" w:hAnsi="仿宋" w:eastAsia="仿宋" w:cs="仿宋"/>
          <w:b w:val="0"/>
          <w:bCs w:val="0"/>
          <w:color w:val="auto"/>
          <w:sz w:val="44"/>
          <w:szCs w:val="32"/>
          <w:lang w:val="en-US" w:eastAsia="zh-CN"/>
        </w:rPr>
      </w:pPr>
    </w:p>
    <w:p>
      <w:pPr>
        <w:keepNext w:val="0"/>
        <w:keepLines w:val="0"/>
        <w:pageBreakBefore w:val="0"/>
        <w:kinsoku/>
        <w:wordWrap/>
        <w:overflowPunct/>
        <w:topLinePunct w:val="0"/>
        <w:bidi w:val="0"/>
        <w:spacing w:line="560" w:lineRule="exact"/>
        <w:jc w:val="center"/>
        <w:textAlignment w:val="auto"/>
        <w:rPr>
          <w:rFonts w:hint="eastAsia" w:ascii="仿宋" w:hAnsi="仿宋" w:eastAsia="仿宋" w:cs="仿宋"/>
          <w:b w:val="0"/>
          <w:bCs w:val="0"/>
          <w:color w:val="auto"/>
          <w:sz w:val="44"/>
          <w:szCs w:val="32"/>
          <w:lang w:val="en-US" w:eastAsia="zh-CN"/>
        </w:rPr>
      </w:pPr>
    </w:p>
    <w:p>
      <w:pPr>
        <w:keepNext w:val="0"/>
        <w:keepLines w:val="0"/>
        <w:pageBreakBefore w:val="0"/>
        <w:kinsoku/>
        <w:wordWrap/>
        <w:overflowPunct/>
        <w:topLinePunct w:val="0"/>
        <w:bidi w:val="0"/>
        <w:spacing w:line="560" w:lineRule="exact"/>
        <w:jc w:val="center"/>
        <w:textAlignment w:val="auto"/>
        <w:rPr>
          <w:rFonts w:hint="eastAsia" w:ascii="仿宋" w:hAnsi="仿宋" w:eastAsia="仿宋" w:cs="仿宋"/>
          <w:b w:val="0"/>
          <w:bCs w:val="0"/>
          <w:color w:val="auto"/>
          <w:sz w:val="44"/>
          <w:szCs w:val="32"/>
          <w:lang w:val="en-US" w:eastAsia="zh-CN"/>
        </w:rPr>
      </w:pPr>
    </w:p>
    <w:p>
      <w:pPr>
        <w:keepNext w:val="0"/>
        <w:keepLines w:val="0"/>
        <w:pageBreakBefore w:val="0"/>
        <w:kinsoku/>
        <w:wordWrap/>
        <w:overflowPunct/>
        <w:topLinePunct w:val="0"/>
        <w:bidi w:val="0"/>
        <w:spacing w:line="560" w:lineRule="exact"/>
        <w:jc w:val="center"/>
        <w:textAlignment w:val="auto"/>
        <w:rPr>
          <w:rFonts w:hint="eastAsia" w:ascii="Times New Roman" w:hAnsi="Times New Roman" w:eastAsia="方正小标宋_GBK" w:cs="Times New Roman"/>
          <w:kern w:val="2"/>
          <w:sz w:val="44"/>
          <w:szCs w:val="32"/>
          <w:lang w:val="en-US" w:eastAsia="zh-CN" w:bidi="ar-SA"/>
        </w:rPr>
      </w:pPr>
      <w:bookmarkStart w:id="167" w:name="_GoBack"/>
      <w:r>
        <w:rPr>
          <w:rFonts w:hint="eastAsia" w:ascii="Times New Roman" w:hAnsi="Times New Roman" w:eastAsia="方正小标宋_GBK" w:cs="Times New Roman"/>
          <w:kern w:val="2"/>
          <w:sz w:val="44"/>
          <w:szCs w:val="32"/>
          <w:lang w:val="en-US" w:eastAsia="zh-CN" w:bidi="ar-SA"/>
        </w:rPr>
        <w:t>重庆市璧山区科学技术局</w:t>
      </w:r>
    </w:p>
    <w:p>
      <w:pPr>
        <w:keepNext w:val="0"/>
        <w:keepLines w:val="0"/>
        <w:pageBreakBefore w:val="0"/>
        <w:kinsoku/>
        <w:wordWrap/>
        <w:overflowPunct/>
        <w:topLinePunct w:val="0"/>
        <w:bidi w:val="0"/>
        <w:spacing w:line="560" w:lineRule="exact"/>
        <w:jc w:val="center"/>
        <w:textAlignment w:val="auto"/>
        <w:rPr>
          <w:rFonts w:hint="eastAsia" w:ascii="方正小标宋_GBK" w:hAnsi="方正小标宋_GBK" w:eastAsia="方正小标宋_GBK" w:cs="方正小标宋_GBK"/>
          <w:b w:val="0"/>
          <w:bCs w:val="0"/>
          <w:color w:val="auto"/>
          <w:sz w:val="44"/>
          <w:szCs w:val="32"/>
          <w:lang w:val="en-US" w:eastAsia="zh-CN"/>
        </w:rPr>
      </w:pPr>
      <w:r>
        <w:rPr>
          <w:rFonts w:hint="eastAsia" w:ascii="Times New Roman" w:hAnsi="Times New Roman" w:eastAsia="方正小标宋_GBK" w:cs="Times New Roman"/>
          <w:kern w:val="2"/>
          <w:sz w:val="44"/>
          <w:szCs w:val="32"/>
          <w:lang w:val="en-US" w:eastAsia="zh-CN" w:bidi="ar-SA"/>
        </w:rPr>
        <w:t>2020</w:t>
      </w:r>
      <w:r>
        <w:rPr>
          <w:rFonts w:hint="eastAsia" w:eastAsia="方正小标宋_GBK" w:cs="Times New Roman"/>
          <w:kern w:val="2"/>
          <w:sz w:val="44"/>
          <w:szCs w:val="32"/>
          <w:lang w:val="en-US" w:eastAsia="zh-CN" w:bidi="ar-SA"/>
        </w:rPr>
        <w:t>年</w:t>
      </w:r>
      <w:r>
        <w:rPr>
          <w:rFonts w:hint="eastAsia" w:ascii="Times New Roman" w:hAnsi="Times New Roman" w:eastAsia="方正小标宋_GBK" w:cs="Times New Roman"/>
          <w:kern w:val="2"/>
          <w:sz w:val="44"/>
          <w:szCs w:val="32"/>
          <w:lang w:val="en-US" w:eastAsia="zh-CN" w:bidi="ar-SA"/>
        </w:rPr>
        <w:t>部门整体支出绩效自评报告</w:t>
      </w:r>
    </w:p>
    <w:bookmarkEnd w:id="167"/>
    <w:p>
      <w:pPr>
        <w:pStyle w:val="13"/>
        <w:keepNext w:val="0"/>
        <w:keepLines w:val="0"/>
        <w:pageBreakBefore w:val="0"/>
        <w:kinsoku/>
        <w:wordWrap/>
        <w:overflowPunct/>
        <w:topLinePunct w:val="0"/>
        <w:bidi w:val="0"/>
        <w:spacing w:line="560" w:lineRule="exact"/>
        <w:ind w:left="357" w:firstLine="640"/>
        <w:textAlignment w:val="auto"/>
        <w:rPr>
          <w:rFonts w:hint="eastAsia" w:ascii="仿宋" w:hAnsi="仿宋" w:eastAsia="仿宋" w:cs="仿宋"/>
          <w:sz w:val="32"/>
          <w:szCs w:val="32"/>
        </w:rPr>
      </w:pPr>
    </w:p>
    <w:p>
      <w:pPr>
        <w:keepNext w:val="0"/>
        <w:keepLines w:val="0"/>
        <w:pageBreakBefore w:val="0"/>
        <w:kinsoku/>
        <w:wordWrap/>
        <w:overflowPunct/>
        <w:topLinePunct w:val="0"/>
        <w:bidi w:val="0"/>
        <w:spacing w:before="0" w:beforeLines="0" w:after="0" w:afterLines="0" w:line="560" w:lineRule="exact"/>
        <w:ind w:left="0" w:leftChars="0" w:right="0" w:rightChars="0" w:firstLine="0" w:firstLineChars="0"/>
        <w:jc w:val="center"/>
        <w:textAlignment w:val="auto"/>
        <w:rPr>
          <w:rFonts w:hint="eastAsia" w:ascii="仿宋" w:hAnsi="仿宋" w:eastAsia="仿宋" w:cs="仿宋"/>
          <w:kern w:val="2"/>
          <w:sz w:val="30"/>
          <w:szCs w:val="30"/>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b w:val="0"/>
          <w:bCs w:val="0"/>
          <w:kern w:val="2"/>
          <w:sz w:val="20"/>
          <w:szCs w:val="22"/>
          <w:lang w:val="en-US" w:eastAsia="zh-CN" w:bidi="ar-SA"/>
        </w:rPr>
        <w:id w:val="147466417"/>
        <w15:color w:val="DBDBDB"/>
        <w:docPartObj>
          <w:docPartGallery w:val="Table of Contents"/>
          <w:docPartUnique/>
        </w:docPartObj>
      </w:sdtPr>
      <w:sdtEndPr>
        <w:rPr>
          <w:rFonts w:hint="eastAsia" w:ascii="方正仿宋_GBK" w:hAnsi="方正仿宋_GBK" w:eastAsia="方正仿宋_GBK" w:cs="方正仿宋_GBK"/>
          <w:b/>
          <w:bCs w:val="0"/>
          <w:kern w:val="2"/>
          <w:sz w:val="21"/>
          <w:szCs w:val="32"/>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kern w:val="0"/>
              <w:sz w:val="32"/>
              <w:szCs w:val="32"/>
            </w:rPr>
            <w:t>目录</w:t>
          </w:r>
        </w:p>
        <w:p>
          <w:pPr>
            <w:pStyle w:val="18"/>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sz w:val="28"/>
              <w:szCs w:val="28"/>
              <w:highlight w:val="none"/>
            </w:rPr>
            <w:fldChar w:fldCharType="begin"/>
          </w:r>
          <w:r>
            <w:rPr>
              <w:rFonts w:hint="eastAsia" w:ascii="方正仿宋_GBK" w:hAnsi="方正仿宋_GBK" w:eastAsia="方正仿宋_GBK" w:cs="方正仿宋_GBK"/>
              <w:sz w:val="28"/>
              <w:szCs w:val="28"/>
              <w:highlight w:val="none"/>
            </w:rPr>
            <w:instrText xml:space="preserve">TOC \o "1-2" \h \u </w:instrText>
          </w:r>
          <w:r>
            <w:rPr>
              <w:rFonts w:hint="eastAsia" w:ascii="方正仿宋_GBK" w:hAnsi="方正仿宋_GBK" w:eastAsia="方正仿宋_GBK" w:cs="方正仿宋_GBK"/>
              <w:sz w:val="28"/>
              <w:szCs w:val="28"/>
              <w:highlight w:val="none"/>
            </w:rPr>
            <w:fldChar w:fldCharType="separate"/>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_Toc20286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一、基本情况</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_Toc20286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_Toc13081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（一）部门基本情况</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_Toc13081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_Toc17335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（二）部门整体预算及支出情况</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_Toc17335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4</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8"/>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_Toc1471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二、绩效评价基本情况</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_Toc1471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6</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8"/>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_Toc10928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（一）绩效评价目的</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_Toc10928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6</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_Toc26286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（二）绩效评价原则、评价指标体系、评价方法</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_Toc26286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6</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_Toc11888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（三）绩效评价工作过程</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_Toc11888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6</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8"/>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_Toc12135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三、绩效评价情况及结论</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_Toc12135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9</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_Toc383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（一）投入评价情况</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_Toc383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9</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_Toc13102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（二）过程评价情况</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_Toc13102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10</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_Toc29030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（三）产出评价情况</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_Toc29030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14</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_Toc7008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（四）效益评价情况</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_Toc7008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16</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8"/>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_Toc5183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四、主要经验及做法</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_Toc5183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17</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_Toc5934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（一）西部（重庆）科学城（璧山）建设取得新进展</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_Toc5934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17</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_Toc4076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（二）科技创新平台持续夯实</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_Toc4076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17</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_Toc643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（三）企业创新主体加快培育</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_Toc643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19</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_Toc12278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（四）创新创业环境明显优化</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_Toc12278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19</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_Toc1258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（五）精准扶贫成效显著，科技助力共同抗疫</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_Toc1258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20</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_Toc26457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（六）坚持全面从严治党，切实加强自身建设</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_Toc26457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21</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8"/>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_Toc28828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五、存在的问题和建议</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_Toc28828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21</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_Toc1487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（一）存在的问题</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_Toc1487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21</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pStyle w:val="19"/>
            <w:tabs>
              <w:tab w:val="right" w:leader="dot" w:pos="8306"/>
            </w:tabs>
            <w:rPr>
              <w:rFonts w:hint="eastAsia" w:ascii="方正仿宋_GBK" w:hAnsi="方正仿宋_GBK" w:eastAsia="方正仿宋_GBK" w:cs="方正仿宋_GBK"/>
              <w:kern w:val="2"/>
              <w:sz w:val="28"/>
              <w:szCs w:val="28"/>
              <w:highlight w:val="none"/>
              <w:lang w:val="en-US" w:eastAsia="zh-CN" w:bidi="ar-SA"/>
            </w:rPr>
            <w:sectPr>
              <w:footerReference r:id="rId3" w:type="default"/>
              <w:pgSz w:w="11906" w:h="16838"/>
              <w:pgMar w:top="1440" w:right="1800" w:bottom="1440" w:left="1800" w:header="851" w:footer="992" w:gutter="0"/>
              <w:pgNumType w:start="1"/>
              <w:cols w:space="425" w:num="1"/>
              <w:docGrid w:type="lines" w:linePitch="312" w:charSpace="0"/>
            </w:sectPr>
          </w:pPr>
        </w:p>
        <w:p>
          <w:pPr>
            <w:pStyle w:val="19"/>
            <w:tabs>
              <w:tab w:val="right" w:leader="dot" w:pos="8306"/>
            </w:tabs>
            <w:rPr>
              <w:sz w:val="28"/>
              <w:szCs w:val="28"/>
            </w:rPr>
          </w:pP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HYPERLINK \l _Toc11054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（二）建议</w:t>
          </w:r>
          <w:r>
            <w:rPr>
              <w:rFonts w:hint="eastAsia" w:ascii="方正仿宋_GBK" w:hAnsi="方正仿宋_GBK" w:eastAsia="方正仿宋_GBK" w:cs="方正仿宋_GBK"/>
              <w:kern w:val="2"/>
              <w:sz w:val="28"/>
              <w:szCs w:val="28"/>
              <w:highlight w:val="none"/>
              <w:lang w:val="en-US" w:eastAsia="zh-CN" w:bidi="ar-SA"/>
            </w:rPr>
            <w:tab/>
          </w:r>
          <w:r>
            <w:rPr>
              <w:rFonts w:hint="eastAsia" w:ascii="方正仿宋_GBK" w:hAnsi="方正仿宋_GBK" w:eastAsia="方正仿宋_GBK" w:cs="方正仿宋_GBK"/>
              <w:kern w:val="2"/>
              <w:sz w:val="28"/>
              <w:szCs w:val="28"/>
              <w:highlight w:val="none"/>
              <w:lang w:val="en-US" w:eastAsia="zh-CN" w:bidi="ar-SA"/>
            </w:rPr>
            <w:fldChar w:fldCharType="begin"/>
          </w:r>
          <w:r>
            <w:rPr>
              <w:rFonts w:hint="eastAsia" w:ascii="方正仿宋_GBK" w:hAnsi="方正仿宋_GBK" w:eastAsia="方正仿宋_GBK" w:cs="方正仿宋_GBK"/>
              <w:kern w:val="2"/>
              <w:sz w:val="28"/>
              <w:szCs w:val="28"/>
              <w:highlight w:val="none"/>
              <w:lang w:val="en-US" w:eastAsia="zh-CN" w:bidi="ar-SA"/>
            </w:rPr>
            <w:instrText xml:space="preserve"> PAGEREF _Toc11054 \h </w:instrText>
          </w:r>
          <w:r>
            <w:rPr>
              <w:rFonts w:hint="eastAsia" w:ascii="方正仿宋_GBK" w:hAnsi="方正仿宋_GBK" w:eastAsia="方正仿宋_GBK" w:cs="方正仿宋_GBK"/>
              <w:kern w:val="2"/>
              <w:sz w:val="28"/>
              <w:szCs w:val="28"/>
              <w:highlight w:val="none"/>
              <w:lang w:val="en-US" w:eastAsia="zh-CN" w:bidi="ar-SA"/>
            </w:rPr>
            <w:fldChar w:fldCharType="separate"/>
          </w:r>
          <w:r>
            <w:rPr>
              <w:rFonts w:hint="eastAsia" w:ascii="方正仿宋_GBK" w:hAnsi="方正仿宋_GBK" w:eastAsia="方正仿宋_GBK" w:cs="方正仿宋_GBK"/>
              <w:kern w:val="2"/>
              <w:sz w:val="28"/>
              <w:szCs w:val="28"/>
              <w:highlight w:val="none"/>
              <w:lang w:val="en-US" w:eastAsia="zh-CN" w:bidi="ar-SA"/>
            </w:rPr>
            <w:t>21</w:t>
          </w:r>
          <w:r>
            <w:rPr>
              <w:rFonts w:hint="eastAsia" w:ascii="方正仿宋_GBK" w:hAnsi="方正仿宋_GBK" w:eastAsia="方正仿宋_GBK" w:cs="方正仿宋_GBK"/>
              <w:kern w:val="2"/>
              <w:sz w:val="28"/>
              <w:szCs w:val="28"/>
              <w:highlight w:val="none"/>
              <w:lang w:val="en-US" w:eastAsia="zh-CN" w:bidi="ar-SA"/>
            </w:rPr>
            <w:fldChar w:fldCharType="end"/>
          </w:r>
          <w:r>
            <w:rPr>
              <w:rFonts w:hint="eastAsia" w:ascii="方正仿宋_GBK" w:hAnsi="方正仿宋_GBK" w:eastAsia="方正仿宋_GBK" w:cs="方正仿宋_GBK"/>
              <w:kern w:val="2"/>
              <w:sz w:val="28"/>
              <w:szCs w:val="28"/>
              <w:highlight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方正仿宋_GBK" w:hAnsi="方正仿宋_GBK" w:eastAsia="方正仿宋_GBK" w:cs="方正仿宋_GBK"/>
              <w:sz w:val="32"/>
              <w:szCs w:val="32"/>
              <w:highlight w:val="none"/>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方正仿宋_GBK" w:hAnsi="方正仿宋_GBK" w:eastAsia="方正仿宋_GBK" w:cs="方正仿宋_GBK"/>
              <w:b/>
              <w:sz w:val="28"/>
              <w:szCs w:val="28"/>
              <w:highlight w:val="none"/>
            </w:rPr>
            <w:fldChar w:fldCharType="end"/>
          </w:r>
        </w:p>
      </w:sdtContent>
    </w:sdt>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sz w:val="32"/>
          <w:szCs w:val="32"/>
          <w:highlight w:val="none"/>
        </w:rPr>
        <w:t>为加强财政资金的管理，提高财政资金的使用效益。根据《关于推进区县预算绩效管理工作的通知》（渝财绩〔2020〕1号）、《重庆市璧山区财政局关于开展20</w:t>
      </w:r>
      <w:r>
        <w:rPr>
          <w:rFonts w:hint="eastAsia" w:ascii="方正仿宋_GBK" w:hAnsi="方正仿宋_GBK" w:eastAsia="方正仿宋_GBK" w:cs="方正仿宋_GBK"/>
          <w:sz w:val="32"/>
          <w:szCs w:val="32"/>
          <w:highlight w:val="none"/>
          <w:lang w:val="en-US" w:eastAsia="zh-CN"/>
        </w:rPr>
        <w:t>20</w:t>
      </w:r>
      <w:r>
        <w:rPr>
          <w:rFonts w:hint="eastAsia" w:ascii="方正仿宋_GBK" w:hAnsi="方正仿宋_GBK" w:eastAsia="方正仿宋_GBK" w:cs="方正仿宋_GBK"/>
          <w:sz w:val="32"/>
          <w:szCs w:val="32"/>
          <w:highlight w:val="none"/>
        </w:rPr>
        <w:t>年度预算绩效评价工作的通知》</w:t>
      </w:r>
      <w:r>
        <w:rPr>
          <w:rFonts w:hint="eastAsia" w:ascii="方正仿宋_GBK" w:hAnsi="方正仿宋_GBK" w:eastAsia="方正仿宋_GBK" w:cs="方正仿宋_GBK"/>
          <w:sz w:val="32"/>
          <w:szCs w:val="32"/>
          <w:highlight w:val="none"/>
          <w:lang w:val="en-US" w:eastAsia="zh-CN"/>
        </w:rPr>
        <w:t>文件要求</w:t>
      </w:r>
      <w:r>
        <w:rPr>
          <w:rFonts w:hint="eastAsia" w:ascii="方正仿宋_GBK" w:hAnsi="方正仿宋_GBK" w:eastAsia="方正仿宋_GBK" w:cs="方正仿宋_GBK"/>
          <w:sz w:val="32"/>
          <w:szCs w:val="32"/>
          <w:highlight w:val="none"/>
        </w:rPr>
        <w:t>，形成2020年</w:t>
      </w:r>
      <w:r>
        <w:rPr>
          <w:rFonts w:hint="eastAsia" w:ascii="方正仿宋_GBK" w:hAnsi="方正仿宋_GBK" w:eastAsia="方正仿宋_GBK" w:cs="方正仿宋_GBK"/>
          <w:sz w:val="32"/>
          <w:szCs w:val="32"/>
          <w:highlight w:val="none"/>
          <w:lang w:val="en-US" w:eastAsia="zh-CN"/>
        </w:rPr>
        <w:t>部门</w:t>
      </w:r>
      <w:r>
        <w:rPr>
          <w:rFonts w:hint="eastAsia" w:ascii="方正仿宋_GBK" w:hAnsi="方正仿宋_GBK" w:eastAsia="方正仿宋_GBK" w:cs="方正仿宋_GBK"/>
          <w:sz w:val="32"/>
          <w:szCs w:val="32"/>
          <w:highlight w:val="none"/>
        </w:rPr>
        <w:t>整体支出绩效自评报告如下：</w:t>
      </w:r>
    </w:p>
    <w:p>
      <w:pPr>
        <w:keepNext w:val="0"/>
        <w:keepLines w:val="0"/>
        <w:pageBreakBefore w:val="0"/>
        <w:kinsoku/>
        <w:wordWrap/>
        <w:overflowPunct/>
        <w:topLinePunct w:val="0"/>
        <w:bidi w:val="0"/>
        <w:spacing w:line="560" w:lineRule="exact"/>
        <w:ind w:firstLine="640" w:firstLineChars="200"/>
        <w:textAlignment w:val="auto"/>
        <w:outlineLvl w:val="0"/>
        <w:rPr>
          <w:rFonts w:hint="eastAsia" w:ascii="仿宋" w:hAnsi="仿宋" w:eastAsia="仿宋" w:cs="仿宋"/>
          <w:sz w:val="32"/>
          <w:szCs w:val="32"/>
        </w:rPr>
      </w:pPr>
      <w:bookmarkStart w:id="0" w:name="_Toc20286"/>
      <w:bookmarkStart w:id="1" w:name="_Toc9977"/>
      <w:bookmarkStart w:id="2" w:name="_Toc19335"/>
      <w:bookmarkStart w:id="3" w:name="_Toc22602"/>
      <w:bookmarkStart w:id="4" w:name="_Toc11703"/>
      <w:bookmarkStart w:id="5" w:name="_Toc11414"/>
      <w:r>
        <w:rPr>
          <w:rFonts w:hint="eastAsia" w:eastAsia="方正黑体_GBK"/>
          <w:color w:val="auto"/>
          <w:sz w:val="32"/>
          <w:szCs w:val="32"/>
        </w:rPr>
        <w:t>一、基本情况</w:t>
      </w:r>
      <w:bookmarkEnd w:id="0"/>
      <w:bookmarkEnd w:id="1"/>
      <w:bookmarkEnd w:id="2"/>
      <w:bookmarkEnd w:id="3"/>
      <w:bookmarkEnd w:id="4"/>
      <w:bookmarkEnd w:id="5"/>
    </w:p>
    <w:p>
      <w:pPr>
        <w:keepNext w:val="0"/>
        <w:keepLines w:val="0"/>
        <w:pageBreakBefore w:val="0"/>
        <w:kinsoku/>
        <w:wordWrap/>
        <w:overflowPunct/>
        <w:topLinePunct w:val="0"/>
        <w:bidi w:val="0"/>
        <w:spacing w:line="560" w:lineRule="exact"/>
        <w:ind w:firstLine="640" w:firstLineChars="200"/>
        <w:textAlignment w:val="auto"/>
        <w:outlineLvl w:val="1"/>
        <w:rPr>
          <w:rFonts w:hint="eastAsia" w:ascii="方正仿宋_GBK" w:hAnsi="方正仿宋_GBK" w:eastAsia="方正仿宋_GBK" w:cs="方正仿宋_GBK"/>
          <w:sz w:val="32"/>
          <w:szCs w:val="32"/>
        </w:rPr>
      </w:pPr>
      <w:bookmarkStart w:id="6" w:name="_Toc3184"/>
      <w:bookmarkStart w:id="7" w:name="_Toc23022"/>
      <w:bookmarkStart w:id="8" w:name="_Toc13081"/>
      <w:bookmarkStart w:id="9" w:name="_Toc20176"/>
      <w:bookmarkStart w:id="10" w:name="_Toc32715"/>
      <w:bookmarkStart w:id="11" w:name="_Toc20868"/>
      <w:r>
        <w:rPr>
          <w:rFonts w:hint="eastAsia" w:ascii="方正仿宋_GBK" w:hAnsi="方正仿宋_GBK" w:eastAsia="方正仿宋_GBK" w:cs="方正仿宋_GBK"/>
          <w:sz w:val="32"/>
          <w:szCs w:val="32"/>
        </w:rPr>
        <w:t>（一）部门基本情况</w:t>
      </w:r>
      <w:bookmarkEnd w:id="6"/>
      <w:bookmarkEnd w:id="7"/>
      <w:bookmarkEnd w:id="8"/>
      <w:bookmarkEnd w:id="9"/>
      <w:bookmarkEnd w:id="10"/>
      <w:bookmarkEnd w:id="1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bookmarkStart w:id="12" w:name="_Toc16617"/>
      <w:bookmarkStart w:id="13" w:name="_Toc18937"/>
      <w:r>
        <w:rPr>
          <w:rFonts w:hint="eastAsia" w:eastAsia="方正仿宋_GBK"/>
          <w:sz w:val="32"/>
          <w:szCs w:val="32"/>
        </w:rPr>
        <w:t>1</w:t>
      </w:r>
      <w:r>
        <w:rPr>
          <w:rFonts w:hint="eastAsia" w:eastAsia="方正仿宋_GBK"/>
          <w:sz w:val="32"/>
          <w:szCs w:val="32"/>
          <w:lang w:eastAsia="zh-CN"/>
        </w:rPr>
        <w:t>、</w:t>
      </w:r>
      <w:r>
        <w:rPr>
          <w:rFonts w:hint="eastAsia" w:eastAsia="方正仿宋_GBK"/>
          <w:sz w:val="32"/>
          <w:szCs w:val="32"/>
        </w:rPr>
        <w:t>部门职责</w:t>
      </w:r>
      <w:bookmarkEnd w:id="12"/>
      <w:bookmarkEnd w:id="1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lang w:eastAsia="zh-CN"/>
        </w:rPr>
        <w:t>重庆市璧山区科学技术局</w:t>
      </w:r>
      <w:r>
        <w:rPr>
          <w:rFonts w:hint="eastAsia" w:eastAsia="方正仿宋_GBK"/>
          <w:sz w:val="32"/>
          <w:szCs w:val="32"/>
        </w:rPr>
        <w:t>为重庆市璧山区管理</w:t>
      </w:r>
      <w:r>
        <w:rPr>
          <w:rFonts w:hint="eastAsia" w:eastAsia="方正仿宋_GBK"/>
          <w:sz w:val="32"/>
          <w:szCs w:val="32"/>
          <w:lang w:eastAsia="zh-CN"/>
        </w:rPr>
        <w:t>科技创新</w:t>
      </w:r>
      <w:r>
        <w:rPr>
          <w:rFonts w:hint="eastAsia" w:eastAsia="方正仿宋_GBK"/>
          <w:sz w:val="32"/>
          <w:szCs w:val="32"/>
        </w:rPr>
        <w:t>工作的职能部门，主要职责是：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（1）</w:t>
      </w:r>
      <w:r>
        <w:rPr>
          <w:rFonts w:hint="eastAsia" w:eastAsia="方正仿宋_GBK"/>
          <w:sz w:val="32"/>
          <w:szCs w:val="32"/>
          <w:lang w:eastAsia="ar-SA"/>
        </w:rPr>
        <w:t>贯彻落实党中央、市委、区委关于科技创新工作的方针政策和决策部署，拟订全区</w:t>
      </w:r>
      <w:r>
        <w:rPr>
          <w:rFonts w:hint="eastAsia" w:eastAsia="方正仿宋_GBK"/>
          <w:sz w:val="32"/>
          <w:szCs w:val="32"/>
        </w:rPr>
        <w:t>落实</w:t>
      </w:r>
      <w:r>
        <w:rPr>
          <w:rFonts w:hint="eastAsia" w:eastAsia="方正仿宋_GBK"/>
          <w:sz w:val="32"/>
          <w:szCs w:val="32"/>
          <w:lang w:eastAsia="ar-SA"/>
        </w:rPr>
        <w:t>创新驱动发展战略</w:t>
      </w:r>
      <w:r>
        <w:rPr>
          <w:rFonts w:hint="eastAsia" w:eastAsia="方正仿宋_GBK"/>
          <w:sz w:val="32"/>
          <w:szCs w:val="32"/>
        </w:rPr>
        <w:t>、</w:t>
      </w:r>
      <w:r>
        <w:rPr>
          <w:rFonts w:hint="eastAsia" w:eastAsia="方正仿宋_GBK"/>
          <w:sz w:val="32"/>
          <w:szCs w:val="32"/>
          <w:lang w:eastAsia="ar-SA"/>
        </w:rPr>
        <w:t>科技发展、引进国外智力</w:t>
      </w:r>
      <w:r>
        <w:rPr>
          <w:rFonts w:hint="eastAsia" w:eastAsia="方正仿宋_GBK"/>
          <w:sz w:val="32"/>
          <w:szCs w:val="32"/>
        </w:rPr>
        <w:t>计划和政策措施</w:t>
      </w:r>
      <w:r>
        <w:rPr>
          <w:rFonts w:hint="eastAsia" w:eastAsia="方正仿宋_GBK"/>
          <w:sz w:val="32"/>
          <w:szCs w:val="32"/>
          <w:lang w:eastAsia="ar-SA"/>
        </w:rPr>
        <w:t>并组织实施，在履行职责过程中坚持和加强党对科技创新工作的集中统一领导。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2</w:t>
      </w:r>
      <w:r>
        <w:rPr>
          <w:rFonts w:hint="eastAsia" w:eastAsia="方正仿宋_GBK"/>
          <w:sz w:val="32"/>
          <w:szCs w:val="32"/>
        </w:rPr>
        <w:t>）统筹推进全区创新体系建设和科技体制改革，会同有关部门健全技术创新激励机制。优化科研体系建设，指导科研机构改革发展，推动企业科技创新能力建设，承担推进科技军民融合发展相关工作。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3</w:t>
      </w:r>
      <w:r>
        <w:rPr>
          <w:rFonts w:hint="eastAsia" w:eastAsia="方正仿宋_GBK"/>
          <w:sz w:val="32"/>
          <w:szCs w:val="32"/>
        </w:rPr>
        <w:t>）编制区级科技项目计划并组织实施，统筹协调基础研究、关键共性技术、前沿引领技术、现代工程技术、颠覆性技术研发和创新，加强科技项目资金的监管。会同有关部门提出优化配置科技资源的政策措施建议，推动多元化科技投入和科技金融结合。协调管理区级财政科技计划（专项、基金等）并监督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4</w:t>
      </w:r>
      <w:r>
        <w:rPr>
          <w:rFonts w:hint="eastAsia" w:eastAsia="方正仿宋_GBK"/>
          <w:sz w:val="32"/>
          <w:szCs w:val="32"/>
        </w:rPr>
        <w:t>）拟订科技创新基地建设规划并组织实施，参与编制科技基础设施建设规划和组织实施，开展技术创新中心等研发平台建设，推动科研条件保障建设、科技资源开放共享。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5</w:t>
      </w:r>
      <w:r>
        <w:rPr>
          <w:rFonts w:hint="eastAsia" w:eastAsia="方正仿宋_GBK"/>
          <w:sz w:val="32"/>
          <w:szCs w:val="32"/>
        </w:rPr>
        <w:t>）组织拟订高新技术发展及产业化、科技促进农业农村和社会发展政策措施并组织实施。负责高新技术产品、高新技术企业、科技型企业审核推荐工作。组织开展重点领域技术发展需求分析，提出重大任务并监督实施。统筹区域科技创新体系建设，推动区域创新发展、科技资源合理布局和协同创新能力建设，推动科技园区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6</w:t>
      </w:r>
      <w:r>
        <w:rPr>
          <w:rFonts w:hint="eastAsia" w:eastAsia="方正仿宋_GBK"/>
          <w:sz w:val="32"/>
          <w:szCs w:val="32"/>
        </w:rPr>
        <w:t>）推动技术转移和科技成果转化，促进产学研结合。指导科技服务业、技术市场和科技中介组织发展。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7</w:t>
      </w:r>
      <w:r>
        <w:rPr>
          <w:rFonts w:hint="eastAsia" w:eastAsia="方正仿宋_GBK"/>
          <w:sz w:val="32"/>
          <w:szCs w:val="32"/>
        </w:rPr>
        <w:t>）负责科技监督评价体系建设和科技评估管理，统筹科研诚信建设。组织实施创新调查和科技报告制度，承担全区科技保密工作。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8</w:t>
      </w:r>
      <w:r>
        <w:rPr>
          <w:rFonts w:hint="eastAsia" w:eastAsia="方正仿宋_GBK"/>
          <w:sz w:val="32"/>
          <w:szCs w:val="32"/>
        </w:rPr>
        <w:t>）开展对外交流与创新能力开放合作，组织开展国内外科技合作与科技人才交流。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9</w:t>
      </w:r>
      <w:r>
        <w:rPr>
          <w:rFonts w:hint="eastAsia" w:eastAsia="方正仿宋_GBK"/>
          <w:sz w:val="32"/>
          <w:szCs w:val="32"/>
        </w:rPr>
        <w:t>）会同有关部门拟定科技人才队伍建设计划和政策措施并组织实施，建立健全科技人才评价和激励机制，推动科技创新人才队伍建设。拟订科学普及和科学传播计划、政策措施并组织实施。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10</w:t>
      </w:r>
      <w:r>
        <w:rPr>
          <w:rFonts w:hint="eastAsia" w:eastAsia="方正仿宋_GBK"/>
          <w:sz w:val="32"/>
          <w:szCs w:val="32"/>
        </w:rPr>
        <w:t>）承担引进科技创新资源、培育科技型企业和高新技术企业、科技宣传等工作。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11</w:t>
      </w:r>
      <w:r>
        <w:rPr>
          <w:rFonts w:hint="eastAsia" w:eastAsia="方正仿宋_GBK"/>
          <w:sz w:val="32"/>
          <w:szCs w:val="32"/>
        </w:rPr>
        <w:t>）负责引进国外智力工作。拟订引进国外专家计划并组织实施，建立国外科学家、团队吸引集聚和重点外国专家联系服务机制。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w:t>
      </w:r>
      <w:r>
        <w:rPr>
          <w:rFonts w:hint="eastAsia" w:eastAsia="方正仿宋_GBK"/>
          <w:sz w:val="32"/>
          <w:szCs w:val="32"/>
          <w:lang w:val="en-US" w:eastAsia="zh-CN"/>
        </w:rPr>
        <w:t>12</w:t>
      </w:r>
      <w:r>
        <w:rPr>
          <w:rFonts w:hint="eastAsia" w:eastAsia="方正仿宋_GBK"/>
          <w:sz w:val="32"/>
          <w:szCs w:val="32"/>
        </w:rPr>
        <w:t>）负责机关、下属单位和行业社会组织党建工作。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eastAsia="方正仿宋_GBK"/>
          <w:sz w:val="32"/>
          <w:szCs w:val="32"/>
        </w:rPr>
        <w:t>（</w:t>
      </w:r>
      <w:r>
        <w:rPr>
          <w:rFonts w:hint="eastAsia" w:eastAsia="方正仿宋_GBK"/>
          <w:sz w:val="32"/>
          <w:szCs w:val="32"/>
          <w:lang w:val="en-US" w:eastAsia="zh-CN"/>
        </w:rPr>
        <w:t>13</w:t>
      </w:r>
      <w:r>
        <w:rPr>
          <w:rFonts w:hint="eastAsia" w:eastAsia="方正仿宋_GBK"/>
          <w:sz w:val="32"/>
          <w:szCs w:val="32"/>
        </w:rPr>
        <w:t>）完成区委和区政府交办的其他任务。</w:t>
      </w:r>
    </w:p>
    <w:p>
      <w:pPr>
        <w:keepNext w:val="0"/>
        <w:keepLines w:val="0"/>
        <w:pageBreakBefore w:val="0"/>
        <w:kinsoku/>
        <w:wordWrap/>
        <w:overflowPunct/>
        <w:topLinePunct w:val="0"/>
        <w:bidi w:val="0"/>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eastAsia="方正仿宋_GBK"/>
          <w:sz w:val="32"/>
          <w:szCs w:val="32"/>
        </w:rPr>
        <w:t>（</w:t>
      </w:r>
      <w:r>
        <w:rPr>
          <w:rFonts w:hint="eastAsia" w:eastAsia="方正仿宋_GBK"/>
          <w:sz w:val="32"/>
          <w:szCs w:val="32"/>
          <w:lang w:val="en-US" w:eastAsia="zh-CN"/>
        </w:rPr>
        <w:t>14</w:t>
      </w:r>
      <w:r>
        <w:rPr>
          <w:rFonts w:hint="eastAsia" w:eastAsia="方正仿宋_GBK"/>
          <w:sz w:val="32"/>
          <w:szCs w:val="32"/>
        </w:rPr>
        <w:t>）职能转变。围绕贯彻实施科教兴区、人才强区、创新驱动发展战略，加强、优化、转变政府科技管理和服务职能，完善科技创新制度和组织体系，加强宏观管理和统筹协调，减少微观管理和具体审批事项，加强事中事后监管和科技诚信建设。从研发管理向创新服务转变，深入推进科技计划管理改革。按照上级要求推进政府部门不直接管理具体科研项目，委托专业机构开展项目受理、评审、立项、过程管理、验收等具体工作。进一步改进科技人才评价机制，建立健全以创新能力、质量、贡献、绩效为导向的科技人才评价体系和激励措施，统筹我区科技人才队伍建设和引进国外智力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bookmarkStart w:id="14" w:name="_Toc15325"/>
      <w:bookmarkStart w:id="15" w:name="_Toc16971"/>
      <w:r>
        <w:rPr>
          <w:rFonts w:hint="eastAsia" w:eastAsia="方正仿宋_GBK"/>
          <w:sz w:val="32"/>
          <w:szCs w:val="32"/>
        </w:rPr>
        <w:t>2</w:t>
      </w:r>
      <w:r>
        <w:rPr>
          <w:rFonts w:hint="eastAsia" w:eastAsia="方正仿宋_GBK"/>
          <w:sz w:val="32"/>
          <w:szCs w:val="32"/>
          <w:lang w:eastAsia="zh-CN"/>
        </w:rPr>
        <w:t>、</w:t>
      </w:r>
      <w:r>
        <w:rPr>
          <w:rFonts w:hint="eastAsia" w:eastAsia="方正仿宋_GBK"/>
          <w:sz w:val="32"/>
          <w:szCs w:val="32"/>
        </w:rPr>
        <w:t>机构情况</w:t>
      </w:r>
      <w:bookmarkEnd w:id="14"/>
      <w:bookmarkEnd w:id="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eastAsia="方正仿宋_GBK"/>
          <w:sz w:val="32"/>
          <w:szCs w:val="32"/>
          <w:lang w:eastAsia="zh-CN"/>
        </w:rPr>
        <w:t>重庆市璧山区科学技术局</w:t>
      </w:r>
      <w:r>
        <w:rPr>
          <w:rFonts w:hint="eastAsia" w:eastAsia="方正仿宋_GBK"/>
          <w:sz w:val="32"/>
          <w:szCs w:val="32"/>
        </w:rPr>
        <w:t>内设机构</w:t>
      </w:r>
      <w:r>
        <w:rPr>
          <w:rFonts w:hint="eastAsia" w:eastAsia="方正仿宋_GBK"/>
          <w:sz w:val="32"/>
          <w:szCs w:val="32"/>
          <w:lang w:eastAsia="zh-CN"/>
        </w:rPr>
        <w:t>有办公室、技术创新科、规划发展科。一个直属事业单位重庆市</w:t>
      </w:r>
      <w:r>
        <w:rPr>
          <w:rFonts w:hint="eastAsia" w:eastAsia="方正仿宋_GBK"/>
          <w:sz w:val="32"/>
          <w:szCs w:val="32"/>
        </w:rPr>
        <w:t>璧山区科技信息中心</w:t>
      </w:r>
      <w:r>
        <w:rPr>
          <w:rFonts w:hint="eastAsia" w:eastAsia="方正仿宋_GBK"/>
          <w:sz w:val="32"/>
          <w:szCs w:val="32"/>
          <w:lang w:eastAsia="zh-CN"/>
        </w:rPr>
        <w:t>，</w:t>
      </w:r>
      <w:r>
        <w:rPr>
          <w:rFonts w:hint="eastAsia" w:eastAsia="方正仿宋_GBK"/>
          <w:sz w:val="32"/>
          <w:szCs w:val="32"/>
        </w:rPr>
        <w:t>其设置、职责和编制事项另行规定</w:t>
      </w:r>
      <w:r>
        <w:rPr>
          <w:rFonts w:hint="eastAsia" w:eastAsia="方正仿宋_GBK"/>
          <w:sz w:val="32"/>
          <w:szCs w:val="32"/>
          <w:lang w:eastAsia="zh-CN"/>
        </w:rPr>
        <w:t>。20</w:t>
      </w:r>
      <w:r>
        <w:rPr>
          <w:rFonts w:hint="eastAsia" w:eastAsia="方正仿宋_GBK"/>
          <w:sz w:val="32"/>
          <w:szCs w:val="32"/>
        </w:rPr>
        <w:t>20年机构无变动。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bookmarkStart w:id="16" w:name="_Toc18932"/>
      <w:bookmarkStart w:id="17" w:name="_Toc8948"/>
      <w:r>
        <w:rPr>
          <w:rFonts w:hint="eastAsia" w:eastAsia="方正仿宋_GBK"/>
          <w:sz w:val="32"/>
          <w:szCs w:val="32"/>
        </w:rPr>
        <w:t>3</w:t>
      </w:r>
      <w:r>
        <w:rPr>
          <w:rFonts w:hint="eastAsia" w:eastAsia="方正仿宋_GBK"/>
          <w:sz w:val="32"/>
          <w:szCs w:val="32"/>
          <w:lang w:eastAsia="zh-CN"/>
        </w:rPr>
        <w:t>、</w:t>
      </w:r>
      <w:r>
        <w:rPr>
          <w:rFonts w:hint="eastAsia" w:eastAsia="方正仿宋_GBK"/>
          <w:sz w:val="32"/>
          <w:szCs w:val="32"/>
        </w:rPr>
        <w:t>人员情况</w:t>
      </w:r>
      <w:bookmarkEnd w:id="16"/>
      <w:bookmarkEnd w:id="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rPr>
      </w:pPr>
      <w:r>
        <w:rPr>
          <w:rFonts w:hint="eastAsia" w:eastAsia="方正仿宋_GBK"/>
          <w:sz w:val="32"/>
          <w:szCs w:val="32"/>
        </w:rPr>
        <w:t>2020年末编制部门核定</w:t>
      </w:r>
      <w:r>
        <w:rPr>
          <w:rFonts w:hint="eastAsia" w:eastAsia="方正仿宋_GBK"/>
          <w:sz w:val="32"/>
          <w:szCs w:val="32"/>
          <w:lang w:eastAsia="zh-CN"/>
        </w:rPr>
        <w:t>重庆市璧山区科学技术局</w:t>
      </w:r>
      <w:r>
        <w:rPr>
          <w:rFonts w:hint="eastAsia" w:eastAsia="方正仿宋_GBK"/>
          <w:sz w:val="32"/>
          <w:szCs w:val="32"/>
        </w:rPr>
        <w:t>在职人员编制数为</w:t>
      </w:r>
      <w:r>
        <w:rPr>
          <w:rFonts w:hint="eastAsia" w:eastAsia="方正仿宋_GBK"/>
          <w:sz w:val="32"/>
          <w:szCs w:val="32"/>
          <w:lang w:val="en-US" w:eastAsia="zh-CN"/>
        </w:rPr>
        <w:t>14</w:t>
      </w:r>
      <w:r>
        <w:rPr>
          <w:rFonts w:hint="eastAsia" w:eastAsia="方正仿宋_GBK"/>
          <w:sz w:val="32"/>
          <w:szCs w:val="32"/>
        </w:rPr>
        <w:t>人，其中行政编制</w:t>
      </w:r>
      <w:r>
        <w:rPr>
          <w:rFonts w:hint="eastAsia" w:eastAsia="方正仿宋_GBK"/>
          <w:sz w:val="32"/>
          <w:szCs w:val="32"/>
          <w:lang w:val="en-US" w:eastAsia="zh-CN"/>
        </w:rPr>
        <w:t>8</w:t>
      </w:r>
      <w:r>
        <w:rPr>
          <w:rFonts w:hint="eastAsia" w:eastAsia="方正仿宋_GBK"/>
          <w:sz w:val="32"/>
          <w:szCs w:val="32"/>
        </w:rPr>
        <w:t>人，事业编制</w:t>
      </w:r>
      <w:r>
        <w:rPr>
          <w:rFonts w:hint="eastAsia" w:eastAsia="方正仿宋_GBK"/>
          <w:sz w:val="32"/>
          <w:szCs w:val="32"/>
          <w:lang w:val="en-US" w:eastAsia="zh-CN"/>
        </w:rPr>
        <w:t>6</w:t>
      </w:r>
      <w:r>
        <w:rPr>
          <w:rFonts w:hint="eastAsia" w:eastAsia="方正仿宋_GBK"/>
          <w:sz w:val="32"/>
          <w:szCs w:val="32"/>
        </w:rPr>
        <w:t>人；年末实有在职人员</w:t>
      </w:r>
      <w:r>
        <w:rPr>
          <w:rFonts w:hint="eastAsia" w:eastAsia="方正仿宋_GBK"/>
          <w:sz w:val="32"/>
          <w:szCs w:val="32"/>
          <w:lang w:val="en-US" w:eastAsia="zh-CN"/>
        </w:rPr>
        <w:t>13</w:t>
      </w:r>
      <w:r>
        <w:rPr>
          <w:rFonts w:hint="eastAsia" w:eastAsia="方正仿宋_GBK"/>
          <w:sz w:val="32"/>
          <w:szCs w:val="32"/>
        </w:rPr>
        <w:t>人。</w:t>
      </w:r>
    </w:p>
    <w:p>
      <w:pPr>
        <w:keepNext w:val="0"/>
        <w:keepLines w:val="0"/>
        <w:pageBreakBefore w:val="0"/>
        <w:kinsoku/>
        <w:wordWrap/>
        <w:overflowPunct/>
        <w:topLinePunct w:val="0"/>
        <w:bidi w:val="0"/>
        <w:spacing w:line="560" w:lineRule="exact"/>
        <w:ind w:firstLine="640" w:firstLineChars="200"/>
        <w:textAlignment w:val="auto"/>
        <w:outlineLvl w:val="1"/>
        <w:rPr>
          <w:rFonts w:hint="eastAsia" w:eastAsia="方正仿宋_GBK"/>
          <w:sz w:val="32"/>
          <w:szCs w:val="32"/>
          <w:lang w:val="en-US" w:eastAsia="zh-CN"/>
        </w:rPr>
      </w:pPr>
      <w:bookmarkStart w:id="18" w:name="_Toc18136"/>
      <w:bookmarkStart w:id="19" w:name="_Toc9810"/>
      <w:bookmarkStart w:id="20" w:name="_Toc17335"/>
      <w:bookmarkStart w:id="21" w:name="_Toc19452"/>
      <w:bookmarkStart w:id="22" w:name="_Toc16785"/>
      <w:bookmarkStart w:id="23" w:name="_Toc17097"/>
      <w:r>
        <w:rPr>
          <w:rFonts w:hint="eastAsia" w:eastAsia="方正仿宋_GBK"/>
          <w:sz w:val="32"/>
          <w:szCs w:val="32"/>
          <w:lang w:val="en-US" w:eastAsia="zh-CN"/>
        </w:rPr>
        <w:t>（二）部门整体预算及支出情况</w:t>
      </w:r>
      <w:bookmarkEnd w:id="18"/>
      <w:bookmarkEnd w:id="19"/>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lang w:val="en-US" w:eastAsia="zh-CN"/>
        </w:rPr>
      </w:pPr>
      <w:r>
        <w:rPr>
          <w:rFonts w:hint="eastAsia" w:ascii="方正仿宋_GBK" w:hAnsi="方正仿宋_GBK" w:eastAsia="方正仿宋_GBK" w:cs="方正仿宋_GBK"/>
          <w:sz w:val="32"/>
          <w:szCs w:val="32"/>
          <w:lang w:val="en-US" w:eastAsia="zh-CN"/>
        </w:rPr>
        <w:t>1、部门收支总体情况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r>
        <w:rPr>
          <w:rFonts w:hint="eastAsia" w:eastAsia="方正仿宋_GBK"/>
          <w:color w:val="auto"/>
          <w:sz w:val="32"/>
          <w:szCs w:val="32"/>
          <w:lang w:val="en-US" w:eastAsia="zh-CN"/>
        </w:rPr>
        <w:t>（1）收入情况：2020年收入年初预算数423.413418万元，调整后收入预算为2464.315766万元；年末收入决算为2464.3157.66万元。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r>
        <w:rPr>
          <w:rFonts w:hint="eastAsia" w:eastAsia="方正仿宋_GBK"/>
          <w:color w:val="auto"/>
          <w:sz w:val="32"/>
          <w:szCs w:val="32"/>
          <w:lang w:val="en-US" w:eastAsia="zh-CN"/>
        </w:rPr>
        <w:t>（2）支出情况：2020年收入年初预算数423.413418万元，调整后收入预算为2464.315766万元；年末收入决算为2464.3157.66万元。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r>
        <w:rPr>
          <w:rFonts w:hint="eastAsia" w:eastAsia="方正仿宋_GBK"/>
          <w:color w:val="auto"/>
          <w:sz w:val="32"/>
          <w:szCs w:val="32"/>
          <w:lang w:val="en-US" w:eastAsia="zh-CN"/>
        </w:rPr>
        <w:t>2、2020年度本部门“三公”经费支出共计8.26万元，较年初预算数减少39.54万元，较上年支出数增加4.63万元，主要原因是扶贫、招商、业务接待等业务活动增加，加大了“三公”经费支出。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bookmarkStart w:id="24" w:name="_Toc3376"/>
      <w:bookmarkStart w:id="25" w:name="_Toc19874"/>
      <w:r>
        <w:rPr>
          <w:rFonts w:hint="eastAsia" w:eastAsia="方正仿宋_GBK"/>
          <w:color w:val="auto"/>
          <w:sz w:val="32"/>
          <w:szCs w:val="32"/>
          <w:lang w:val="en-US" w:eastAsia="zh-CN"/>
        </w:rPr>
        <w:t>（1）“三公”经费分项支出情况。</w:t>
      </w:r>
      <w:bookmarkEnd w:id="24"/>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r>
        <w:rPr>
          <w:rFonts w:hint="eastAsia" w:eastAsia="方正仿宋_GBK"/>
          <w:color w:val="auto"/>
          <w:sz w:val="32"/>
          <w:szCs w:val="32"/>
          <w:lang w:val="en-US" w:eastAsia="zh-CN"/>
        </w:rPr>
        <w:t>2020年度本部门因公出国（境）费用0元，和2019年一样。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r>
        <w:rPr>
          <w:rFonts w:hint="eastAsia" w:eastAsia="方正仿宋_GBK"/>
          <w:color w:val="auto"/>
          <w:sz w:val="32"/>
          <w:szCs w:val="32"/>
          <w:lang w:val="en-US" w:eastAsia="zh-CN"/>
        </w:rPr>
        <w:t>公务车运行维护费5.02万元，主要用于市内因公出行、区科技局相关业务检查等工作所需车辆的燃料费、维修费、过桥过路费、保险费等），费用支出较年初预算数减少8.98万元，较上年支出数增加2.15万元，主要原因是我扶贫、招商、接待、调研等业务工作增加，加大了公务车运行维护费用增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r>
        <w:rPr>
          <w:rFonts w:hint="eastAsia" w:eastAsia="方正仿宋_GBK"/>
          <w:color w:val="auto"/>
          <w:sz w:val="32"/>
          <w:szCs w:val="32"/>
          <w:lang w:val="en-US" w:eastAsia="zh-CN"/>
        </w:rPr>
        <w:t>公务接待费3.24万元，主要用于接待国（市）内其他省市（区、县）科技局到我单位学习调研高新区创建、科技创新和接受相关部门检查指导工作发生的接待支出，费用支出较年初预算数减少10.76万元，较上年支出数增加2.48万元，主要原接待国（市）内其他省市（区、县）科技局到我单位学习调研、科技创新和接受相关部门检查指导工作等业务活动增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bookmarkStart w:id="26" w:name="_Toc13476"/>
      <w:bookmarkStart w:id="27" w:name="_Toc29880"/>
      <w:r>
        <w:rPr>
          <w:rFonts w:hint="eastAsia" w:eastAsia="方正仿宋_GBK"/>
          <w:color w:val="auto"/>
          <w:sz w:val="32"/>
          <w:szCs w:val="32"/>
          <w:lang w:val="en-US" w:eastAsia="zh-CN"/>
        </w:rPr>
        <w:t>（2）“三公”经费实物量情况。</w:t>
      </w:r>
      <w:bookmarkEnd w:id="26"/>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r>
        <w:rPr>
          <w:rFonts w:hint="eastAsia" w:eastAsia="方正仿宋_GBK"/>
          <w:color w:val="auto"/>
          <w:sz w:val="32"/>
          <w:szCs w:val="32"/>
          <w:lang w:val="en-US" w:eastAsia="zh-CN"/>
        </w:rPr>
        <w:t>2020年本部门公务车保有量为2辆；国内公务接待40批次，480人。2020年本部门人均接待费67.5元，车均运行维护费2.51万元。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r>
        <w:rPr>
          <w:rFonts w:hint="eastAsia" w:eastAsia="方正仿宋_GBK"/>
          <w:color w:val="auto"/>
          <w:sz w:val="32"/>
          <w:szCs w:val="32"/>
          <w:lang w:val="en-US" w:eastAsia="zh-CN"/>
        </w:rPr>
        <w:t>3、政府采购支出。2020年政府采购预算金额为38.8万元，实际支出12.611万元，其中：政府采购货物预算12.611万元、政府采购工程预算0万元、政府采购服务预算0万元。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eastAsia="方正仿宋_GBK"/>
          <w:color w:val="auto"/>
          <w:sz w:val="32"/>
          <w:szCs w:val="32"/>
          <w:lang w:val="en-US" w:eastAsia="zh-CN"/>
        </w:rPr>
      </w:pPr>
      <w:r>
        <w:rPr>
          <w:rFonts w:hint="eastAsia" w:eastAsia="方正仿宋_GBK"/>
          <w:color w:val="auto"/>
          <w:sz w:val="32"/>
          <w:szCs w:val="32"/>
          <w:lang w:val="en-US" w:eastAsia="zh-CN"/>
        </w:rPr>
        <w:t>4、调整预算数备案说明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eastAsia="方正仿宋_GBK"/>
          <w:color w:val="auto"/>
          <w:sz w:val="32"/>
          <w:szCs w:val="32"/>
          <w:lang w:val="en-US" w:eastAsia="zh-CN"/>
        </w:rPr>
        <w:t>兑现了2019年度高新技术企业、高新技术产品和市级科技计划项目奖励资金1584万元（璧财教审【2020】39号、璧财教【2020】59号），2019年度企业新认定区级研发机构补助资金100万（璧财经贸审【2020】11号、璧财经贸【2020】25号）第二批新冠肺炎防控科技项目（企业类）专项科研经费12万（璧财教审【2020】79号、璧财教【2020】86 号），2020年社会民生领域科技计划项目科研经费10万（璧财教【2020】134号），2020年第五届创新创业大赛经费30万（璧财教审【2020】126号、璧财教【2020】126号）等费用。</w:t>
      </w:r>
    </w:p>
    <w:p>
      <w:pPr>
        <w:keepNext w:val="0"/>
        <w:keepLines w:val="0"/>
        <w:pageBreakBefore w:val="0"/>
        <w:kinsoku/>
        <w:wordWrap/>
        <w:overflowPunct/>
        <w:topLinePunct w:val="0"/>
        <w:bidi w:val="0"/>
        <w:spacing w:line="560" w:lineRule="exact"/>
        <w:textAlignment w:val="auto"/>
        <w:rPr>
          <w:rFonts w:hint="eastAsia" w:eastAsia="方正黑体_GBK"/>
          <w:sz w:val="32"/>
          <w:szCs w:val="32"/>
        </w:rPr>
      </w:pPr>
      <w:bookmarkStart w:id="28" w:name="_Toc23704"/>
      <w:bookmarkStart w:id="29" w:name="_Toc29226"/>
      <w:r>
        <w:rPr>
          <w:rFonts w:hint="eastAsia" w:eastAsia="方正黑体_GBK"/>
          <w:sz w:val="32"/>
          <w:szCs w:val="32"/>
        </w:rPr>
        <w:br w:type="page"/>
      </w:r>
    </w:p>
    <w:p>
      <w:pPr>
        <w:keepNext w:val="0"/>
        <w:keepLines w:val="0"/>
        <w:pageBreakBefore w:val="0"/>
        <w:kinsoku/>
        <w:wordWrap/>
        <w:overflowPunct/>
        <w:topLinePunct w:val="0"/>
        <w:bidi w:val="0"/>
        <w:spacing w:line="560" w:lineRule="exact"/>
        <w:ind w:firstLine="640" w:firstLineChars="200"/>
        <w:textAlignment w:val="auto"/>
        <w:outlineLvl w:val="0"/>
        <w:rPr>
          <w:rFonts w:hint="eastAsia" w:eastAsia="方正黑体_GBK"/>
          <w:sz w:val="32"/>
          <w:szCs w:val="32"/>
        </w:rPr>
      </w:pPr>
      <w:bookmarkStart w:id="30" w:name="_Toc1471"/>
      <w:bookmarkStart w:id="31" w:name="_Toc22600"/>
      <w:bookmarkStart w:id="32" w:name="_Toc19076"/>
      <w:bookmarkStart w:id="33" w:name="_Toc25001"/>
      <w:r>
        <w:rPr>
          <w:rFonts w:hint="eastAsia" w:eastAsia="方正黑体_GBK"/>
          <w:sz w:val="32"/>
          <w:szCs w:val="32"/>
        </w:rPr>
        <w:t>二、绩效评价基本情况</w:t>
      </w:r>
      <w:bookmarkEnd w:id="28"/>
      <w:bookmarkEnd w:id="29"/>
      <w:bookmarkEnd w:id="30"/>
      <w:bookmarkEnd w:id="31"/>
      <w:bookmarkEnd w:id="32"/>
      <w:bookmarkEnd w:id="3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Times New Roman" w:hAnsi="Times New Roman" w:eastAsia="方正仿宋_GBK" w:cs="Times New Roman"/>
          <w:b w:val="0"/>
          <w:bCs w:val="0"/>
          <w:kern w:val="2"/>
          <w:sz w:val="32"/>
          <w:szCs w:val="32"/>
          <w:lang w:val="en-US" w:eastAsia="zh-CN" w:bidi="ar-SA"/>
        </w:rPr>
      </w:pPr>
      <w:bookmarkStart w:id="34" w:name="_Toc25963"/>
      <w:bookmarkStart w:id="35" w:name="_Toc12669"/>
      <w:bookmarkStart w:id="36" w:name="_Toc10928"/>
      <w:r>
        <w:rPr>
          <w:rFonts w:hint="eastAsia" w:ascii="Times New Roman" w:hAnsi="Times New Roman" w:eastAsia="方正仿宋_GBK" w:cs="Times New Roman"/>
          <w:b w:val="0"/>
          <w:bCs w:val="0"/>
          <w:kern w:val="2"/>
          <w:sz w:val="32"/>
          <w:szCs w:val="32"/>
          <w:lang w:val="en-US" w:eastAsia="zh-CN" w:bidi="ar-SA"/>
        </w:rPr>
        <w:t>（一）绩效评价目的</w:t>
      </w:r>
      <w:bookmarkEnd w:id="34"/>
      <w:bookmarkEnd w:id="35"/>
      <w:bookmarkEnd w:id="3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为加强预算执行分析，规范财务管理，强化财政资金跟 踪问效和绩效管理，建立对下属预算单位的监督、指导机制， 及时发现问题并采取有效措施解决，组织开展部门2020年整体支出绩效自评。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eastAsia="方正仿宋_GBK"/>
          <w:sz w:val="32"/>
          <w:szCs w:val="32"/>
          <w:lang w:val="en-US" w:eastAsia="zh-CN"/>
        </w:rPr>
      </w:pPr>
      <w:bookmarkStart w:id="37" w:name="_Toc15843"/>
      <w:bookmarkStart w:id="38" w:name="_Toc26286"/>
      <w:bookmarkStart w:id="39" w:name="_Toc5490"/>
      <w:r>
        <w:rPr>
          <w:rFonts w:hint="eastAsia" w:eastAsia="方正仿宋_GBK"/>
          <w:sz w:val="32"/>
          <w:szCs w:val="32"/>
          <w:lang w:val="en-US" w:eastAsia="zh-CN"/>
        </w:rPr>
        <w:t>（二）绩效评价原则、评价指标体系、评价方法</w:t>
      </w:r>
      <w:bookmarkEnd w:id="37"/>
      <w:bookmarkEnd w:id="38"/>
      <w:bookmarkEnd w:id="3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绩效评价原则包括科学规范原则、公开公正原则、分级分类原则、绩效相关原则。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整个指标体系分为投入（7分），过程（24分），产出（42分），效益（27分），共设置了4个一级指标，10个二级指标，29个三级指标。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评价的方法主要包括成本效益分析法、比较法、因素分析法、最低成本法、公众评判法、标杆管理法等。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Times New Roman" w:hAnsi="Times New Roman" w:eastAsia="方正仿宋_GBK" w:cs="Times New Roman"/>
          <w:b w:val="0"/>
          <w:bCs w:val="0"/>
          <w:kern w:val="2"/>
          <w:sz w:val="32"/>
          <w:szCs w:val="32"/>
          <w:lang w:val="en-US" w:eastAsia="zh-CN" w:bidi="ar-SA"/>
        </w:rPr>
      </w:pPr>
      <w:bookmarkStart w:id="40" w:name="_Toc15545"/>
      <w:bookmarkStart w:id="41" w:name="_Toc26906"/>
      <w:bookmarkStart w:id="42" w:name="_Toc11888"/>
      <w:r>
        <w:rPr>
          <w:rFonts w:hint="eastAsia" w:ascii="Times New Roman" w:hAnsi="Times New Roman" w:eastAsia="方正仿宋_GBK" w:cs="Times New Roman"/>
          <w:b w:val="0"/>
          <w:bCs w:val="0"/>
          <w:kern w:val="2"/>
          <w:sz w:val="32"/>
          <w:szCs w:val="32"/>
          <w:lang w:val="en-US" w:eastAsia="zh-CN" w:bidi="ar-SA"/>
        </w:rPr>
        <w:t>（三）绩效评价工作过程</w:t>
      </w:r>
      <w:bookmarkEnd w:id="40"/>
      <w:bookmarkEnd w:id="41"/>
      <w:bookmarkEnd w:id="4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bookmarkStart w:id="43" w:name="_Toc14654"/>
      <w:bookmarkStart w:id="44" w:name="_Toc2728"/>
      <w:r>
        <w:rPr>
          <w:rFonts w:hint="eastAsia" w:ascii="Times New Roman" w:hAnsi="Times New Roman" w:eastAsia="方正仿宋_GBK" w:cs="Times New Roman"/>
          <w:b w:val="0"/>
          <w:bCs w:val="0"/>
          <w:kern w:val="2"/>
          <w:sz w:val="32"/>
          <w:szCs w:val="32"/>
          <w:lang w:val="en-US" w:eastAsia="zh-CN" w:bidi="ar-SA"/>
        </w:rPr>
        <w:t>1、前期准备</w:t>
      </w:r>
      <w:bookmarkEnd w:id="43"/>
      <w:bookmarkEnd w:id="4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根据《重庆市璧山区财政局关于开展2020年度预算绩效评价工作的通知》文件要求，我局高度重视绩效评价，组成由局领导、规划发展科、各业务科室负责人和项目负责人组成的自评小组，制定自评方案，明确自评程序和方法，通知要求资金使用科室上报资金使用情况、项目实施情况及计划绩效目标完成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工作小组情况：2021年2月23日，成立部门绩效评价工作组，负责绩效自评工作，工作组的主要成员及职责如下：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（1）工作组成员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组  长：周 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副组长：周世俊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成  员：王维、苟元洪、宁 燕、邓 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工作组办公室设在规划发展科，由周梁兼任工作组办公室主任。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（2）工作职责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组长职责：审批部门整体绩效自评方案，监督、检查、核实绩效自评结果。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副组长职责：审核修改拟定的部门整体绩效自评方案，并提交考评工作组会议讨论通过；监督、部署、确认绩效自评过程及反馈意见的处理。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小组成员职责：起草和修改部门整体绩效自评方案报自评领导工作组会议讨论通过，实施执行绩效自评方案；牵头组织并实施年度绩效自评，根据组长、副组长指示，对考评结果进行复核，完成绩效自评工作组安排的其他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2021年3月1日，考评工作组按照项目立项资料、批复文件等，开展自评检查工作，对部门整体绩效评价报告实施情况和质量进行评定，核实项目情况等。</w:t>
      </w:r>
    </w:p>
    <w:p>
      <w:pPr>
        <w:keepNext w:val="0"/>
        <w:keepLines w:val="0"/>
        <w:pageBreakBefore w:val="0"/>
        <w:kinsoku/>
        <w:wordWrap/>
        <w:overflowPunct/>
        <w:topLinePunct w:val="0"/>
        <w:bidi w:val="0"/>
        <w:spacing w:line="560" w:lineRule="exact"/>
        <w:textAlignment w:val="auto"/>
        <w:rPr>
          <w:rFonts w:hint="eastAsia" w:ascii="Times New Roman" w:hAnsi="Times New Roman" w:eastAsia="方正仿宋_GBK" w:cs="Times New Roman"/>
          <w:b w:val="0"/>
          <w:bCs w:val="0"/>
          <w:kern w:val="2"/>
          <w:sz w:val="32"/>
          <w:szCs w:val="32"/>
          <w:lang w:val="en-US" w:eastAsia="zh-CN" w:bidi="ar-SA"/>
        </w:rPr>
      </w:pPr>
      <w:bookmarkStart w:id="45" w:name="_Toc22517"/>
      <w:bookmarkStart w:id="46" w:name="_Toc19052"/>
      <w:r>
        <w:rPr>
          <w:rFonts w:hint="eastAsia" w:ascii="Times New Roman" w:hAnsi="Times New Roman" w:eastAsia="方正仿宋_GBK" w:cs="Times New Roman"/>
          <w:b w:val="0"/>
          <w:bCs w:val="0"/>
          <w:kern w:val="2"/>
          <w:sz w:val="32"/>
          <w:szCs w:val="32"/>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2、组织实施</w:t>
      </w:r>
      <w:bookmarkEnd w:id="45"/>
      <w:bookmarkEnd w:id="4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本次绩效评价工作分为三个阶段：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第一个阶段为评价准备阶段，考评工作组梳理和研读了国家层面、市级层面、区级层面与本次评价项目有关的政策文件，获得项目资料。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第二个阶段为实施评价阶段，考评工作组在2021年3月8日至3月12日开展评价实施。取得评价项目的进度和资金筹集支出情况等资料，通过研读与搭建指标体系进行评价，并进行报告撰写。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第三个阶段为评价完成阶段，2021年3月15日至3月19日，考评工作组对自评表与部门整体绩效评价报告初稿进行审核，按照项目文件、资金拨付资料，开展自评检查工作，对项目整体实施情况和质量进行评定。提出修改意见，形成部门整体绩效评价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bookmarkStart w:id="47" w:name="_Toc10559"/>
      <w:bookmarkStart w:id="48" w:name="_Toc18295"/>
      <w:r>
        <w:rPr>
          <w:rFonts w:hint="eastAsia" w:ascii="Times New Roman" w:hAnsi="Times New Roman" w:eastAsia="方正仿宋_GBK" w:cs="Times New Roman"/>
          <w:b w:val="0"/>
          <w:bCs w:val="0"/>
          <w:kern w:val="2"/>
          <w:sz w:val="32"/>
          <w:szCs w:val="32"/>
          <w:lang w:val="en-US" w:eastAsia="zh-CN" w:bidi="ar-SA"/>
        </w:rPr>
        <w:t>3、分析评价</w:t>
      </w:r>
      <w:bookmarkEnd w:id="47"/>
      <w:bookmarkEnd w:id="4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根据《重庆市璧山区科学技术局2020年部门整体支出绩效评价指标表》，投入类指标分值 7 分，实际得分 5 分，得分率71.4%；过程类指标分值 24 分，实际得分 23 分，得分率95.8%；产出效益类指标分值 42 分，实际得分 42 分，得分率100%；效益类指标分值 27 分，实际得分 25.5 分，得分率94.4%。2020年度重庆市璧山区科学技术局部门整体支出绩效评价总得分 95.5 分，等次为优。</w:t>
      </w:r>
    </w:p>
    <w:p>
      <w:pPr>
        <w:keepNext w:val="0"/>
        <w:keepLines w:val="0"/>
        <w:pageBreakBefore w:val="0"/>
        <w:kinsoku/>
        <w:wordWrap/>
        <w:overflowPunct/>
        <w:topLinePunct w:val="0"/>
        <w:bidi w:val="0"/>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kinsoku/>
        <w:wordWrap/>
        <w:overflowPunct/>
        <w:topLinePunct w:val="0"/>
        <w:bidi w:val="0"/>
        <w:spacing w:line="560" w:lineRule="exact"/>
        <w:ind w:firstLine="640" w:firstLineChars="200"/>
        <w:textAlignment w:val="auto"/>
        <w:outlineLvl w:val="0"/>
        <w:rPr>
          <w:rFonts w:hint="eastAsia" w:eastAsia="方正黑体_GBK"/>
          <w:sz w:val="32"/>
          <w:szCs w:val="32"/>
        </w:rPr>
      </w:pPr>
      <w:bookmarkStart w:id="49" w:name="_Toc20516"/>
      <w:bookmarkStart w:id="50" w:name="_Toc11973"/>
      <w:bookmarkStart w:id="51" w:name="_Toc15522"/>
      <w:bookmarkStart w:id="52" w:name="_Toc26675"/>
      <w:bookmarkStart w:id="53" w:name="_Toc12135"/>
      <w:bookmarkStart w:id="54" w:name="_Toc18432"/>
      <w:r>
        <w:rPr>
          <w:rFonts w:hint="eastAsia" w:eastAsia="方正黑体_GBK"/>
          <w:sz w:val="32"/>
          <w:szCs w:val="32"/>
        </w:rPr>
        <w:t>三、绩效评价情况及结论</w:t>
      </w:r>
      <w:bookmarkEnd w:id="49"/>
      <w:bookmarkEnd w:id="50"/>
      <w:bookmarkEnd w:id="51"/>
      <w:bookmarkEnd w:id="52"/>
      <w:bookmarkEnd w:id="53"/>
      <w:bookmarkEnd w:id="54"/>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left"/>
        <w:textAlignment w:val="auto"/>
        <w:outlineLvl w:val="1"/>
        <w:rPr>
          <w:rFonts w:hint="eastAsia" w:ascii="方正仿宋_GBK" w:hAnsi="方正仿宋_GBK" w:eastAsia="方正仿宋_GBK" w:cs="方正仿宋_GBK"/>
          <w:color w:val="auto"/>
          <w:kern w:val="0"/>
          <w:sz w:val="32"/>
          <w:szCs w:val="32"/>
          <w:highlight w:val="none"/>
          <w:shd w:val="clear" w:color="auto" w:fill="FFFFFF"/>
          <w:lang w:val="en-US" w:eastAsia="zh-CN"/>
        </w:rPr>
      </w:pPr>
      <w:bookmarkStart w:id="55" w:name="_Toc25103"/>
      <w:bookmarkStart w:id="56" w:name="_Toc29754"/>
      <w:bookmarkStart w:id="57" w:name="_Toc383"/>
      <w:r>
        <w:rPr>
          <w:rFonts w:hint="eastAsia" w:ascii="方正仿宋_GBK" w:hAnsi="方正仿宋_GBK" w:eastAsia="方正仿宋_GBK" w:cs="方正仿宋_GBK"/>
          <w:sz w:val="32"/>
          <w:szCs w:val="32"/>
          <w:lang w:val="en-US" w:eastAsia="zh-CN"/>
        </w:rPr>
        <w:t>（一）投入评价情况</w:t>
      </w:r>
      <w:bookmarkEnd w:id="55"/>
      <w:bookmarkEnd w:id="56"/>
      <w:bookmarkEnd w:id="57"/>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left"/>
        <w:textAlignment w:val="auto"/>
        <w:rPr>
          <w:rFonts w:hint="eastAsia" w:ascii="方正仿宋_GBK" w:hAnsi="方正仿宋_GBK" w:eastAsia="方正仿宋_GBK" w:cs="方正仿宋_GBK"/>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rPr>
        <w:t>投入类指标分值7分，实际得分5分。具体得分情况如表1所示。</w:t>
      </w:r>
    </w:p>
    <w:p>
      <w:pPr>
        <w:keepNext w:val="0"/>
        <w:keepLines w:val="0"/>
        <w:pageBreakBefore w:val="0"/>
        <w:widowControl/>
        <w:suppressLineNumbers w:val="0"/>
        <w:kinsoku/>
        <w:wordWrap/>
        <w:overflowPunct/>
        <w:topLinePunct w:val="0"/>
        <w:autoSpaceDE w:val="0"/>
        <w:autoSpaceDN w:val="0"/>
        <w:bidi w:val="0"/>
        <w:adjustRightInd/>
        <w:snapToGrid/>
        <w:spacing w:before="0" w:beforeLines="100" w:line="560" w:lineRule="exact"/>
        <w:ind w:left="42" w:leftChars="20" w:right="48" w:rightChars="23" w:firstLine="560" w:firstLineChars="200"/>
        <w:jc w:val="center"/>
        <w:textAlignment w:val="auto"/>
        <w:rPr>
          <w:rFonts w:hint="eastAsia" w:ascii="方正仿宋_GBK" w:hAnsi="方正仿宋_GBK" w:eastAsia="方正仿宋_GBK" w:cs="方正仿宋_GBK"/>
          <w:color w:val="auto"/>
          <w:kern w:val="0"/>
          <w:sz w:val="28"/>
          <w:szCs w:val="28"/>
          <w:shd w:val="clear" w:color="auto" w:fill="FFFFFF"/>
          <w:lang w:val="en-US" w:eastAsia="zh-CN"/>
        </w:rPr>
      </w:pPr>
      <w:r>
        <w:rPr>
          <w:rFonts w:hint="eastAsia" w:ascii="Times New Roman" w:hAnsi="Times New Roman" w:eastAsia="方正仿宋_GBK" w:cs="Times New Roman"/>
          <w:color w:val="auto"/>
          <w:kern w:val="0"/>
          <w:sz w:val="28"/>
          <w:szCs w:val="28"/>
          <w:shd w:val="clear" w:color="auto" w:fill="FFFFFF"/>
          <w:lang w:val="en-US" w:eastAsia="zh-CN"/>
        </w:rPr>
        <w:t>表1：项目投入类指标得分情况</w:t>
      </w:r>
    </w:p>
    <w:tbl>
      <w:tblPr>
        <w:tblStyle w:val="9"/>
        <w:tblW w:w="83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66"/>
        <w:gridCol w:w="1656"/>
        <w:gridCol w:w="1656"/>
        <w:gridCol w:w="1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3366"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三级指标</w:t>
            </w:r>
          </w:p>
        </w:tc>
        <w:tc>
          <w:tcPr>
            <w:tcW w:w="1656"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权重</w:t>
            </w:r>
          </w:p>
        </w:tc>
        <w:tc>
          <w:tcPr>
            <w:tcW w:w="1656"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得分</w:t>
            </w:r>
          </w:p>
        </w:tc>
        <w:tc>
          <w:tcPr>
            <w:tcW w:w="1660"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得分率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336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绩效目标合理性</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6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336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绩效指标明确性</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2</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2</w:t>
            </w:r>
          </w:p>
        </w:tc>
        <w:tc>
          <w:tcPr>
            <w:tcW w:w="166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336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在职人员控制率</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2</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2</w:t>
            </w:r>
          </w:p>
        </w:tc>
        <w:tc>
          <w:tcPr>
            <w:tcW w:w="166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336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w:t>
            </w:r>
            <w:r>
              <w:rPr>
                <w:rFonts w:hint="eastAsia" w:ascii="Times New Roman" w:hAnsi="Times New Roman" w:eastAsia="方正仿宋_GBK" w:cs="Times New Roman"/>
                <w:color w:val="auto"/>
                <w:kern w:val="0"/>
                <w:sz w:val="21"/>
                <w:szCs w:val="21"/>
                <w:highlight w:val="none"/>
                <w:shd w:val="clear" w:color="auto" w:fill="FFFFFF"/>
                <w:lang w:val="en-US" w:eastAsia="zh-CN"/>
              </w:rPr>
              <w:t>三公经费</w:t>
            </w:r>
            <w:r>
              <w:rPr>
                <w:rFonts w:hint="eastAsia" w:eastAsia="方正仿宋_GBK" w:cs="Times New Roman"/>
                <w:color w:val="auto"/>
                <w:kern w:val="0"/>
                <w:sz w:val="21"/>
                <w:szCs w:val="21"/>
                <w:highlight w:val="none"/>
                <w:shd w:val="clear" w:color="auto" w:fill="FFFFFF"/>
                <w:lang w:val="en-US" w:eastAsia="zh-CN"/>
              </w:rPr>
              <w:t>”</w:t>
            </w:r>
            <w:r>
              <w:rPr>
                <w:rFonts w:hint="eastAsia" w:ascii="Times New Roman" w:hAnsi="Times New Roman" w:eastAsia="方正仿宋_GBK" w:cs="Times New Roman"/>
                <w:color w:val="auto"/>
                <w:kern w:val="0"/>
                <w:sz w:val="21"/>
                <w:szCs w:val="21"/>
                <w:highlight w:val="none"/>
                <w:shd w:val="clear" w:color="auto" w:fill="FFFFFF"/>
                <w:lang w:val="en-US" w:eastAsia="zh-CN"/>
              </w:rPr>
              <w:t>变动率</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2</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0</w:t>
            </w:r>
          </w:p>
        </w:tc>
        <w:tc>
          <w:tcPr>
            <w:tcW w:w="166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36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投入类指标情况合计</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7</w:t>
            </w:r>
          </w:p>
        </w:tc>
        <w:tc>
          <w:tcPr>
            <w:tcW w:w="165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5</w:t>
            </w:r>
          </w:p>
        </w:tc>
        <w:tc>
          <w:tcPr>
            <w:tcW w:w="166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71.4%</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bookmarkStart w:id="58" w:name="_Toc26220"/>
      <w:bookmarkStart w:id="59" w:name="_Toc8601"/>
      <w:r>
        <w:rPr>
          <w:rFonts w:hint="eastAsia" w:ascii="Times New Roman" w:hAnsi="Times New Roman" w:eastAsia="方正仿宋_GBK" w:cs="Times New Roman"/>
          <w:color w:val="auto"/>
          <w:kern w:val="0"/>
          <w:sz w:val="32"/>
          <w:szCs w:val="32"/>
          <w:highlight w:val="none"/>
          <w:shd w:val="clear" w:color="auto" w:fill="FFFFFF"/>
          <w:lang w:val="en-US" w:eastAsia="zh-CN"/>
        </w:rPr>
        <w:t>1、绩效目标合理性分析</w:t>
      </w:r>
      <w:bookmarkEnd w:id="58"/>
      <w:bookmarkEnd w:id="59"/>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rPr>
        <w:t>部门绩效目标设置合理，符合国家法律法规、国民经济和社会发展总体规划；符合部门“三定”方案确定的职责；</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rPr>
        <w:t>符合部门制定的中长期实施规划。根据评价标准，该指标得100%权重分。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bookmarkStart w:id="60" w:name="_Toc293"/>
      <w:bookmarkStart w:id="61" w:name="_Toc4273"/>
      <w:r>
        <w:rPr>
          <w:rFonts w:hint="eastAsia" w:ascii="Times New Roman" w:hAnsi="Times New Roman" w:eastAsia="方正仿宋_GBK" w:cs="Times New Roman"/>
          <w:color w:val="auto"/>
          <w:kern w:val="0"/>
          <w:sz w:val="32"/>
          <w:szCs w:val="32"/>
          <w:highlight w:val="none"/>
          <w:shd w:val="clear" w:color="auto" w:fill="FFFFFF"/>
          <w:lang w:val="en-US" w:eastAsia="zh-CN"/>
        </w:rPr>
        <w:t>2、绩效指标明确性分析</w:t>
      </w:r>
      <w:bookmarkEnd w:id="60"/>
      <w:bookmarkEnd w:id="61"/>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rPr>
        <w:t>部门整体的绩效目标细化分解为具体的工作任务，通过清晰、可衡量的指标值予以体现，与部门年度的任务数或计划数相对应，与本年度部门预算资金相匹配。该指标得100%权重分。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bookmarkStart w:id="62" w:name="_Toc17084"/>
      <w:bookmarkStart w:id="63" w:name="_Toc30456"/>
      <w:r>
        <w:rPr>
          <w:rFonts w:hint="eastAsia" w:ascii="Times New Roman" w:hAnsi="Times New Roman" w:eastAsia="方正仿宋_GBK" w:cs="Times New Roman"/>
          <w:color w:val="auto"/>
          <w:kern w:val="0"/>
          <w:sz w:val="32"/>
          <w:szCs w:val="32"/>
          <w:highlight w:val="none"/>
          <w:shd w:val="clear" w:color="auto" w:fill="FFFFFF"/>
          <w:lang w:val="en-US" w:eastAsia="zh-CN"/>
        </w:rPr>
        <w:t>3、在职人员控制率分析</w:t>
      </w:r>
      <w:bookmarkEnd w:id="62"/>
      <w:bookmarkEnd w:id="63"/>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rPr>
        <w:t>在职人员编制数为14人，其中行政编制8人，事业编制6人；年末实有在职人员13人，在职人员控制率为92.8%。根据评价标准，该指标得100%权重分。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bookmarkStart w:id="64" w:name="_Toc16339"/>
      <w:bookmarkStart w:id="65" w:name="_Toc19254"/>
      <w:r>
        <w:rPr>
          <w:rFonts w:hint="eastAsia" w:ascii="Times New Roman" w:hAnsi="Times New Roman" w:eastAsia="方正仿宋_GBK" w:cs="Times New Roman"/>
          <w:color w:val="auto"/>
          <w:kern w:val="0"/>
          <w:sz w:val="32"/>
          <w:szCs w:val="32"/>
          <w:highlight w:val="none"/>
          <w:shd w:val="clear" w:color="auto" w:fill="FFFFFF"/>
          <w:lang w:val="en-US" w:eastAsia="zh-CN"/>
        </w:rPr>
        <w:t>4、“三公经费”变动率分析</w:t>
      </w:r>
      <w:bookmarkEnd w:id="64"/>
      <w:bookmarkEnd w:id="65"/>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方正仿宋_GBK" w:hAnsi="方正仿宋_GBK" w:eastAsia="方正仿宋_GBK" w:cs="方正仿宋_GBK"/>
          <w:color w:val="FF0000"/>
          <w:kern w:val="0"/>
          <w:sz w:val="32"/>
          <w:szCs w:val="32"/>
          <w:highlight w:val="none"/>
          <w:shd w:val="clear" w:color="auto" w:fill="FFFFFF"/>
          <w:lang w:val="en-US"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rPr>
        <w:t>2020年度“三公经费”预算数为47.8万元，2019年度“三公经费”预算数为24.55万元，“三公经费”变动率为94.7%。根据评价标准，该指标得0%权重分。</w:t>
      </w:r>
    </w:p>
    <w:p>
      <w:pPr>
        <w:keepNext w:val="0"/>
        <w:keepLines w:val="0"/>
        <w:pageBreakBefore w:val="0"/>
        <w:kinsoku/>
        <w:wordWrap/>
        <w:overflowPunct/>
        <w:topLinePunct w:val="0"/>
        <w:autoSpaceDE/>
        <w:autoSpaceDN/>
        <w:bidi w:val="0"/>
        <w:spacing w:line="560" w:lineRule="exact"/>
        <w:ind w:firstLine="640" w:firstLineChars="200"/>
        <w:textAlignment w:val="auto"/>
        <w:outlineLvl w:val="1"/>
        <w:rPr>
          <w:rFonts w:hint="eastAsia" w:ascii="方正仿宋_GBK" w:hAnsi="方正仿宋_GBK" w:eastAsia="方正仿宋_GBK" w:cs="方正仿宋_GBK"/>
          <w:sz w:val="32"/>
          <w:szCs w:val="32"/>
        </w:rPr>
      </w:pPr>
      <w:bookmarkStart w:id="66" w:name="_Toc22092"/>
      <w:bookmarkStart w:id="67" w:name="_Toc13102"/>
      <w:bookmarkStart w:id="68" w:name="_Toc6999"/>
      <w:bookmarkStart w:id="69" w:name="_Toc16066"/>
      <w:bookmarkStart w:id="70" w:name="_Toc15285"/>
      <w:bookmarkStart w:id="71" w:name="_Toc25148"/>
      <w:r>
        <w:rPr>
          <w:rFonts w:hint="eastAsia" w:eastAsia="方正仿宋_GBK"/>
          <w:sz w:val="32"/>
          <w:szCs w:val="32"/>
        </w:rPr>
        <w:t>（二）过程评价情况</w:t>
      </w:r>
      <w:bookmarkEnd w:id="66"/>
      <w:bookmarkEnd w:id="67"/>
      <w:bookmarkEnd w:id="68"/>
      <w:bookmarkEnd w:id="69"/>
      <w:bookmarkEnd w:id="70"/>
      <w:bookmarkEnd w:id="71"/>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left"/>
        <w:textAlignment w:val="auto"/>
        <w:rPr>
          <w:rFonts w:hint="eastAsia" w:ascii="Times New Roman" w:hAnsi="Times New Roman" w:eastAsia="方正仿宋_GBK" w:cs="Times New Roman"/>
          <w:color w:val="auto"/>
          <w:kern w:val="0"/>
          <w:sz w:val="32"/>
          <w:szCs w:val="32"/>
          <w:highlight w:val="none"/>
          <w:shd w:val="clear" w:color="auto" w:fill="FFFFFF"/>
          <w:lang w:val="en-US"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rPr>
        <w:t>过程类指标分值24分，实际得分23分。具体得分情况如表2所示。</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560" w:firstLineChars="200"/>
        <w:jc w:val="center"/>
        <w:textAlignment w:val="auto"/>
        <w:rPr>
          <w:rFonts w:hint="eastAsia" w:ascii="Times New Roman" w:hAnsi="Times New Roman" w:eastAsia="方正仿宋_GBK" w:cs="Times New Roman"/>
          <w:color w:val="auto"/>
          <w:kern w:val="0"/>
          <w:sz w:val="28"/>
          <w:szCs w:val="28"/>
          <w:highlight w:val="none"/>
          <w:shd w:val="clear" w:color="auto" w:fill="FFFFFF"/>
          <w:lang w:val="en-US" w:eastAsia="zh-CN"/>
        </w:rPr>
      </w:pPr>
      <w:r>
        <w:rPr>
          <w:rFonts w:hint="eastAsia" w:ascii="Times New Roman" w:hAnsi="Times New Roman" w:eastAsia="方正仿宋_GBK" w:cs="Times New Roman"/>
          <w:color w:val="auto"/>
          <w:kern w:val="0"/>
          <w:sz w:val="28"/>
          <w:szCs w:val="28"/>
          <w:highlight w:val="none"/>
          <w:shd w:val="clear" w:color="auto" w:fill="FFFFFF"/>
          <w:lang w:val="en-US" w:eastAsia="zh-CN"/>
        </w:rPr>
        <w:t>表 2：项目过程类指标得分情况</w:t>
      </w:r>
    </w:p>
    <w:tbl>
      <w:tblPr>
        <w:tblStyle w:val="9"/>
        <w:tblW w:w="83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6"/>
        <w:gridCol w:w="1681"/>
        <w:gridCol w:w="1680"/>
        <w:gridCol w:w="1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3276"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三级指标</w:t>
            </w:r>
          </w:p>
        </w:tc>
        <w:tc>
          <w:tcPr>
            <w:tcW w:w="1681"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权重</w:t>
            </w:r>
          </w:p>
        </w:tc>
        <w:tc>
          <w:tcPr>
            <w:tcW w:w="1680"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得分</w:t>
            </w:r>
          </w:p>
        </w:tc>
        <w:tc>
          <w:tcPr>
            <w:tcW w:w="1682"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得分率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预算完成率</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预算调整率</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结转结余率</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公用经费控制率</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w:t>
            </w:r>
            <w:r>
              <w:rPr>
                <w:rFonts w:hint="eastAsia" w:ascii="Times New Roman" w:hAnsi="Times New Roman" w:eastAsia="方正仿宋_GBK" w:cs="Times New Roman"/>
                <w:color w:val="auto"/>
                <w:kern w:val="0"/>
                <w:sz w:val="21"/>
                <w:szCs w:val="21"/>
                <w:highlight w:val="none"/>
                <w:shd w:val="clear" w:color="auto" w:fill="FFFFFF"/>
                <w:lang w:val="en-US" w:eastAsia="zh-CN"/>
              </w:rPr>
              <w:t>三公经费</w:t>
            </w:r>
            <w:r>
              <w:rPr>
                <w:rFonts w:hint="eastAsia" w:eastAsia="方正仿宋_GBK" w:cs="Times New Roman"/>
                <w:color w:val="auto"/>
                <w:kern w:val="0"/>
                <w:sz w:val="21"/>
                <w:szCs w:val="21"/>
                <w:highlight w:val="none"/>
                <w:shd w:val="clear" w:color="auto" w:fill="FFFFFF"/>
                <w:lang w:val="en-US" w:eastAsia="zh-CN"/>
              </w:rPr>
              <w:t>”</w:t>
            </w:r>
            <w:r>
              <w:rPr>
                <w:rFonts w:hint="eastAsia" w:ascii="Times New Roman" w:hAnsi="Times New Roman" w:eastAsia="方正仿宋_GBK" w:cs="Times New Roman"/>
                <w:color w:val="auto"/>
                <w:kern w:val="0"/>
                <w:sz w:val="21"/>
                <w:szCs w:val="21"/>
                <w:highlight w:val="none"/>
                <w:shd w:val="clear" w:color="auto" w:fill="FFFFFF"/>
                <w:lang w:val="en-US" w:eastAsia="zh-CN"/>
              </w:rPr>
              <w:t>控制率</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政府采购执行率</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0</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管理制度健全</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资金使用合规</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5</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5</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预决算信息公开</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工程项目管理</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3</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3</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 xml:space="preserve"> 基础信息完善</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管理制度健全</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1.5</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资产管理安全</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2</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2</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固定资产利用率</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32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项目过程类指标合计</w:t>
            </w:r>
          </w:p>
        </w:tc>
        <w:tc>
          <w:tcPr>
            <w:tcW w:w="1681"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24</w:t>
            </w:r>
          </w:p>
        </w:tc>
        <w:tc>
          <w:tcPr>
            <w:tcW w:w="1680"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23</w:t>
            </w:r>
          </w:p>
        </w:tc>
        <w:tc>
          <w:tcPr>
            <w:tcW w:w="168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color w:val="auto"/>
                <w:kern w:val="0"/>
                <w:sz w:val="21"/>
                <w:szCs w:val="21"/>
                <w:highlight w:val="none"/>
                <w:shd w:val="clear" w:color="auto" w:fill="FFFFFF"/>
                <w:lang w:val="en-US" w:eastAsia="zh-CN"/>
              </w:rPr>
            </w:pPr>
            <w:r>
              <w:rPr>
                <w:rFonts w:hint="eastAsia" w:ascii="Times New Roman" w:hAnsi="Times New Roman" w:eastAsia="方正仿宋_GBK" w:cs="Times New Roman"/>
                <w:color w:val="auto"/>
                <w:kern w:val="0"/>
                <w:sz w:val="21"/>
                <w:szCs w:val="21"/>
                <w:highlight w:val="none"/>
                <w:shd w:val="clear" w:color="auto" w:fill="FFFFFF"/>
                <w:lang w:val="en-US" w:eastAsia="zh-CN"/>
              </w:rPr>
              <w:t>95.8%</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72" w:name="_Toc25290"/>
      <w:bookmarkStart w:id="73" w:name="_Toc11046"/>
      <w:r>
        <w:rPr>
          <w:rFonts w:hint="eastAsia" w:ascii="Times New Roman" w:hAnsi="Times New Roman" w:eastAsia="方正仿宋_GBK" w:cs="Times New Roman"/>
          <w:color w:val="auto"/>
          <w:kern w:val="0"/>
          <w:sz w:val="32"/>
          <w:szCs w:val="32"/>
          <w:shd w:val="clear" w:color="auto" w:fill="FFFFFF"/>
          <w:lang w:val="en-US" w:eastAsia="zh-CN"/>
        </w:rPr>
        <w:t>1、预算完成率分析</w:t>
      </w:r>
      <w:bookmarkEnd w:id="72"/>
      <w:bookmarkEnd w:id="73"/>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预算完成率=[（上年结转+年初预算+本年追加预算</w:t>
      </w:r>
      <w:r>
        <w:rPr>
          <w:rFonts w:hint="eastAsia" w:eastAsia="方正仿宋_GBK" w:cs="Times New Roman"/>
          <w:color w:val="auto"/>
          <w:kern w:val="0"/>
          <w:sz w:val="32"/>
          <w:szCs w:val="32"/>
          <w:shd w:val="clear" w:color="auto" w:fill="FFFFFF"/>
          <w:lang w:val="en-US" w:eastAsia="zh-CN"/>
        </w:rPr>
        <w:t>－</w:t>
      </w:r>
      <w:r>
        <w:rPr>
          <w:rFonts w:hint="eastAsia" w:ascii="Times New Roman" w:hAnsi="Times New Roman" w:eastAsia="方正仿宋_GBK" w:cs="Times New Roman"/>
          <w:color w:val="auto"/>
          <w:kern w:val="0"/>
          <w:sz w:val="32"/>
          <w:szCs w:val="32"/>
          <w:shd w:val="clear" w:color="auto" w:fill="FFFFFF"/>
          <w:lang w:val="en-US" w:eastAsia="zh-CN"/>
        </w:rPr>
        <w:t>年末结余）/</w:t>
      </w:r>
      <w:r>
        <w:rPr>
          <w:rFonts w:hint="eastAsia" w:eastAsia="方正仿宋_GBK" w:cs="Times New Roman"/>
          <w:color w:val="auto"/>
          <w:kern w:val="0"/>
          <w:sz w:val="32"/>
          <w:szCs w:val="32"/>
          <w:shd w:val="clear" w:color="auto" w:fill="FFFFFF"/>
          <w:lang w:val="en-US" w:eastAsia="zh-CN"/>
        </w:rPr>
        <w:t>（</w:t>
      </w:r>
      <w:r>
        <w:rPr>
          <w:rFonts w:hint="eastAsia" w:ascii="Times New Roman" w:hAnsi="Times New Roman" w:eastAsia="方正仿宋_GBK" w:cs="Times New Roman"/>
          <w:color w:val="auto"/>
          <w:kern w:val="0"/>
          <w:sz w:val="32"/>
          <w:szCs w:val="32"/>
          <w:shd w:val="clear" w:color="auto" w:fill="FFFFFF"/>
          <w:lang w:val="en-US" w:eastAsia="zh-CN"/>
        </w:rPr>
        <w:t>上年结转+年初预算+本年追加预算）]×100%。2019年无结转金额，2020年年初预算金额为423.413418万元，2020年追加预算金额为2040.902348万元，2020年年末无结余金额，预算完成率为100%。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74" w:name="_Toc9340"/>
      <w:bookmarkStart w:id="75" w:name="_Toc1175"/>
      <w:r>
        <w:rPr>
          <w:rFonts w:hint="eastAsia" w:ascii="Times New Roman" w:hAnsi="Times New Roman" w:eastAsia="方正仿宋_GBK" w:cs="Times New Roman"/>
          <w:color w:val="auto"/>
          <w:kern w:val="0"/>
          <w:sz w:val="32"/>
          <w:szCs w:val="32"/>
          <w:shd w:val="clear" w:color="auto" w:fill="FFFFFF"/>
          <w:lang w:val="en-US" w:eastAsia="zh-CN"/>
        </w:rPr>
        <w:t>2、预算调整率分析</w:t>
      </w:r>
      <w:bookmarkEnd w:id="74"/>
      <w:bookmarkEnd w:id="75"/>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预算调整率（调增调减）=（预算调整数/预算数）×100%。根据决算数据，部门年初预算数为423.413418万元，预算调整数为2464.315766万元，预算调整率为582%。因在2020年内落实国家政策、发生不可抗力等情况进行了预算调整。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76" w:name="_Toc19929"/>
      <w:bookmarkStart w:id="77" w:name="_Toc6291"/>
      <w:r>
        <w:rPr>
          <w:rFonts w:hint="eastAsia" w:ascii="Times New Roman" w:hAnsi="Times New Roman" w:eastAsia="方正仿宋_GBK" w:cs="Times New Roman"/>
          <w:color w:val="auto"/>
          <w:kern w:val="0"/>
          <w:sz w:val="32"/>
          <w:szCs w:val="32"/>
          <w:shd w:val="clear" w:color="auto" w:fill="FFFFFF"/>
          <w:lang w:val="en-US" w:eastAsia="zh-CN"/>
        </w:rPr>
        <w:t>3、结转结余率分析</w:t>
      </w:r>
      <w:bookmarkEnd w:id="76"/>
      <w:bookmarkEnd w:id="77"/>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结转结余率=结转结余总额/支出预算数×100%。因2020年无结转结余经费为0万元，2020年支出金额为2464.315766万元。根据评价标准，该指标得100%权重分。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78" w:name="_Toc1208"/>
      <w:bookmarkStart w:id="79" w:name="_Toc24770"/>
      <w:r>
        <w:rPr>
          <w:rFonts w:hint="eastAsia" w:ascii="Times New Roman" w:hAnsi="Times New Roman" w:eastAsia="方正仿宋_GBK" w:cs="Times New Roman"/>
          <w:color w:val="auto"/>
          <w:kern w:val="0"/>
          <w:sz w:val="32"/>
          <w:szCs w:val="32"/>
          <w:shd w:val="clear" w:color="auto" w:fill="FFFFFF"/>
          <w:lang w:val="en-US" w:eastAsia="zh-CN"/>
        </w:rPr>
        <w:t>4、公用经费控制率分析</w:t>
      </w:r>
      <w:bookmarkEnd w:id="78"/>
      <w:bookmarkEnd w:id="79"/>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公用经费控制率=（实际支出公用经费总额/预算安排公用经费总额）×100%。公用经费预算金额为80.586254万元，公用经费实际支出为80.586254万元，公用经费控制率为100%。根据评价标准，该指标得100%权重分。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80" w:name="_Toc19257"/>
      <w:bookmarkStart w:id="81" w:name="_Toc19879"/>
      <w:r>
        <w:rPr>
          <w:rFonts w:hint="eastAsia" w:ascii="Times New Roman" w:hAnsi="Times New Roman" w:eastAsia="方正仿宋_GBK" w:cs="Times New Roman"/>
          <w:color w:val="auto"/>
          <w:kern w:val="0"/>
          <w:sz w:val="32"/>
          <w:szCs w:val="32"/>
          <w:shd w:val="clear" w:color="auto" w:fill="FFFFFF"/>
          <w:lang w:val="en-US" w:eastAsia="zh-CN"/>
        </w:rPr>
        <w:t>5、“三公经费”控制率分析</w:t>
      </w:r>
      <w:bookmarkEnd w:id="80"/>
      <w:bookmarkEnd w:id="81"/>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三公经费控制率=（“三公经费”实际支出数/“三公经费”预算安排数）×100%。“三公经费”预算金额为47.8万元，“三公经费”支出金额为8.2624162万元，三公经费控制率为17.3%。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82" w:name="_Toc27227"/>
      <w:bookmarkStart w:id="83" w:name="_Toc271"/>
      <w:r>
        <w:rPr>
          <w:rFonts w:hint="eastAsia" w:ascii="Times New Roman" w:hAnsi="Times New Roman" w:eastAsia="方正仿宋_GBK" w:cs="Times New Roman"/>
          <w:color w:val="auto"/>
          <w:kern w:val="0"/>
          <w:sz w:val="32"/>
          <w:szCs w:val="32"/>
          <w:shd w:val="clear" w:color="auto" w:fill="FFFFFF"/>
          <w:lang w:val="en-US" w:eastAsia="zh-CN"/>
        </w:rPr>
        <w:t>6、政府采购执行率分析</w:t>
      </w:r>
      <w:bookmarkEnd w:id="82"/>
      <w:bookmarkEnd w:id="83"/>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政府采购执行率=（实际政府采购金额/政府采购预算数）×100%。政府采购预算金额为38.8万元，本年政府采购支出为12.611万元，政府采购执行率32.5%。根据评价标准，该指标得0%权重分。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84" w:name="_Toc15028"/>
      <w:bookmarkStart w:id="85" w:name="_Toc30660"/>
      <w:r>
        <w:rPr>
          <w:rFonts w:hint="eastAsia" w:ascii="Times New Roman" w:hAnsi="Times New Roman" w:eastAsia="方正仿宋_GBK" w:cs="Times New Roman"/>
          <w:color w:val="auto"/>
          <w:kern w:val="0"/>
          <w:sz w:val="32"/>
          <w:szCs w:val="32"/>
          <w:shd w:val="clear" w:color="auto" w:fill="FFFFFF"/>
          <w:lang w:val="en-US" w:eastAsia="zh-CN"/>
        </w:rPr>
        <w:t>7、管理制度健全分析</w:t>
      </w:r>
      <w:bookmarkEnd w:id="84"/>
      <w:bookmarkEnd w:id="85"/>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本部门内部财务管理制度、会计核算制度等管理制度健全，有本部门厉行节约制度，相关管理制度合法、合规、完整，相关管理制度得到有效执行。根据评价标准，该指标得100%权重分。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86" w:name="_Toc9035"/>
      <w:bookmarkStart w:id="87" w:name="_Toc28508"/>
      <w:r>
        <w:rPr>
          <w:rFonts w:hint="eastAsia" w:ascii="Times New Roman" w:hAnsi="Times New Roman" w:eastAsia="方正仿宋_GBK" w:cs="Times New Roman"/>
          <w:color w:val="auto"/>
          <w:kern w:val="0"/>
          <w:sz w:val="32"/>
          <w:szCs w:val="32"/>
          <w:shd w:val="clear" w:color="auto" w:fill="FFFFFF"/>
          <w:lang w:val="en-US" w:eastAsia="zh-CN"/>
        </w:rPr>
        <w:t>8、资金使用合规分析</w:t>
      </w:r>
      <w:bookmarkEnd w:id="86"/>
      <w:bookmarkEnd w:id="87"/>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本部门支出符合国家财经法规和财务管理制度规定以及有关专项资金管理办法的规定，资金拨付有完整的审批程序和手续，预算调整履行规定程序，支出符合部门预算批复的用途，资金使用无截留、挤占、挪用、虚列支出等情况。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88" w:name="_Toc4986"/>
      <w:bookmarkStart w:id="89" w:name="_Toc27250"/>
      <w:r>
        <w:rPr>
          <w:rFonts w:hint="eastAsia" w:ascii="Times New Roman" w:hAnsi="Times New Roman" w:eastAsia="方正仿宋_GBK" w:cs="Times New Roman"/>
          <w:color w:val="auto"/>
          <w:kern w:val="0"/>
          <w:sz w:val="32"/>
          <w:szCs w:val="32"/>
          <w:shd w:val="clear" w:color="auto" w:fill="FFFFFF"/>
          <w:lang w:val="en-US" w:eastAsia="zh-CN"/>
        </w:rPr>
        <w:t>9、预决算信息公开分析</w:t>
      </w:r>
      <w:bookmarkEnd w:id="88"/>
      <w:bookmarkEnd w:id="89"/>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本部门按规定内容公开预算信息，按规定时限公开预算信息，基础数据信息和会计信息资料真实，基础数据信息和会计信息资料完整，基础数据信息和汇集信息资料准确。根据评价标准，该指标得100%权重分。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90" w:name="_Toc3512"/>
      <w:bookmarkStart w:id="91" w:name="_Toc1869"/>
      <w:r>
        <w:rPr>
          <w:rFonts w:hint="eastAsia" w:ascii="Times New Roman" w:hAnsi="Times New Roman" w:eastAsia="方正仿宋_GBK" w:cs="Times New Roman"/>
          <w:color w:val="auto"/>
          <w:kern w:val="0"/>
          <w:sz w:val="32"/>
          <w:szCs w:val="32"/>
          <w:shd w:val="clear" w:color="auto" w:fill="FFFFFF"/>
          <w:lang w:val="en-US" w:eastAsia="zh-CN"/>
        </w:rPr>
        <w:t>10、工程项目管理分析</w:t>
      </w:r>
      <w:bookmarkEnd w:id="90"/>
      <w:bookmarkEnd w:id="91"/>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本部门达到限额标准的项目均按照要求通过招投标或竞争性比选程序实施，中标单位与实际施工单位一致，项目经理与合同指派一致，人员变更按合同要求取得建设单位同意。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92" w:name="_Toc22529"/>
      <w:bookmarkStart w:id="93" w:name="_Toc30695"/>
      <w:r>
        <w:rPr>
          <w:rFonts w:hint="eastAsia" w:ascii="Times New Roman" w:hAnsi="Times New Roman" w:eastAsia="方正仿宋_GBK" w:cs="Times New Roman"/>
          <w:color w:val="auto"/>
          <w:kern w:val="0"/>
          <w:sz w:val="32"/>
          <w:szCs w:val="32"/>
          <w:shd w:val="clear" w:color="auto" w:fill="FFFFFF"/>
          <w:lang w:val="en-US" w:eastAsia="zh-CN"/>
        </w:rPr>
        <w:t>11、基础信息完善分析</w:t>
      </w:r>
      <w:bookmarkEnd w:id="92"/>
      <w:bookmarkEnd w:id="93"/>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本部门基础数据信息和会计信息资料真实、完整、准确。根据评价标准，该指标得100%权重分。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94" w:name="_Toc15181"/>
      <w:bookmarkStart w:id="95" w:name="_Toc17090"/>
      <w:r>
        <w:rPr>
          <w:rFonts w:hint="eastAsia" w:ascii="Times New Roman" w:hAnsi="Times New Roman" w:eastAsia="方正仿宋_GBK" w:cs="Times New Roman"/>
          <w:color w:val="auto"/>
          <w:kern w:val="0"/>
          <w:sz w:val="32"/>
          <w:szCs w:val="32"/>
          <w:shd w:val="clear" w:color="auto" w:fill="FFFFFF"/>
          <w:lang w:val="en-US" w:eastAsia="zh-CN"/>
        </w:rPr>
        <w:t>12、制度管理健全分析</w:t>
      </w:r>
      <w:bookmarkEnd w:id="94"/>
      <w:bookmarkEnd w:id="95"/>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本部门已制定或具有资产管理制度，相关资金管理制度合法、合规、完整，相关资产管理制度得到有效执行。根据评价标准，该指标得100%权重分。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96" w:name="_Toc30120"/>
      <w:bookmarkStart w:id="97" w:name="_Toc17253"/>
      <w:r>
        <w:rPr>
          <w:rFonts w:hint="eastAsia" w:ascii="Times New Roman" w:hAnsi="Times New Roman" w:eastAsia="方正仿宋_GBK" w:cs="Times New Roman"/>
          <w:color w:val="auto"/>
          <w:kern w:val="0"/>
          <w:sz w:val="32"/>
          <w:szCs w:val="32"/>
          <w:shd w:val="clear" w:color="auto" w:fill="FFFFFF"/>
          <w:lang w:val="en-US" w:eastAsia="zh-CN"/>
        </w:rPr>
        <w:t>13、资产管理安全分析</w:t>
      </w:r>
      <w:bookmarkEnd w:id="96"/>
      <w:bookmarkEnd w:id="97"/>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本部门资产保存完整，资产处置规范，资产账务管理合规，</w:t>
      </w:r>
      <w:r>
        <w:rPr>
          <w:rFonts w:hint="eastAsia" w:eastAsia="方正仿宋_GBK" w:cs="Times New Roman"/>
          <w:color w:val="auto"/>
          <w:kern w:val="0"/>
          <w:sz w:val="32"/>
          <w:szCs w:val="32"/>
          <w:shd w:val="clear" w:color="auto" w:fill="FFFFFF"/>
          <w:lang w:val="en-US" w:eastAsia="zh-CN"/>
        </w:rPr>
        <w:t>账实</w:t>
      </w:r>
      <w:r>
        <w:rPr>
          <w:rFonts w:hint="eastAsia" w:ascii="Times New Roman" w:hAnsi="Times New Roman" w:eastAsia="方正仿宋_GBK" w:cs="Times New Roman"/>
          <w:color w:val="auto"/>
          <w:kern w:val="0"/>
          <w:sz w:val="32"/>
          <w:szCs w:val="32"/>
          <w:shd w:val="clear" w:color="auto" w:fill="FFFFFF"/>
          <w:lang w:val="en-US" w:eastAsia="zh-CN"/>
        </w:rPr>
        <w:t>相符，资产有偿使用及处置收入及时足额上缴。根据评价标准，该指标得100%权重分。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98" w:name="_Toc16025"/>
      <w:bookmarkStart w:id="99" w:name="_Toc21376"/>
      <w:r>
        <w:rPr>
          <w:rFonts w:hint="eastAsia" w:ascii="Times New Roman" w:hAnsi="Times New Roman" w:eastAsia="方正仿宋_GBK" w:cs="Times New Roman"/>
          <w:color w:val="auto"/>
          <w:kern w:val="0"/>
          <w:sz w:val="32"/>
          <w:szCs w:val="32"/>
          <w:shd w:val="clear" w:color="auto" w:fill="FFFFFF"/>
          <w:lang w:val="en-US" w:eastAsia="zh-CN"/>
        </w:rPr>
        <w:t>14、固定资产利用率分析</w:t>
      </w:r>
      <w:bookmarkEnd w:id="98"/>
      <w:bookmarkEnd w:id="99"/>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本部门抽查固定资产30个，抽查结果发现固定资产利用率100%，资产保管完整，资产处置规范，账实相符。根据评价标准，该指标得100%权重分。</w:t>
      </w:r>
    </w:p>
    <w:p>
      <w:pPr>
        <w:keepNext w:val="0"/>
        <w:keepLines w:val="0"/>
        <w:pageBreakBefore w:val="0"/>
        <w:kinsoku/>
        <w:wordWrap/>
        <w:overflowPunct/>
        <w:topLinePunct w:val="0"/>
        <w:bidi w:val="0"/>
        <w:spacing w:line="560" w:lineRule="exact"/>
        <w:textAlignment w:val="auto"/>
        <w:rPr>
          <w:rFonts w:hint="eastAsia" w:ascii="方正仿宋_GBK" w:hAnsi="方正仿宋_GBK" w:eastAsia="方正仿宋_GBK" w:cs="方正仿宋_GBK"/>
          <w:sz w:val="32"/>
          <w:szCs w:val="32"/>
        </w:rPr>
      </w:pPr>
      <w:bookmarkStart w:id="100" w:name="_Toc909"/>
      <w:bookmarkStart w:id="101" w:name="_Toc22070"/>
      <w:r>
        <w:rPr>
          <w:rFonts w:hint="eastAsia" w:ascii="方正仿宋_GBK" w:hAnsi="方正仿宋_GBK" w:eastAsia="方正仿宋_GBK" w:cs="方正仿宋_GBK"/>
          <w:sz w:val="32"/>
          <w:szCs w:val="32"/>
        </w:rPr>
        <w:br w:type="page"/>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left"/>
        <w:textAlignment w:val="auto"/>
        <w:outlineLvl w:val="1"/>
        <w:rPr>
          <w:rFonts w:hint="eastAsia" w:ascii="Times New Roman" w:hAnsi="Times New Roman" w:eastAsia="方正仿宋_GBK" w:cs="Times New Roman"/>
          <w:color w:val="auto"/>
          <w:kern w:val="0"/>
          <w:sz w:val="32"/>
          <w:szCs w:val="32"/>
          <w:highlight w:val="none"/>
          <w:shd w:val="clear" w:color="auto" w:fill="FFFFFF"/>
          <w:lang w:val="en-US" w:eastAsia="zh-CN"/>
        </w:rPr>
      </w:pPr>
      <w:bookmarkStart w:id="102" w:name="_Toc29030"/>
      <w:r>
        <w:rPr>
          <w:rFonts w:hint="eastAsia" w:ascii="Times New Roman" w:hAnsi="Times New Roman" w:eastAsia="方正仿宋_GBK" w:cs="Times New Roman"/>
          <w:color w:val="auto"/>
          <w:kern w:val="0"/>
          <w:sz w:val="32"/>
          <w:szCs w:val="32"/>
          <w:highlight w:val="none"/>
          <w:shd w:val="clear" w:color="auto" w:fill="FFFFFF"/>
          <w:lang w:val="en-US" w:eastAsia="zh-CN"/>
        </w:rPr>
        <w:t>（三）产出评价情况</w:t>
      </w:r>
      <w:bookmarkEnd w:id="100"/>
      <w:bookmarkEnd w:id="101"/>
      <w:bookmarkEnd w:id="102"/>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640" w:firstLineChars="200"/>
        <w:jc w:val="left"/>
        <w:textAlignment w:val="auto"/>
        <w:rPr>
          <w:rFonts w:hint="eastAsia" w:ascii="方正仿宋_GBK" w:hAnsi="方正仿宋_GBK" w:eastAsia="方正仿宋_GBK" w:cs="方正仿宋_GBK"/>
          <w:color w:val="auto"/>
          <w:kern w:val="0"/>
          <w:sz w:val="32"/>
          <w:szCs w:val="32"/>
          <w:highlight w:val="yellow"/>
          <w:shd w:val="clear" w:color="auto" w:fill="FFFFFF"/>
          <w:lang w:val="en-US" w:eastAsia="zh-CN"/>
        </w:rPr>
      </w:pPr>
      <w:r>
        <w:rPr>
          <w:rFonts w:hint="eastAsia" w:ascii="Times New Roman" w:hAnsi="Times New Roman" w:eastAsia="方正仿宋_GBK" w:cs="Times New Roman"/>
          <w:color w:val="auto"/>
          <w:kern w:val="0"/>
          <w:sz w:val="32"/>
          <w:szCs w:val="32"/>
          <w:highlight w:val="none"/>
          <w:shd w:val="clear" w:color="auto" w:fill="FFFFFF"/>
          <w:lang w:val="en-US" w:eastAsia="zh-CN"/>
        </w:rPr>
        <w:t>产出类指标权重42分，实际得分42分。具体得分情况如表3所示。</w:t>
      </w:r>
    </w:p>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left="0" w:right="0" w:firstLine="560" w:firstLineChars="200"/>
        <w:jc w:val="center"/>
        <w:textAlignment w:val="auto"/>
        <w:rPr>
          <w:rFonts w:hint="eastAsia" w:ascii="Times New Roman" w:hAnsi="Times New Roman" w:eastAsia="方正仿宋_GBK" w:cs="Times New Roman"/>
          <w:color w:val="auto"/>
          <w:kern w:val="0"/>
          <w:sz w:val="28"/>
          <w:szCs w:val="28"/>
          <w:shd w:val="clear" w:color="auto" w:fill="FFFFFF"/>
          <w:lang w:val="en-US" w:eastAsia="zh-CN"/>
        </w:rPr>
      </w:pPr>
      <w:r>
        <w:rPr>
          <w:rFonts w:hint="eastAsia" w:ascii="Times New Roman" w:hAnsi="Times New Roman" w:eastAsia="方正仿宋_GBK" w:cs="Times New Roman"/>
          <w:color w:val="auto"/>
          <w:kern w:val="0"/>
          <w:sz w:val="28"/>
          <w:szCs w:val="28"/>
          <w:shd w:val="clear" w:color="auto" w:fill="FFFFFF"/>
          <w:lang w:val="en-US" w:eastAsia="zh-CN"/>
        </w:rPr>
        <w:t>表3：产出类指标得分情况</w:t>
      </w:r>
    </w:p>
    <w:tbl>
      <w:tblPr>
        <w:tblStyle w:val="9"/>
        <w:tblW w:w="82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33"/>
        <w:gridCol w:w="1912"/>
        <w:gridCol w:w="1676"/>
        <w:gridCol w:w="1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033"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三级指标</w:t>
            </w:r>
          </w:p>
        </w:tc>
        <w:tc>
          <w:tcPr>
            <w:tcW w:w="1912"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权重</w:t>
            </w:r>
          </w:p>
        </w:tc>
        <w:tc>
          <w:tcPr>
            <w:tcW w:w="1676"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得分</w:t>
            </w:r>
          </w:p>
        </w:tc>
        <w:tc>
          <w:tcPr>
            <w:tcW w:w="1678" w:type="dxa"/>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得分率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4" w:hRule="atLeast"/>
        </w:trPr>
        <w:tc>
          <w:tcPr>
            <w:tcW w:w="3033"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科技成果转移转化工作</w:t>
            </w:r>
          </w:p>
        </w:tc>
        <w:tc>
          <w:tcPr>
            <w:tcW w:w="191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8"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033"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引进科技创新资源、培育科技型企业和高新技术企业工作</w:t>
            </w:r>
          </w:p>
        </w:tc>
        <w:tc>
          <w:tcPr>
            <w:tcW w:w="191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8"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033"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科技创新基地建设工作</w:t>
            </w:r>
          </w:p>
        </w:tc>
        <w:tc>
          <w:tcPr>
            <w:tcW w:w="191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8"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033"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高新技术发展及产业化工作</w:t>
            </w:r>
          </w:p>
        </w:tc>
        <w:tc>
          <w:tcPr>
            <w:tcW w:w="191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8"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033"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优化创新创业环境</w:t>
            </w:r>
          </w:p>
        </w:tc>
        <w:tc>
          <w:tcPr>
            <w:tcW w:w="191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8"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033"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科技创新人才队伍建设工作</w:t>
            </w:r>
          </w:p>
        </w:tc>
        <w:tc>
          <w:tcPr>
            <w:tcW w:w="191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8"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3033"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科技项目计划与实施工作</w:t>
            </w:r>
          </w:p>
        </w:tc>
        <w:tc>
          <w:tcPr>
            <w:tcW w:w="191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6</w:t>
            </w:r>
          </w:p>
        </w:tc>
        <w:tc>
          <w:tcPr>
            <w:tcW w:w="1678"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3033"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产出类指标合计</w:t>
            </w:r>
          </w:p>
        </w:tc>
        <w:tc>
          <w:tcPr>
            <w:tcW w:w="1912"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42</w:t>
            </w:r>
          </w:p>
        </w:tc>
        <w:tc>
          <w:tcPr>
            <w:tcW w:w="1676"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42</w:t>
            </w:r>
          </w:p>
        </w:tc>
        <w:tc>
          <w:tcPr>
            <w:tcW w:w="1678" w:type="dxa"/>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eastAsia="方正仿宋_GBK" w:cs="Times New Roman"/>
                <w:color w:val="auto"/>
                <w:kern w:val="0"/>
                <w:sz w:val="21"/>
                <w:szCs w:val="21"/>
                <w:highlight w:val="none"/>
                <w:shd w:val="clear" w:color="auto" w:fill="FFFFFF"/>
                <w:lang w:val="en-US" w:eastAsia="zh-CN"/>
              </w:rPr>
            </w:pPr>
            <w:r>
              <w:rPr>
                <w:rFonts w:hint="eastAsia" w:eastAsia="方正仿宋_GBK" w:cs="Times New Roman"/>
                <w:color w:val="auto"/>
                <w:kern w:val="0"/>
                <w:sz w:val="21"/>
                <w:szCs w:val="21"/>
                <w:highlight w:val="none"/>
                <w:shd w:val="clear" w:color="auto" w:fill="FFFFFF"/>
                <w:lang w:val="en-US" w:eastAsia="zh-CN"/>
              </w:rPr>
              <w:t>100%</w:t>
            </w:r>
          </w:p>
        </w:tc>
      </w:tr>
    </w:tbl>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103" w:name="_Toc26788"/>
      <w:bookmarkStart w:id="104" w:name="_Toc20250"/>
      <w:r>
        <w:rPr>
          <w:rFonts w:hint="eastAsia" w:ascii="Times New Roman" w:hAnsi="Times New Roman" w:eastAsia="方正仿宋_GBK" w:cs="Times New Roman"/>
          <w:color w:val="auto"/>
          <w:kern w:val="0"/>
          <w:sz w:val="32"/>
          <w:szCs w:val="32"/>
          <w:shd w:val="clear" w:color="auto" w:fill="FFFFFF"/>
          <w:lang w:val="en-US" w:eastAsia="zh-CN"/>
        </w:rPr>
        <w:t>1、科技成果转移转化工作分析</w:t>
      </w:r>
      <w:bookmarkEnd w:id="103"/>
      <w:bookmarkEnd w:id="104"/>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推进科技成果产业化平台建设，完成近600项有效专利提案，诞生3.25寸Micro LED显示屏等多项全球首创技术，科技成果转移转化工作完成率为100%。根据评价标准，该指标得100%权重分。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105" w:name="_Toc28674"/>
      <w:bookmarkStart w:id="106" w:name="_Toc1719"/>
      <w:r>
        <w:rPr>
          <w:rFonts w:hint="eastAsia" w:ascii="Times New Roman" w:hAnsi="Times New Roman" w:eastAsia="方正仿宋_GBK" w:cs="Times New Roman"/>
          <w:color w:val="auto"/>
          <w:kern w:val="0"/>
          <w:sz w:val="32"/>
          <w:szCs w:val="32"/>
          <w:shd w:val="clear" w:color="auto" w:fill="FFFFFF"/>
          <w:lang w:val="en-US" w:eastAsia="zh-CN"/>
        </w:rPr>
        <w:t>2、引进科技创新资源、培育科技型企业和高新技术企业工作分析</w:t>
      </w:r>
      <w:bookmarkEnd w:id="105"/>
      <w:bookmarkEnd w:id="106"/>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加快对创新创业服务平台的培育并坚持引育结合，使科技型企业、高新技术企业快速增长。根据评价标准，该指标得100%权重分。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107" w:name="_Toc32399"/>
      <w:bookmarkStart w:id="108" w:name="_Toc18648"/>
      <w:r>
        <w:rPr>
          <w:rFonts w:hint="eastAsia" w:ascii="Times New Roman" w:hAnsi="Times New Roman" w:eastAsia="方正仿宋_GBK" w:cs="Times New Roman"/>
          <w:color w:val="auto"/>
          <w:kern w:val="0"/>
          <w:sz w:val="32"/>
          <w:szCs w:val="32"/>
          <w:shd w:val="clear" w:color="auto" w:fill="FFFFFF"/>
          <w:lang w:val="en-US" w:eastAsia="zh-CN"/>
        </w:rPr>
        <w:t>3、科技创新基地建设工作分析</w:t>
      </w:r>
      <w:bookmarkEnd w:id="107"/>
      <w:bookmarkEnd w:id="108"/>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开展技术创新中心等研发平台建设，使科研条件保障建设、科技资源开放共享工作得到推进。根据评价标准，该指标得100%权重分。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109" w:name="_Toc6167"/>
      <w:bookmarkStart w:id="110" w:name="_Toc19272"/>
      <w:r>
        <w:rPr>
          <w:rFonts w:hint="eastAsia" w:ascii="Times New Roman" w:hAnsi="Times New Roman" w:eastAsia="方正仿宋_GBK" w:cs="Times New Roman"/>
          <w:color w:val="auto"/>
          <w:kern w:val="0"/>
          <w:sz w:val="32"/>
          <w:szCs w:val="32"/>
          <w:shd w:val="clear" w:color="auto" w:fill="FFFFFF"/>
          <w:lang w:val="en-US" w:eastAsia="zh-CN"/>
        </w:rPr>
        <w:t>4、高新技术发展及产业化工作分析</w:t>
      </w:r>
      <w:bookmarkEnd w:id="109"/>
      <w:bookmarkEnd w:id="110"/>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完成2019年度高新技术企业、高新技术产品和市级科技计划项目的奖励资金的兑现，加强了对技术创新能力建设，提升了高新技术产品开发能力。根据评价标准，该指标得100%权重分。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111" w:name="_Toc22381"/>
      <w:bookmarkStart w:id="112" w:name="_Toc26988"/>
      <w:r>
        <w:rPr>
          <w:rFonts w:hint="eastAsia" w:ascii="Times New Roman" w:hAnsi="Times New Roman" w:eastAsia="方正仿宋_GBK" w:cs="Times New Roman"/>
          <w:color w:val="auto"/>
          <w:kern w:val="0"/>
          <w:sz w:val="32"/>
          <w:szCs w:val="32"/>
          <w:shd w:val="clear" w:color="auto" w:fill="FFFFFF"/>
          <w:lang w:val="en-US" w:eastAsia="zh-CN"/>
        </w:rPr>
        <w:t>5、优化创新创业环境分析</w:t>
      </w:r>
      <w:bookmarkEnd w:id="111"/>
      <w:bookmarkEnd w:id="112"/>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科技活动、创新创业等系列活动的开展，有利于推进创新创业良好环境的发展。根据评价标准，该指标得100%权重分。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113" w:name="_Toc2496"/>
      <w:bookmarkStart w:id="114" w:name="_Toc30822"/>
      <w:r>
        <w:rPr>
          <w:rFonts w:hint="eastAsia" w:ascii="Times New Roman" w:hAnsi="Times New Roman" w:eastAsia="方正仿宋_GBK" w:cs="Times New Roman"/>
          <w:color w:val="auto"/>
          <w:kern w:val="0"/>
          <w:sz w:val="32"/>
          <w:szCs w:val="32"/>
          <w:shd w:val="clear" w:color="auto" w:fill="FFFFFF"/>
          <w:lang w:val="en-US" w:eastAsia="zh-CN"/>
        </w:rPr>
        <w:t>6、科技创新人才队伍建设工作分析</w:t>
      </w:r>
      <w:bookmarkEnd w:id="113"/>
      <w:bookmarkEnd w:id="114"/>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招商引进高端人才和科技研发团队，加快对创新创业核心载体建设，发挥创新创业核心载体优势。根据评价标准，该指标得100%权重分。</w:t>
      </w:r>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Times New Roman" w:hAnsi="Times New Roman" w:eastAsia="方正仿宋_GBK" w:cs="Times New Roman"/>
          <w:color w:val="auto"/>
          <w:kern w:val="0"/>
          <w:sz w:val="32"/>
          <w:szCs w:val="32"/>
          <w:shd w:val="clear" w:color="auto" w:fill="FFFFFF"/>
          <w:lang w:val="en-US" w:eastAsia="zh-CN"/>
        </w:rPr>
      </w:pPr>
      <w:bookmarkStart w:id="115" w:name="_Toc16891"/>
      <w:bookmarkStart w:id="116" w:name="_Toc9586"/>
      <w:r>
        <w:rPr>
          <w:rFonts w:hint="eastAsia" w:ascii="Times New Roman" w:hAnsi="Times New Roman" w:eastAsia="方正仿宋_GBK" w:cs="Times New Roman"/>
          <w:color w:val="auto"/>
          <w:kern w:val="0"/>
          <w:sz w:val="32"/>
          <w:szCs w:val="32"/>
          <w:shd w:val="clear" w:color="auto" w:fill="FFFFFF"/>
          <w:lang w:val="en-US" w:eastAsia="zh-CN"/>
        </w:rPr>
        <w:t>7、科技项目计划与实施工作分析</w:t>
      </w:r>
      <w:bookmarkEnd w:id="115"/>
      <w:bookmarkEnd w:id="116"/>
    </w:p>
    <w:p>
      <w:pPr>
        <w:keepNext w:val="0"/>
        <w:keepLines w:val="0"/>
        <w:pageBreakBefore w:val="0"/>
        <w:widowControl/>
        <w:shd w:val="clear" w:color="auto" w:fill="FFFFFF"/>
        <w:kinsoku/>
        <w:wordWrap/>
        <w:overflowPunct/>
        <w:topLinePunct w:val="0"/>
        <w:autoSpaceDE/>
        <w:autoSpaceDN/>
        <w:bidi w:val="0"/>
        <w:adjustRightInd w:val="0"/>
        <w:snapToGrid w:val="0"/>
        <w:spacing w:after="0" w:line="560" w:lineRule="exact"/>
        <w:ind w:left="0" w:right="0" w:firstLine="640" w:firstLineChars="200"/>
        <w:jc w:val="both"/>
        <w:textAlignment w:val="auto"/>
        <w:rPr>
          <w:rFonts w:hint="eastAsia" w:ascii="方正仿宋_GBK" w:hAnsi="方正仿宋_GBK" w:eastAsia="方正仿宋_GBK" w:cs="方正仿宋_GBK"/>
          <w:color w:val="auto"/>
          <w:kern w:val="0"/>
          <w:sz w:val="32"/>
          <w:szCs w:val="32"/>
          <w:shd w:val="clear" w:color="auto" w:fill="FFFFFF"/>
          <w:lang w:val="en-US" w:eastAsia="zh-CN"/>
        </w:rPr>
      </w:pPr>
      <w:r>
        <w:rPr>
          <w:rFonts w:hint="eastAsia" w:ascii="Times New Roman" w:hAnsi="Times New Roman" w:eastAsia="方正仿宋_GBK" w:cs="Times New Roman"/>
          <w:color w:val="auto"/>
          <w:kern w:val="0"/>
          <w:sz w:val="32"/>
          <w:szCs w:val="32"/>
          <w:shd w:val="clear" w:color="auto" w:fill="FFFFFF"/>
          <w:lang w:val="en-US" w:eastAsia="zh-CN"/>
        </w:rPr>
        <w:t>完成对2020年社会民生领域科技计划项目科研，保障了人居环境，减少了对环境的污染。根据评价标准，该指标得100%权重分。</w:t>
      </w:r>
    </w:p>
    <w:p>
      <w:pPr>
        <w:keepNext w:val="0"/>
        <w:keepLines w:val="0"/>
        <w:pageBreakBefore w:val="0"/>
        <w:kinsoku/>
        <w:wordWrap/>
        <w:overflowPunct/>
        <w:topLinePunct w:val="0"/>
        <w:bidi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br w:type="page"/>
      </w:r>
    </w:p>
    <w:p>
      <w:pPr>
        <w:keepNext w:val="0"/>
        <w:keepLines w:val="0"/>
        <w:pageBreakBefore w:val="0"/>
        <w:kinsoku/>
        <w:wordWrap/>
        <w:overflowPunct/>
        <w:topLinePunct w:val="0"/>
        <w:bidi w:val="0"/>
        <w:spacing w:line="560" w:lineRule="exact"/>
        <w:ind w:firstLine="640" w:firstLineChars="200"/>
        <w:textAlignment w:val="auto"/>
        <w:outlineLvl w:val="1"/>
        <w:rPr>
          <w:rFonts w:hint="eastAsia" w:eastAsia="方正仿宋_GBK"/>
          <w:sz w:val="32"/>
          <w:szCs w:val="32"/>
        </w:rPr>
      </w:pPr>
      <w:bookmarkStart w:id="117" w:name="_Toc17247"/>
      <w:bookmarkStart w:id="118" w:name="_Toc15759"/>
      <w:bookmarkStart w:id="119" w:name="_Toc21894"/>
      <w:bookmarkStart w:id="120" w:name="_Toc4425"/>
      <w:bookmarkStart w:id="121" w:name="_Toc7008"/>
      <w:bookmarkStart w:id="122" w:name="_Toc25911"/>
      <w:r>
        <w:rPr>
          <w:rFonts w:hint="eastAsia" w:eastAsia="方正仿宋_GBK"/>
          <w:sz w:val="32"/>
          <w:szCs w:val="32"/>
        </w:rPr>
        <w:t>（四）效益评价情况</w:t>
      </w:r>
      <w:bookmarkEnd w:id="117"/>
      <w:bookmarkEnd w:id="118"/>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效益类指标权重27分，实际得分25.5分。具体得分情况如表 4 所示。</w:t>
      </w:r>
    </w:p>
    <w:p>
      <w:pPr>
        <w:keepNext w:val="0"/>
        <w:keepLines w:val="0"/>
        <w:pageBreakBefore w:val="0"/>
        <w:widowControl w:val="0"/>
        <w:tabs>
          <w:tab w:val="left" w:pos="861"/>
        </w:tabs>
        <w:kinsoku/>
        <w:wordWrap/>
        <w:overflowPunct/>
        <w:topLinePunct w:val="0"/>
        <w:autoSpaceDE w:val="0"/>
        <w:autoSpaceDN w:val="0"/>
        <w:bidi w:val="0"/>
        <w:adjustRightInd/>
        <w:snapToGrid/>
        <w:spacing w:before="20" w:line="560" w:lineRule="exact"/>
        <w:ind w:left="0" w:leftChars="0" w:right="0" w:rightChars="0" w:firstLine="560" w:firstLineChars="200"/>
        <w:jc w:val="center"/>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Times New Roman" w:hAnsi="Times New Roman" w:eastAsia="方正仿宋_GBK" w:cs="Times New Roman"/>
          <w:b w:val="0"/>
          <w:color w:val="auto"/>
          <w:kern w:val="0"/>
          <w:sz w:val="28"/>
          <w:szCs w:val="28"/>
          <w:shd w:val="clear" w:color="auto" w:fill="FFFFFF"/>
          <w:lang w:val="en-US" w:eastAsia="zh-CN"/>
        </w:rPr>
        <w:t>表 4： 效益类指标得分情况</w:t>
      </w:r>
    </w:p>
    <w:tbl>
      <w:tblPr>
        <w:tblStyle w:val="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37"/>
        <w:gridCol w:w="1560"/>
        <w:gridCol w:w="1557"/>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187" w:type="pct"/>
            <w:shd w:val="clear" w:color="auto" w:fill="auto"/>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三级指标</w:t>
            </w:r>
          </w:p>
        </w:tc>
        <w:tc>
          <w:tcPr>
            <w:tcW w:w="938" w:type="pct"/>
            <w:shd w:val="clear" w:color="auto" w:fill="auto"/>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权重</w:t>
            </w:r>
          </w:p>
        </w:tc>
        <w:tc>
          <w:tcPr>
            <w:tcW w:w="936" w:type="pct"/>
            <w:shd w:val="clear" w:color="auto" w:fill="auto"/>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得分</w:t>
            </w:r>
          </w:p>
        </w:tc>
        <w:tc>
          <w:tcPr>
            <w:tcW w:w="937" w:type="pct"/>
            <w:shd w:val="clear" w:color="auto" w:fill="auto"/>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得分率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2187" w:type="pct"/>
            <w:vAlign w:val="center"/>
          </w:tcPr>
          <w:p>
            <w:pPr>
              <w:keepNext w:val="0"/>
              <w:keepLines w:val="0"/>
              <w:pageBreakBefore w:val="0"/>
              <w:widowControl/>
              <w:shd w:val="clear" w:color="auto" w:fill="FFFFFF"/>
              <w:kinsoku/>
              <w:wordWrap/>
              <w:overflowPunct/>
              <w:topLinePunct w:val="0"/>
              <w:autoSpaceDE/>
              <w:autoSpaceDN/>
              <w:bidi w:val="0"/>
              <w:adjustRightInd w:val="0"/>
              <w:snapToGrid w:val="0"/>
              <w:spacing w:before="0" w:after="0" w:line="560" w:lineRule="exact"/>
              <w:ind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促进经济发展</w:t>
            </w:r>
          </w:p>
        </w:tc>
        <w:tc>
          <w:tcPr>
            <w:tcW w:w="938" w:type="pct"/>
            <w:vAlign w:val="center"/>
          </w:tcPr>
          <w:p>
            <w:pPr>
              <w:pStyle w:val="14"/>
              <w:keepNext w:val="0"/>
              <w:keepLines w:val="0"/>
              <w:pageBreakBefore w:val="0"/>
              <w:kinsoku/>
              <w:wordWrap/>
              <w:overflowPunct/>
              <w:topLinePunct w:val="0"/>
              <w:bidi w:val="0"/>
              <w:spacing w:before="25" w:line="560" w:lineRule="exact"/>
              <w:ind w:left="5"/>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7</w:t>
            </w:r>
          </w:p>
        </w:tc>
        <w:tc>
          <w:tcPr>
            <w:tcW w:w="936" w:type="pct"/>
            <w:vAlign w:val="center"/>
          </w:tcPr>
          <w:p>
            <w:pPr>
              <w:pStyle w:val="14"/>
              <w:keepNext w:val="0"/>
              <w:keepLines w:val="0"/>
              <w:pageBreakBefore w:val="0"/>
              <w:kinsoku/>
              <w:wordWrap/>
              <w:overflowPunct/>
              <w:topLinePunct w:val="0"/>
              <w:bidi w:val="0"/>
              <w:spacing w:before="25" w:line="560" w:lineRule="exact"/>
              <w:ind w:left="480" w:right="47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6.5</w:t>
            </w:r>
          </w:p>
        </w:tc>
        <w:tc>
          <w:tcPr>
            <w:tcW w:w="937" w:type="pct"/>
            <w:vAlign w:val="center"/>
          </w:tcPr>
          <w:p>
            <w:pPr>
              <w:pStyle w:val="14"/>
              <w:keepNext w:val="0"/>
              <w:keepLines w:val="0"/>
              <w:pageBreakBefore w:val="0"/>
              <w:kinsoku/>
              <w:wordWrap/>
              <w:overflowPunct/>
              <w:topLinePunct w:val="0"/>
              <w:bidi w:val="0"/>
              <w:spacing w:before="25" w:line="560" w:lineRule="exact"/>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92.9%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87"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提升人居环境，减少对环境的污染</w:t>
            </w:r>
          </w:p>
        </w:tc>
        <w:tc>
          <w:tcPr>
            <w:tcW w:w="938"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7</w:t>
            </w:r>
          </w:p>
        </w:tc>
        <w:tc>
          <w:tcPr>
            <w:tcW w:w="936"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6.5</w:t>
            </w:r>
          </w:p>
        </w:tc>
        <w:tc>
          <w:tcPr>
            <w:tcW w:w="937"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92.9%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87"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提高对双创人才的吸引力，增加创业就业机会</w:t>
            </w:r>
          </w:p>
        </w:tc>
        <w:tc>
          <w:tcPr>
            <w:tcW w:w="938"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7</w:t>
            </w:r>
          </w:p>
        </w:tc>
        <w:tc>
          <w:tcPr>
            <w:tcW w:w="936"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6.5</w:t>
            </w:r>
          </w:p>
        </w:tc>
        <w:tc>
          <w:tcPr>
            <w:tcW w:w="937"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92.9%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87"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社会群众及企业对相关工作和政策满意度</w:t>
            </w:r>
          </w:p>
        </w:tc>
        <w:tc>
          <w:tcPr>
            <w:tcW w:w="938"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6</w:t>
            </w:r>
          </w:p>
        </w:tc>
        <w:tc>
          <w:tcPr>
            <w:tcW w:w="936"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6</w:t>
            </w:r>
          </w:p>
        </w:tc>
        <w:tc>
          <w:tcPr>
            <w:tcW w:w="937"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2187"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效益类指标合计</w:t>
            </w:r>
          </w:p>
        </w:tc>
        <w:tc>
          <w:tcPr>
            <w:tcW w:w="938"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27</w:t>
            </w:r>
          </w:p>
        </w:tc>
        <w:tc>
          <w:tcPr>
            <w:tcW w:w="936"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25.5</w:t>
            </w:r>
          </w:p>
        </w:tc>
        <w:tc>
          <w:tcPr>
            <w:tcW w:w="937" w:type="pct"/>
            <w:vAlign w:val="center"/>
          </w:tcPr>
          <w:p>
            <w:pPr>
              <w:pStyle w:val="14"/>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Times New Roman" w:hAnsi="Times New Roman" w:eastAsia="方正仿宋_GBK" w:cs="Times New Roman"/>
                <w:b w:val="0"/>
                <w:color w:val="auto"/>
                <w:kern w:val="0"/>
                <w:sz w:val="21"/>
                <w:szCs w:val="21"/>
                <w:shd w:val="clear" w:color="auto" w:fill="FFFFFF"/>
                <w:lang w:val="en-US" w:eastAsia="zh-CN" w:bidi="zh-CN"/>
              </w:rPr>
            </w:pPr>
            <w:r>
              <w:rPr>
                <w:rFonts w:hint="eastAsia" w:ascii="Times New Roman" w:hAnsi="Times New Roman" w:eastAsia="方正仿宋_GBK" w:cs="Times New Roman"/>
                <w:b w:val="0"/>
                <w:color w:val="auto"/>
                <w:kern w:val="0"/>
                <w:sz w:val="21"/>
                <w:szCs w:val="21"/>
                <w:shd w:val="clear" w:color="auto" w:fill="FFFFFF"/>
                <w:lang w:val="en-US" w:eastAsia="zh-CN" w:bidi="zh-CN"/>
              </w:rPr>
              <w:t>94.4%</w:t>
            </w:r>
          </w:p>
        </w:tc>
      </w:tr>
    </w:tbl>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after="0" w:line="560" w:lineRule="exact"/>
        <w:ind w:leftChars="0" w:right="0" w:rightChars="0" w:firstLine="640" w:firstLineChars="200"/>
        <w:jc w:val="both"/>
        <w:textAlignment w:val="auto"/>
        <w:outlineLvl w:val="9"/>
        <w:rPr>
          <w:rFonts w:hint="eastAsia" w:eastAsia="方正仿宋_GBK" w:cs="Times New Roman"/>
          <w:color w:val="auto"/>
          <w:kern w:val="0"/>
          <w:sz w:val="32"/>
          <w:szCs w:val="32"/>
          <w:highlight w:val="none"/>
          <w:shd w:val="clear" w:color="auto" w:fill="FFFFFF"/>
          <w:lang w:val="en-US" w:eastAsia="zh-CN"/>
        </w:rPr>
      </w:pPr>
      <w:bookmarkStart w:id="123" w:name="_Toc8126"/>
      <w:bookmarkStart w:id="124" w:name="_Toc10815"/>
      <w:r>
        <w:rPr>
          <w:rFonts w:hint="eastAsia" w:eastAsia="方正仿宋_GBK" w:cs="Times New Roman"/>
          <w:color w:val="auto"/>
          <w:kern w:val="0"/>
          <w:sz w:val="32"/>
          <w:szCs w:val="32"/>
          <w:highlight w:val="none"/>
          <w:shd w:val="clear" w:color="auto" w:fill="FFFFFF"/>
          <w:lang w:val="en-US" w:eastAsia="zh-CN"/>
        </w:rPr>
        <w:t>1、促进经济发展分析</w:t>
      </w:r>
      <w:bookmarkEnd w:id="123"/>
      <w:bookmarkEnd w:id="124"/>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after="0" w:line="560" w:lineRule="exact"/>
        <w:ind w:leftChars="0" w:right="0" w:rightChars="0" w:firstLine="640" w:firstLineChars="200"/>
        <w:jc w:val="both"/>
        <w:textAlignment w:val="auto"/>
        <w:outlineLvl w:val="9"/>
        <w:rPr>
          <w:rFonts w:hint="eastAsia" w:eastAsia="方正仿宋_GBK" w:cs="Times New Roman"/>
          <w:color w:val="auto"/>
          <w:kern w:val="0"/>
          <w:sz w:val="32"/>
          <w:szCs w:val="32"/>
          <w:highlight w:val="none"/>
          <w:shd w:val="clear" w:color="auto" w:fill="FFFFFF"/>
          <w:lang w:val="en-US" w:eastAsia="zh-CN"/>
        </w:rPr>
      </w:pPr>
      <w:r>
        <w:rPr>
          <w:rFonts w:hint="eastAsia" w:eastAsia="方正仿宋_GBK" w:cs="Times New Roman"/>
          <w:color w:val="auto"/>
          <w:kern w:val="0"/>
          <w:sz w:val="32"/>
          <w:szCs w:val="32"/>
          <w:highlight w:val="none"/>
          <w:shd w:val="clear" w:color="auto" w:fill="FFFFFF"/>
          <w:lang w:val="en-US" w:eastAsia="zh-CN"/>
        </w:rPr>
        <w:t>引进研发中心、培育众创空间和创新服务机构，组建孵化器等工作，招商引进高端人才和科技研发团队，促进招商引资地区经济快速、全面、协调发展，基本达成预期效益。根据评价标准，该项得92.9%权重分。</w:t>
      </w:r>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after="0" w:line="560" w:lineRule="exact"/>
        <w:ind w:leftChars="0" w:right="0" w:rightChars="0" w:firstLine="640" w:firstLineChars="200"/>
        <w:jc w:val="both"/>
        <w:textAlignment w:val="auto"/>
        <w:outlineLvl w:val="9"/>
        <w:rPr>
          <w:rFonts w:hint="eastAsia" w:eastAsia="方正仿宋_GBK" w:cs="Times New Roman"/>
          <w:color w:val="auto"/>
          <w:kern w:val="0"/>
          <w:sz w:val="32"/>
          <w:szCs w:val="32"/>
          <w:highlight w:val="none"/>
          <w:shd w:val="clear" w:color="auto" w:fill="FFFFFF"/>
          <w:lang w:val="en-US" w:eastAsia="zh-CN"/>
        </w:rPr>
      </w:pPr>
      <w:bookmarkStart w:id="125" w:name="_Toc14386"/>
      <w:bookmarkStart w:id="126" w:name="_Toc29155"/>
      <w:r>
        <w:rPr>
          <w:rFonts w:hint="eastAsia" w:eastAsia="方正仿宋_GBK" w:cs="Times New Roman"/>
          <w:color w:val="auto"/>
          <w:kern w:val="0"/>
          <w:sz w:val="32"/>
          <w:szCs w:val="32"/>
          <w:highlight w:val="none"/>
          <w:shd w:val="clear" w:color="auto" w:fill="FFFFFF"/>
          <w:lang w:val="en-US" w:eastAsia="zh-CN"/>
        </w:rPr>
        <w:t>2、提升人居环境，减少对环境的污染分析</w:t>
      </w:r>
      <w:bookmarkEnd w:id="125"/>
      <w:bookmarkEnd w:id="126"/>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after="0" w:line="560" w:lineRule="exact"/>
        <w:ind w:leftChars="0" w:right="0" w:rightChars="0" w:firstLine="640" w:firstLineChars="200"/>
        <w:jc w:val="both"/>
        <w:textAlignment w:val="auto"/>
        <w:outlineLvl w:val="9"/>
        <w:rPr>
          <w:rFonts w:hint="eastAsia" w:eastAsia="方正仿宋_GBK" w:cs="Times New Roman"/>
          <w:color w:val="auto"/>
          <w:kern w:val="0"/>
          <w:sz w:val="32"/>
          <w:szCs w:val="32"/>
          <w:highlight w:val="none"/>
          <w:shd w:val="clear" w:color="auto" w:fill="FFFFFF"/>
          <w:lang w:val="en-US" w:eastAsia="zh-CN"/>
        </w:rPr>
      </w:pPr>
      <w:r>
        <w:rPr>
          <w:rFonts w:hint="eastAsia" w:eastAsia="方正仿宋_GBK" w:cs="Times New Roman"/>
          <w:color w:val="auto"/>
          <w:kern w:val="0"/>
          <w:sz w:val="32"/>
          <w:szCs w:val="32"/>
          <w:highlight w:val="none"/>
          <w:shd w:val="clear" w:color="auto" w:fill="FFFFFF"/>
          <w:lang w:val="en-US" w:eastAsia="zh-CN"/>
        </w:rPr>
        <w:t>“养鸡场噪声与粉尘控制技术探索与应用”项目的研究减少养鸡场噪声、粉尘对环境的污染，基本达成预期的环境优化。根据评价标准，该项得92.9%权重分。</w:t>
      </w:r>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after="0" w:line="560" w:lineRule="exact"/>
        <w:ind w:leftChars="0" w:right="0" w:rightChars="0" w:firstLine="640" w:firstLineChars="200"/>
        <w:jc w:val="both"/>
        <w:textAlignment w:val="auto"/>
        <w:outlineLvl w:val="9"/>
        <w:rPr>
          <w:rFonts w:hint="eastAsia" w:eastAsia="方正仿宋_GBK" w:cs="Times New Roman"/>
          <w:color w:val="auto"/>
          <w:kern w:val="0"/>
          <w:sz w:val="32"/>
          <w:szCs w:val="32"/>
          <w:highlight w:val="none"/>
          <w:shd w:val="clear" w:color="auto" w:fill="FFFFFF"/>
          <w:lang w:val="en-US" w:eastAsia="zh-CN"/>
        </w:rPr>
      </w:pPr>
      <w:bookmarkStart w:id="127" w:name="_Toc14479"/>
      <w:bookmarkStart w:id="128" w:name="_Toc11129"/>
      <w:r>
        <w:rPr>
          <w:rFonts w:hint="eastAsia" w:eastAsia="方正仿宋_GBK" w:cs="Times New Roman"/>
          <w:color w:val="auto"/>
          <w:kern w:val="0"/>
          <w:sz w:val="32"/>
          <w:szCs w:val="32"/>
          <w:highlight w:val="none"/>
          <w:shd w:val="clear" w:color="auto" w:fill="FFFFFF"/>
          <w:lang w:val="en-US" w:eastAsia="zh-CN"/>
        </w:rPr>
        <w:t>3、提高对双创人才的吸引力，增加创业就业机会分析</w:t>
      </w:r>
      <w:bookmarkEnd w:id="127"/>
      <w:bookmarkEnd w:id="128"/>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after="0" w:line="560" w:lineRule="exact"/>
        <w:ind w:leftChars="0" w:right="0" w:rightChars="0" w:firstLine="640" w:firstLineChars="200"/>
        <w:jc w:val="both"/>
        <w:textAlignment w:val="auto"/>
        <w:outlineLvl w:val="9"/>
        <w:rPr>
          <w:rFonts w:hint="eastAsia" w:eastAsia="方正仿宋_GBK" w:cs="Times New Roman"/>
          <w:color w:val="auto"/>
          <w:kern w:val="0"/>
          <w:sz w:val="32"/>
          <w:szCs w:val="32"/>
          <w:highlight w:val="none"/>
          <w:shd w:val="clear" w:color="auto" w:fill="FFFFFF"/>
          <w:lang w:val="en-US" w:eastAsia="zh-CN"/>
        </w:rPr>
      </w:pPr>
      <w:r>
        <w:rPr>
          <w:rFonts w:hint="eastAsia" w:eastAsia="方正仿宋_GBK" w:cs="Times New Roman"/>
          <w:color w:val="auto"/>
          <w:kern w:val="0"/>
          <w:sz w:val="32"/>
          <w:szCs w:val="32"/>
          <w:highlight w:val="none"/>
          <w:shd w:val="clear" w:color="auto" w:fill="FFFFFF"/>
          <w:lang w:val="en-US" w:eastAsia="zh-CN"/>
        </w:rPr>
        <w:t>通过科技活动、创新创业等系列活动的开展，提高了对双创人才的吸引力，创业就业机会基本达成预期。根据评价标准，该项得92.9%权重分。</w:t>
      </w:r>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after="0" w:line="560" w:lineRule="exact"/>
        <w:ind w:leftChars="0" w:right="0" w:rightChars="0" w:firstLine="640" w:firstLineChars="200"/>
        <w:jc w:val="both"/>
        <w:textAlignment w:val="auto"/>
        <w:outlineLvl w:val="9"/>
        <w:rPr>
          <w:rFonts w:hint="eastAsia" w:eastAsia="方正仿宋_GBK" w:cs="Times New Roman"/>
          <w:color w:val="auto"/>
          <w:kern w:val="0"/>
          <w:sz w:val="32"/>
          <w:szCs w:val="32"/>
          <w:highlight w:val="none"/>
          <w:shd w:val="clear" w:color="auto" w:fill="FFFFFF"/>
          <w:lang w:val="en-US" w:eastAsia="zh-CN"/>
        </w:rPr>
      </w:pPr>
      <w:bookmarkStart w:id="129" w:name="_Toc26469"/>
      <w:bookmarkStart w:id="130" w:name="_Toc8953"/>
      <w:r>
        <w:rPr>
          <w:rFonts w:hint="eastAsia" w:eastAsia="方正仿宋_GBK" w:cs="Times New Roman"/>
          <w:color w:val="auto"/>
          <w:kern w:val="0"/>
          <w:sz w:val="32"/>
          <w:szCs w:val="32"/>
          <w:highlight w:val="none"/>
          <w:shd w:val="clear" w:color="auto" w:fill="FFFFFF"/>
          <w:lang w:val="en-US" w:eastAsia="zh-CN"/>
        </w:rPr>
        <w:t>4、社会群众及企业对相关工作和政策满意度分析</w:t>
      </w:r>
      <w:bookmarkEnd w:id="129"/>
      <w:bookmarkEnd w:id="130"/>
    </w:p>
    <w:p>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after="0" w:line="560" w:lineRule="exact"/>
        <w:ind w:leftChars="0" w:right="0" w:rightChars="0" w:firstLine="640" w:firstLineChars="200"/>
        <w:jc w:val="both"/>
        <w:textAlignment w:val="auto"/>
        <w:outlineLvl w:val="9"/>
        <w:rPr>
          <w:rFonts w:hint="eastAsia" w:ascii="仿宋" w:hAnsi="仿宋" w:eastAsia="仿宋" w:cs="仿宋"/>
          <w:b w:val="0"/>
          <w:color w:val="auto"/>
          <w:kern w:val="0"/>
          <w:sz w:val="32"/>
          <w:szCs w:val="32"/>
          <w:highlight w:val="none"/>
          <w:shd w:val="clear" w:color="auto" w:fill="FFFFFF"/>
          <w:lang w:val="en-US" w:eastAsia="zh-CN" w:bidi="zh-CN"/>
        </w:rPr>
      </w:pPr>
      <w:r>
        <w:rPr>
          <w:rFonts w:hint="eastAsia" w:eastAsia="方正仿宋_GBK" w:cs="Times New Roman"/>
          <w:color w:val="auto"/>
          <w:kern w:val="0"/>
          <w:sz w:val="32"/>
          <w:szCs w:val="32"/>
          <w:highlight w:val="none"/>
          <w:shd w:val="clear" w:color="auto" w:fill="FFFFFF"/>
          <w:lang w:val="en-US" w:eastAsia="zh-CN"/>
        </w:rPr>
        <w:t>社会群众及企业对相关工作和政策满意度达到90%以上。根据评价标准，该项得100%权重分。</w:t>
      </w:r>
    </w:p>
    <w:p>
      <w:pPr>
        <w:keepNext w:val="0"/>
        <w:keepLines w:val="0"/>
        <w:pageBreakBefore w:val="0"/>
        <w:numPr>
          <w:ilvl w:val="0"/>
          <w:numId w:val="0"/>
        </w:numPr>
        <w:kinsoku/>
        <w:wordWrap/>
        <w:overflowPunct/>
        <w:topLinePunct w:val="0"/>
        <w:bidi w:val="0"/>
        <w:spacing w:line="560" w:lineRule="exact"/>
        <w:textAlignment w:val="auto"/>
        <w:outlineLvl w:val="0"/>
        <w:rPr>
          <w:rFonts w:hint="eastAsia" w:ascii="黑体" w:hAnsi="黑体" w:eastAsia="黑体" w:cs="黑体"/>
          <w:b w:val="0"/>
          <w:bCs w:val="0"/>
          <w:sz w:val="32"/>
          <w:szCs w:val="32"/>
          <w:lang w:eastAsia="zh-CN"/>
        </w:rPr>
      </w:pPr>
      <w:bookmarkStart w:id="131" w:name="_Toc32180"/>
      <w:bookmarkStart w:id="132" w:name="_Toc20439"/>
      <w:bookmarkStart w:id="133" w:name="_Toc27399"/>
      <w:bookmarkStart w:id="134" w:name="_Toc1834"/>
      <w:bookmarkStart w:id="135" w:name="_Toc17887"/>
      <w:bookmarkStart w:id="136" w:name="_Toc5183"/>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rPr>
        <w:t>主要经验及做法</w:t>
      </w:r>
      <w:bookmarkEnd w:id="131"/>
      <w:bookmarkEnd w:id="132"/>
      <w:bookmarkEnd w:id="133"/>
      <w:bookmarkEnd w:id="134"/>
      <w:bookmarkEnd w:id="135"/>
      <w:bookmarkEnd w:id="136"/>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outlineLvl w:val="1"/>
        <w:rPr>
          <w:rFonts w:hint="eastAsia" w:eastAsia="方正仿宋_GBK" w:cs="Times New Roman"/>
          <w:b w:val="0"/>
          <w:color w:val="auto"/>
          <w:kern w:val="0"/>
          <w:sz w:val="32"/>
          <w:szCs w:val="32"/>
          <w:highlight w:val="none"/>
          <w:shd w:val="clear" w:color="auto" w:fill="FFFFFF"/>
          <w:lang w:val="en-US" w:eastAsia="zh-CN"/>
        </w:rPr>
      </w:pPr>
      <w:bookmarkStart w:id="137" w:name="_Toc9628"/>
      <w:bookmarkStart w:id="138" w:name="_Toc5934"/>
      <w:bookmarkStart w:id="139" w:name="_Toc32381"/>
      <w:r>
        <w:rPr>
          <w:rFonts w:hint="eastAsia" w:eastAsia="方正仿宋_GBK" w:cs="Times New Roman"/>
          <w:b w:val="0"/>
          <w:color w:val="auto"/>
          <w:kern w:val="0"/>
          <w:sz w:val="32"/>
          <w:szCs w:val="32"/>
          <w:highlight w:val="none"/>
          <w:shd w:val="clear" w:color="auto" w:fill="FFFFFF"/>
          <w:lang w:val="en-US" w:eastAsia="zh-CN"/>
        </w:rPr>
        <w:t>（一）西部（重庆）科学城（璧山）建设取得新进展</w:t>
      </w:r>
      <w:bookmarkEnd w:id="137"/>
      <w:bookmarkEnd w:id="138"/>
      <w:bookmarkEnd w:id="139"/>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1、是西部（重庆）科学城（璧山）规划抓紧编制。西部（重庆）科学城（璧山）将规划建设“一廊四组团”的空间结构，“一廊”即依托黛山大道形成科创走廊，“四组团”即科技创新小镇组团、璧泉组团、青杠—来凤组团、丁家组团。正在开展西部（重庆）科学城（璧山）产业规划、十四五科技创新规划、科技创新小镇规划、西部（国际）数字经济产业生态区等专项规划编制工作。</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2、是创新创业核心载体加快建设。大学城（璧山）双创生态社区首期10万平方米投用，建成科研、中试大楼，配置了电子类检验检测仪器等设备，建成无线电能传输检测等3个实验室。西部（重庆）科技创新小镇、西部（国际）数字经济产业生态区、重庆产教融合生态区（大学城西区）相继开工，科创小镇展示中心、路网等建设进展顺利，签订了国科量子、循环经济产业园等项目9个，重庆中医药学院已开始建设。</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outlineLvl w:val="1"/>
        <w:rPr>
          <w:rFonts w:hint="eastAsia" w:eastAsia="方正仿宋_GBK" w:cs="Times New Roman"/>
          <w:b w:val="0"/>
          <w:color w:val="auto"/>
          <w:kern w:val="0"/>
          <w:sz w:val="32"/>
          <w:szCs w:val="32"/>
          <w:highlight w:val="none"/>
          <w:shd w:val="clear" w:color="auto" w:fill="FFFFFF"/>
          <w:lang w:val="en-US" w:eastAsia="zh-CN"/>
        </w:rPr>
      </w:pPr>
      <w:bookmarkStart w:id="140" w:name="_Toc16960"/>
      <w:bookmarkStart w:id="141" w:name="_Toc8797"/>
      <w:bookmarkStart w:id="142" w:name="_Toc4076"/>
      <w:r>
        <w:rPr>
          <w:rFonts w:hint="eastAsia" w:eastAsia="方正仿宋_GBK" w:cs="Times New Roman"/>
          <w:b w:val="0"/>
          <w:color w:val="auto"/>
          <w:kern w:val="0"/>
          <w:sz w:val="32"/>
          <w:szCs w:val="32"/>
          <w:highlight w:val="none"/>
          <w:shd w:val="clear" w:color="auto" w:fill="FFFFFF"/>
          <w:lang w:val="en-US" w:eastAsia="zh-CN"/>
        </w:rPr>
        <w:t>（二）科技创新平台持续夯实</w:t>
      </w:r>
      <w:bookmarkEnd w:id="140"/>
      <w:bookmarkEnd w:id="141"/>
      <w:bookmarkEnd w:id="142"/>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1、是科技成果产业化平台强力推进。重庆高新技术产业研究院发挥科技改革试验田作用，探索了一条科技成果转移转化新路径，引入柔性薄膜、中创鼎新EPET等科技项目，成功孵化了平创半导体等10家新科技企业，获取意向订单超1亿元，在孵项目36个；重庆康佳光电技术研究院建成投入使用，已汇集行业专家300余人，完成近600项有效专利提案，诞生3.25寸Micro LED显示屏等多项全球首创技术；牵手比亚迪建设全球电池总部和动力电池研究院，具有全球领先水平的“刀片电池”实现量产；重庆大学璧山先进技术研究院在璧注册登记类事业单位，吸引30余个科研团队落户，正在抓紧装修。</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2、是创新创业服务平台加快培育。科技学院创新加速器完成装修，近期将正式运营；重庆数字产业化孵化园完成秀湖水街数字化直播间装修并正式运营；与中关村意谷（北京）科技服务有限公司共建智创中心项目，已完成项目选址及合作协议拟定；“璧山高新区新加坡科技创新离岸孵化中心”挂牌成立并正式运营；培育力合清创、“创智工场”等3个平台申报市级孵化器；拥有市级及以上众创空间、孵化器8个。</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3、是技术创新研发平台发展迅速。新认定康佳光电技术研究院等市级新型研发机构4个，黄葛树智能传感器研究院等区级研发机构6个，区级及以上研发机构累计达到172个。新注册成立研究院5家，累计达到24家。指导红宇、康佳、青山等企业申报市级重点实验室，组织高新技术产业研究院等7家企业申报博士后工作站。</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outlineLvl w:val="1"/>
        <w:rPr>
          <w:rFonts w:hint="eastAsia" w:eastAsia="方正仿宋_GBK" w:cs="Times New Roman"/>
          <w:b w:val="0"/>
          <w:color w:val="auto"/>
          <w:kern w:val="0"/>
          <w:sz w:val="32"/>
          <w:szCs w:val="32"/>
          <w:highlight w:val="none"/>
          <w:shd w:val="clear" w:color="auto" w:fill="FFFFFF"/>
          <w:lang w:val="en-US" w:eastAsia="zh-CN"/>
        </w:rPr>
      </w:pPr>
      <w:bookmarkStart w:id="143" w:name="_Toc28617"/>
      <w:bookmarkStart w:id="144" w:name="_Toc31090"/>
      <w:bookmarkStart w:id="145" w:name="_Toc643"/>
      <w:r>
        <w:rPr>
          <w:rFonts w:hint="eastAsia" w:eastAsia="方正仿宋_GBK" w:cs="Times New Roman"/>
          <w:b w:val="0"/>
          <w:color w:val="auto"/>
          <w:kern w:val="0"/>
          <w:sz w:val="32"/>
          <w:szCs w:val="32"/>
          <w:highlight w:val="none"/>
          <w:shd w:val="clear" w:color="auto" w:fill="FFFFFF"/>
          <w:lang w:val="en-US" w:eastAsia="zh-CN"/>
        </w:rPr>
        <w:t>（三）企业创新主体加快培育</w:t>
      </w:r>
      <w:bookmarkEnd w:id="143"/>
      <w:bookmarkEnd w:id="144"/>
      <w:bookmarkEnd w:id="145"/>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坚持引育结合，科技型企业、高新技术企业快速增长。新培育入库科技型企业234家，累计达到723家，新培育申报高新技术企业154家，有效期内高新技术企业预计超过220家，兑现科技创新奖补等政策1894万元，新增69家企业获知识价值信用贷款1.41亿元，累计达到208家、3.64亿元。组织12家企业申报重庆英才·创新创业领军人才项目，其中2名人才、4个团队拟入选，已引进10名博士研究生和100余名硕士研究生，通过“一站式”服务平台，对人才在医疗保健、子女入学等方面开展“一对一”服务；青山、蓝黛获2019年度重庆市科技进步一等奖，建研科之杰获三等奖；盾之王、成峰水务获科技部重点专项支持共150万元，康佳获2020年重庆市技术创新与应用发展专项面上项目立项支持；下发新冠肺炎防控、农业农村、社会民生区级科研项目申报通知，对13项新冠肺炎项目共给予59万资金支持，申报农业农村项目10个、社会民生项目32个，正在完善现代工业、科技服务业领域的项目申报指南。</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outlineLvl w:val="1"/>
        <w:rPr>
          <w:rFonts w:hint="eastAsia" w:eastAsia="方正仿宋_GBK" w:cs="Times New Roman"/>
          <w:b w:val="0"/>
          <w:color w:val="auto"/>
          <w:kern w:val="0"/>
          <w:sz w:val="32"/>
          <w:szCs w:val="32"/>
          <w:highlight w:val="none"/>
          <w:shd w:val="clear" w:color="auto" w:fill="FFFFFF"/>
          <w:lang w:val="en-US" w:eastAsia="zh-CN"/>
        </w:rPr>
      </w:pPr>
      <w:bookmarkStart w:id="146" w:name="_Toc3417"/>
      <w:bookmarkStart w:id="147" w:name="_Toc8428"/>
      <w:bookmarkStart w:id="148" w:name="_Toc12278"/>
      <w:r>
        <w:rPr>
          <w:rFonts w:hint="eastAsia" w:eastAsia="方正仿宋_GBK" w:cs="Times New Roman"/>
          <w:b w:val="0"/>
          <w:color w:val="auto"/>
          <w:kern w:val="0"/>
          <w:sz w:val="32"/>
          <w:szCs w:val="32"/>
          <w:highlight w:val="none"/>
          <w:shd w:val="clear" w:color="auto" w:fill="FFFFFF"/>
          <w:lang w:val="en-US" w:eastAsia="zh-CN"/>
        </w:rPr>
        <w:t>（四）创新创业环境明显优化</w:t>
      </w:r>
      <w:bookmarkEnd w:id="146"/>
      <w:bookmarkEnd w:id="147"/>
      <w:bookmarkEnd w:id="148"/>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1、是加大政策支持力度，区委区政府下发了《关于大力推动科技创新的意见》，制定出台了《璧山区鼓励科技创新二十五条政策（试行）》，开展了线上线下相结合的政策宣传培训集中活动5次，发放政策资料上千册，累计约2000人次参与。</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2、是强化市区联动，与市科技局召开2020年科技工作会商会议。认真落实会商议题，在支持我区大型孵化器建设、合作组建首期3亿元高新技术股权投资基金、人才团队“一企一策”支持、共同举办西部（重庆）科学城双高赛等方面取得积极进展。</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3、是大力营造双创氛围，召开了全区科技创新大会暨西部（重庆）科学城（璧山）建设动员大会，市科技局领导、区级全体在家领导、相关部门和镇街负责人、部分金融机构、企业代表等200余人参加会议；开展“互联网+”大学生创新创业大赛、西部（重庆）科学城双高赛、璧山区第五届创新创业大赛、科技活动周、科普讲解大赛等系列活动，吸引高校、企业、群众上万人次参与；联合川渝相关科技团体、行业学会和企事业单位，组建成渝地区双城经济圈科技创新联盟，整合两地学科资源，促进科技合作与交流。联合77家骨干企业组建璧山区企业科技创新联盟，首期成立电子信息等3个产业科技创新联盟，召开联盟成立大会，成果转移转化联盟举办了成果对接会。</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outlineLvl w:val="1"/>
        <w:rPr>
          <w:rFonts w:hint="eastAsia" w:eastAsia="方正仿宋_GBK" w:cs="Times New Roman"/>
          <w:b w:val="0"/>
          <w:color w:val="auto"/>
          <w:kern w:val="0"/>
          <w:sz w:val="32"/>
          <w:szCs w:val="32"/>
          <w:highlight w:val="none"/>
          <w:shd w:val="clear" w:color="auto" w:fill="FFFFFF"/>
          <w:lang w:val="en-US" w:eastAsia="zh-CN"/>
        </w:rPr>
      </w:pPr>
      <w:bookmarkStart w:id="149" w:name="_Toc21508"/>
      <w:bookmarkStart w:id="150" w:name="_Toc1258"/>
      <w:bookmarkStart w:id="151" w:name="_Toc8796"/>
      <w:r>
        <w:rPr>
          <w:rFonts w:hint="eastAsia" w:eastAsia="方正仿宋_GBK" w:cs="Times New Roman"/>
          <w:b w:val="0"/>
          <w:color w:val="auto"/>
          <w:kern w:val="0"/>
          <w:sz w:val="32"/>
          <w:szCs w:val="32"/>
          <w:highlight w:val="none"/>
          <w:shd w:val="clear" w:color="auto" w:fill="FFFFFF"/>
          <w:lang w:val="en-US" w:eastAsia="zh-CN"/>
        </w:rPr>
        <w:t>（五）精准扶贫成效显著，科技助力共同抗疫</w:t>
      </w:r>
      <w:bookmarkEnd w:id="149"/>
      <w:bookmarkEnd w:id="150"/>
      <w:bookmarkEnd w:id="151"/>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eastAsia="方正仿宋_GBK" w:cs="Times New Roman"/>
          <w:b w:val="0"/>
          <w:color w:val="auto"/>
          <w:kern w:val="0"/>
          <w:sz w:val="32"/>
          <w:szCs w:val="32"/>
          <w:highlight w:val="none"/>
          <w:shd w:val="clear" w:color="auto" w:fill="FFFFFF"/>
          <w:lang w:val="en-US" w:eastAsia="zh-CN"/>
        </w:rPr>
      </w:pPr>
      <w:r>
        <w:rPr>
          <w:rFonts w:hint="eastAsia" w:eastAsia="方正仿宋_GBK" w:cs="Times New Roman"/>
          <w:b w:val="0"/>
          <w:color w:val="auto"/>
          <w:kern w:val="0"/>
          <w:sz w:val="32"/>
          <w:szCs w:val="32"/>
          <w:highlight w:val="none"/>
          <w:shd w:val="clear" w:color="auto" w:fill="FFFFFF"/>
          <w:lang w:val="en-US" w:eastAsia="zh-CN"/>
        </w:rPr>
        <w:t>强化培训。选派科技特派员39名，贫困村、乡村振兴示范村实现全覆盖，大力开展农业技术培训。二是开展结对帮扶。结对帮扶广普镇柏杨村12户43人，坚持每月至少开展1次走访帮扶活动，持续推进产业扶贫。三是助力抗击新型冠状病毒肺炎疫情，加强疫情科普知识宣传，指导研究院、众创空间、孵化器等做好复工复产，对孵化器减免租金的，给予减免额50%的补贴。</w:t>
      </w:r>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outlineLvl w:val="1"/>
        <w:rPr>
          <w:rFonts w:hint="eastAsia" w:eastAsia="方正仿宋_GBK" w:cs="Times New Roman"/>
          <w:b w:val="0"/>
          <w:color w:val="auto"/>
          <w:kern w:val="0"/>
          <w:sz w:val="32"/>
          <w:szCs w:val="32"/>
          <w:highlight w:val="none"/>
          <w:shd w:val="clear" w:color="auto" w:fill="FFFFFF"/>
          <w:lang w:val="en-US" w:eastAsia="zh-CN"/>
        </w:rPr>
      </w:pPr>
      <w:bookmarkStart w:id="152" w:name="_Toc14748"/>
      <w:bookmarkStart w:id="153" w:name="_Toc28454"/>
      <w:bookmarkStart w:id="154" w:name="_Toc26457"/>
      <w:r>
        <w:rPr>
          <w:rFonts w:hint="eastAsia" w:eastAsia="方正仿宋_GBK" w:cs="Times New Roman"/>
          <w:b w:val="0"/>
          <w:color w:val="auto"/>
          <w:kern w:val="0"/>
          <w:sz w:val="32"/>
          <w:szCs w:val="32"/>
          <w:highlight w:val="none"/>
          <w:shd w:val="clear" w:color="auto" w:fill="FFFFFF"/>
          <w:lang w:val="en-US" w:eastAsia="zh-CN"/>
        </w:rPr>
        <w:t>（六）坚持全面从严治党，切实加强自身建设</w:t>
      </w:r>
      <w:bookmarkEnd w:id="152"/>
      <w:bookmarkEnd w:id="153"/>
      <w:bookmarkEnd w:id="154"/>
    </w:p>
    <w:p>
      <w:pPr>
        <w:keepNext w:val="0"/>
        <w:keepLines w:val="0"/>
        <w:pageBreakBefore w:val="0"/>
        <w:widowControl/>
        <w:suppressLineNumbers w:val="0"/>
        <w:kinsoku/>
        <w:wordWrap/>
        <w:overflowPunct/>
        <w:topLinePunct w:val="0"/>
        <w:autoSpaceDE w:val="0"/>
        <w:autoSpaceDN w:val="0"/>
        <w:bidi w:val="0"/>
        <w:adjustRightInd/>
        <w:snapToGrid/>
        <w:spacing w:before="0" w:line="560" w:lineRule="exact"/>
        <w:ind w:left="0" w:leftChars="0" w:right="0" w:rightChars="0"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eastAsia="方正仿宋_GBK" w:cs="Times New Roman"/>
          <w:b w:val="0"/>
          <w:color w:val="auto"/>
          <w:kern w:val="0"/>
          <w:sz w:val="32"/>
          <w:szCs w:val="32"/>
          <w:highlight w:val="none"/>
          <w:shd w:val="clear" w:color="auto" w:fill="FFFFFF"/>
          <w:lang w:val="en-US" w:eastAsia="zh-CN"/>
        </w:rPr>
        <w:t>强化从严治党主体责任，进一步增强“四个意识”，坚定“四个自信”，做到“两个维护”，认真学习贯彻十九大及十九届二中、三中、四中、五中全会精神、习近平总书记系列重要讲话，定期开展“中心组学习”、“主题党日”活动，树牢党员干部理想信念，增强党员干部党性、品行培养，切实改进工作作风。落实意识形态主体责任，加强意识形态管控，着力防范化解科技领域风险。</w:t>
      </w:r>
    </w:p>
    <w:p>
      <w:pPr>
        <w:keepNext w:val="0"/>
        <w:keepLines w:val="0"/>
        <w:pageBreakBefore w:val="0"/>
        <w:numPr>
          <w:ilvl w:val="0"/>
          <w:numId w:val="0"/>
        </w:numPr>
        <w:kinsoku/>
        <w:wordWrap/>
        <w:overflowPunct/>
        <w:topLinePunct w:val="0"/>
        <w:bidi w:val="0"/>
        <w:spacing w:line="560" w:lineRule="exact"/>
        <w:textAlignment w:val="auto"/>
        <w:outlineLvl w:val="0"/>
        <w:rPr>
          <w:rFonts w:hint="eastAsia" w:eastAsia="方正黑体_GBK"/>
          <w:sz w:val="32"/>
          <w:szCs w:val="32"/>
          <w:lang w:eastAsia="zh-CN"/>
        </w:rPr>
      </w:pPr>
      <w:bookmarkStart w:id="155" w:name="_Toc12767"/>
      <w:bookmarkStart w:id="156" w:name="_Toc21752"/>
      <w:bookmarkStart w:id="157" w:name="_Toc28828"/>
      <w:bookmarkStart w:id="158" w:name="_Toc22447"/>
      <w:bookmarkStart w:id="159" w:name="_Toc10411"/>
      <w:bookmarkStart w:id="160" w:name="_Toc30977"/>
      <w:r>
        <w:rPr>
          <w:rFonts w:hint="eastAsia" w:eastAsia="方正黑体_GBK"/>
          <w:sz w:val="32"/>
          <w:szCs w:val="32"/>
        </w:rPr>
        <w:t>五、存在的问题和建议</w:t>
      </w:r>
      <w:bookmarkEnd w:id="155"/>
      <w:bookmarkEnd w:id="156"/>
      <w:bookmarkEnd w:id="157"/>
      <w:bookmarkEnd w:id="158"/>
      <w:bookmarkEnd w:id="159"/>
      <w:bookmarkEnd w:id="16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eastAsia="方正仿宋_GBK"/>
          <w:sz w:val="32"/>
          <w:szCs w:val="32"/>
          <w:lang w:eastAsia="zh-CN"/>
        </w:rPr>
      </w:pPr>
      <w:bookmarkStart w:id="161" w:name="_Toc1487"/>
      <w:bookmarkStart w:id="162" w:name="_Toc8908"/>
      <w:bookmarkStart w:id="163" w:name="_Toc24049"/>
      <w:r>
        <w:rPr>
          <w:rFonts w:hint="eastAsia" w:eastAsia="方正仿宋_GBK"/>
          <w:sz w:val="32"/>
          <w:szCs w:val="32"/>
          <w:lang w:eastAsia="zh-CN"/>
        </w:rPr>
        <w:t>（一）存在的问题</w:t>
      </w:r>
      <w:bookmarkEnd w:id="161"/>
      <w:bookmarkEnd w:id="162"/>
      <w:bookmarkEnd w:id="16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eastAsia="方正仿宋_GBK"/>
          <w:sz w:val="32"/>
          <w:szCs w:val="32"/>
          <w:lang w:val="en-US" w:eastAsia="zh-CN"/>
        </w:rPr>
      </w:pPr>
      <w:r>
        <w:rPr>
          <w:rFonts w:hint="eastAsia" w:eastAsia="方正仿宋_GBK"/>
          <w:sz w:val="32"/>
          <w:szCs w:val="32"/>
          <w:lang w:val="en-US" w:eastAsia="zh-CN"/>
        </w:rPr>
        <w:t>部门效益还需进一步提高。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eastAsia="方正仿宋_GBK"/>
          <w:sz w:val="32"/>
          <w:szCs w:val="32"/>
          <w:lang w:val="en-US" w:eastAsia="zh-CN"/>
        </w:rPr>
      </w:pPr>
      <w:r>
        <w:rPr>
          <w:rFonts w:hint="eastAsia" w:eastAsia="方正仿宋_GBK"/>
          <w:sz w:val="32"/>
          <w:szCs w:val="32"/>
          <w:lang w:val="en-US" w:eastAsia="zh-CN"/>
        </w:rPr>
        <w:t>2020年项目实施促进了经济发展，但预期效果还需进一步提升；提升人居环境，减少对环境的污染，但效果不够显著，环境优化还有待提高；科技活动、创新创业大赛等活动的开展，提高了对双创人才的吸引力，但创业就业机会有待增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eastAsia="方正仿宋_GBK"/>
          <w:sz w:val="32"/>
          <w:szCs w:val="32"/>
          <w:lang w:eastAsia="zh-CN"/>
        </w:rPr>
      </w:pPr>
      <w:bookmarkStart w:id="164" w:name="_Toc10765"/>
      <w:bookmarkStart w:id="165" w:name="_Toc17902"/>
      <w:bookmarkStart w:id="166" w:name="_Toc11054"/>
      <w:r>
        <w:rPr>
          <w:rFonts w:hint="eastAsia" w:eastAsia="方正仿宋_GBK"/>
          <w:sz w:val="32"/>
          <w:szCs w:val="32"/>
          <w:lang w:eastAsia="zh-CN"/>
        </w:rPr>
        <w:t>（二）建议</w:t>
      </w:r>
      <w:bookmarkEnd w:id="164"/>
      <w:bookmarkEnd w:id="165"/>
      <w:bookmarkEnd w:id="16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eastAsia="方正仿宋_GBK"/>
          <w:sz w:val="32"/>
          <w:szCs w:val="32"/>
          <w:lang w:eastAsia="zh-CN"/>
        </w:rPr>
      </w:pPr>
      <w:r>
        <w:rPr>
          <w:rFonts w:hint="eastAsia" w:eastAsia="方正仿宋_GBK"/>
          <w:sz w:val="32"/>
          <w:szCs w:val="32"/>
          <w:lang w:val="en-US" w:eastAsia="zh-CN"/>
        </w:rPr>
        <w:t>1、加快对创新创业核心载体建设，发挥创新创业核心载体优势，招商引进高端人才和科技研发团队，促进招商引资地区经济快速、全面、协调发展。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eastAsia="方正仿宋_GBK"/>
          <w:sz w:val="32"/>
          <w:szCs w:val="32"/>
          <w:lang w:val="en-US" w:eastAsia="zh-CN"/>
        </w:rPr>
      </w:pPr>
      <w:r>
        <w:rPr>
          <w:rFonts w:hint="eastAsia" w:eastAsia="方正仿宋_GBK"/>
          <w:sz w:val="32"/>
          <w:szCs w:val="32"/>
          <w:lang w:val="en-US" w:eastAsia="zh-CN"/>
        </w:rPr>
        <w:t>2、加强对噪声和粉尘的管理，增强环境保护意识，积极宣传环保教育，减少对环境的污染，提高群众健康水平。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eastAsia="方正仿宋_GBK"/>
          <w:sz w:val="32"/>
          <w:szCs w:val="32"/>
          <w:lang w:val="en-US" w:eastAsia="zh-CN"/>
        </w:rPr>
      </w:pPr>
      <w:r>
        <w:rPr>
          <w:rFonts w:hint="eastAsia" w:eastAsia="方正仿宋_GBK"/>
          <w:sz w:val="32"/>
          <w:szCs w:val="32"/>
          <w:lang w:val="en-US" w:eastAsia="zh-CN"/>
        </w:rPr>
        <w:t>3、加强科技文化氛围的打造，积极组织开展创新文化和创新创业等活动，加强创新资源集聚交流，不断加大对科技文化动、创新创业政策的宣传力度，营造良好的创新创业氛围。</w:t>
      </w:r>
    </w:p>
    <w:p>
      <w:pPr>
        <w:pStyle w:val="2"/>
        <w:rPr>
          <w:rFonts w:hint="eastAsia" w:eastAsia="方正仿宋_GBK"/>
          <w:sz w:val="32"/>
          <w:szCs w:val="32"/>
          <w:lang w:val="en-US" w:eastAsia="zh-CN"/>
        </w:rPr>
      </w:pPr>
    </w:p>
    <w:p>
      <w:pPr>
        <w:jc w:val="righ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重庆市璧山区科学技术局</w:t>
      </w:r>
    </w:p>
    <w:p>
      <w:pPr>
        <w:pStyle w:val="2"/>
        <w:jc w:val="right"/>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2021年3月30日</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6AD305-0C3A-4FE7-B5DE-D092FE67C449}"/>
  </w:font>
  <w:font w:name="Arial">
    <w:panose1 w:val="020B0604020202020204"/>
    <w:charset w:val="01"/>
    <w:family w:val="swiss"/>
    <w:pitch w:val="default"/>
    <w:sig w:usb0="E0002EFF" w:usb1="C000785B" w:usb2="00000009" w:usb3="00000000" w:csb0="400001FF" w:csb1="FFFF0000"/>
    <w:embedRegular r:id="rId2" w:fontKey="{4A97F1A1-1035-4FC9-8CB2-AFF560EF9495}"/>
  </w:font>
  <w:font w:name="黑体">
    <w:panose1 w:val="02010609060101010101"/>
    <w:charset w:val="86"/>
    <w:family w:val="auto"/>
    <w:pitch w:val="default"/>
    <w:sig w:usb0="800002BF" w:usb1="38CF7CFA" w:usb2="00000016" w:usb3="00000000" w:csb0="00040001" w:csb1="00000000"/>
    <w:embedRegular r:id="rId3" w:fontKey="{4743E556-F35A-4B97-AE8B-2CF253510DAF}"/>
  </w:font>
  <w:font w:name="Courier New">
    <w:panose1 w:val="02070309020205020404"/>
    <w:charset w:val="01"/>
    <w:family w:val="modern"/>
    <w:pitch w:val="default"/>
    <w:sig w:usb0="E0002EFF" w:usb1="C0007843" w:usb2="00000009" w:usb3="00000000" w:csb0="400001FF" w:csb1="FFFF0000"/>
    <w:embedRegular r:id="rId4" w:fontKey="{AE59BF11-E15B-4CBF-991E-8E0CE51EDF8E}"/>
  </w:font>
  <w:font w:name="Symbol">
    <w:panose1 w:val="05050102010706020507"/>
    <w:charset w:val="02"/>
    <w:family w:val="roman"/>
    <w:pitch w:val="default"/>
    <w:sig w:usb0="00000000" w:usb1="00000000" w:usb2="00000000" w:usb3="00000000" w:csb0="80000000" w:csb1="00000000"/>
    <w:embedRegular r:id="rId5" w:fontKey="{A2C253E5-56EB-4E0A-9D89-C829B374B52B}"/>
  </w:font>
  <w:font w:name="Calibri">
    <w:panose1 w:val="020F0502020204030204"/>
    <w:charset w:val="00"/>
    <w:family w:val="swiss"/>
    <w:pitch w:val="default"/>
    <w:sig w:usb0="E4002EFF" w:usb1="C000247B" w:usb2="00000009" w:usb3="00000000" w:csb0="200001FF" w:csb1="00000000"/>
    <w:embedRegular r:id="rId6" w:fontKey="{2E510225-4536-487D-9760-014E5B5360B1}"/>
  </w:font>
  <w:font w:name="Cambria">
    <w:panose1 w:val="02040503050406030204"/>
    <w:charset w:val="00"/>
    <w:family w:val="roman"/>
    <w:pitch w:val="default"/>
    <w:sig w:usb0="E00006FF" w:usb1="420024FF" w:usb2="02000000" w:usb3="00000000" w:csb0="2000019F" w:csb1="00000000"/>
    <w:embedRegular r:id="rId7" w:fontKey="{5B69852D-5C8F-441F-9FD8-CA30A327D108}"/>
  </w:font>
  <w:font w:name="Sylfaen">
    <w:panose1 w:val="010A0502050306030303"/>
    <w:charset w:val="00"/>
    <w:family w:val="auto"/>
    <w:pitch w:val="default"/>
    <w:sig w:usb0="04000687" w:usb1="00000000" w:usb2="00000000" w:usb3="00000000" w:csb0="2000009F" w:csb1="00000000"/>
    <w:embedRegular r:id="rId8" w:fontKey="{469F7D1A-4649-42AE-80D3-E870535729E3}"/>
  </w:font>
  <w:font w:name="方正仿宋_GBK">
    <w:panose1 w:val="02000000000000000000"/>
    <w:charset w:val="86"/>
    <w:family w:val="script"/>
    <w:pitch w:val="default"/>
    <w:sig w:usb0="00000001" w:usb1="080E0000" w:usb2="00000000" w:usb3="00000000" w:csb0="00040000" w:csb1="00000000"/>
    <w:embedRegular r:id="rId9" w:fontKey="{8FE8BDB1-33C2-4DBE-A591-7481F4297352}"/>
  </w:font>
  <w:font w:name="仿宋">
    <w:panose1 w:val="02010609060101010101"/>
    <w:charset w:val="86"/>
    <w:family w:val="auto"/>
    <w:pitch w:val="default"/>
    <w:sig w:usb0="800002BF" w:usb1="38CF7CFA" w:usb2="00000016" w:usb3="00000000" w:csb0="00040001" w:csb1="00000000"/>
    <w:embedRegular r:id="rId10" w:fontKey="{FDC65AE8-1031-421E-A33E-BDA60AEC5070}"/>
  </w:font>
  <w:font w:name="方正小标宋_GBK">
    <w:panose1 w:val="03000509000000000000"/>
    <w:charset w:val="86"/>
    <w:family w:val="auto"/>
    <w:pitch w:val="default"/>
    <w:sig w:usb0="00000001" w:usb1="080E0000" w:usb2="00000000" w:usb3="00000000" w:csb0="00040000" w:csb1="00000000"/>
    <w:embedRegular r:id="rId11" w:fontKey="{4BC2D564-6073-410D-995E-C2A138A678ED}"/>
  </w:font>
  <w:font w:name="方正黑体_GBK">
    <w:panose1 w:val="03000509000000000000"/>
    <w:charset w:val="86"/>
    <w:family w:val="script"/>
    <w:pitch w:val="default"/>
    <w:sig w:usb0="00000001" w:usb1="080E0000" w:usb2="00000000" w:usb3="00000000" w:csb0="00040000" w:csb1="00000000"/>
    <w:embedRegular r:id="rId12" w:fontKey="{C7B018C3-977F-48F5-B1F2-8DAB315D34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806A00"/>
    <w:rsid w:val="00170BC4"/>
    <w:rsid w:val="005E577F"/>
    <w:rsid w:val="008C00B0"/>
    <w:rsid w:val="00C23834"/>
    <w:rsid w:val="00C73BB9"/>
    <w:rsid w:val="00D6433C"/>
    <w:rsid w:val="01011495"/>
    <w:rsid w:val="010B0A5E"/>
    <w:rsid w:val="01D32280"/>
    <w:rsid w:val="01E171C9"/>
    <w:rsid w:val="01F51989"/>
    <w:rsid w:val="02424FB3"/>
    <w:rsid w:val="04181F8E"/>
    <w:rsid w:val="045C5C88"/>
    <w:rsid w:val="048B0431"/>
    <w:rsid w:val="050C7B1F"/>
    <w:rsid w:val="05C102F5"/>
    <w:rsid w:val="05F01380"/>
    <w:rsid w:val="05F27287"/>
    <w:rsid w:val="06357ACE"/>
    <w:rsid w:val="08B81FD0"/>
    <w:rsid w:val="08C26F30"/>
    <w:rsid w:val="08E50B6E"/>
    <w:rsid w:val="08E902B1"/>
    <w:rsid w:val="0A900D25"/>
    <w:rsid w:val="0AB4368D"/>
    <w:rsid w:val="0AB8381B"/>
    <w:rsid w:val="0AD313D6"/>
    <w:rsid w:val="0B060A26"/>
    <w:rsid w:val="0B7624E0"/>
    <w:rsid w:val="0B8F531F"/>
    <w:rsid w:val="0CD75813"/>
    <w:rsid w:val="0D30180A"/>
    <w:rsid w:val="0D5842BE"/>
    <w:rsid w:val="0DEC27D4"/>
    <w:rsid w:val="0DF71EF9"/>
    <w:rsid w:val="0E0C7353"/>
    <w:rsid w:val="0E202382"/>
    <w:rsid w:val="0E3513F8"/>
    <w:rsid w:val="0E8A69A4"/>
    <w:rsid w:val="0EC40CEC"/>
    <w:rsid w:val="0F3100AE"/>
    <w:rsid w:val="0FFC4857"/>
    <w:rsid w:val="101476BC"/>
    <w:rsid w:val="109A4772"/>
    <w:rsid w:val="10DA707E"/>
    <w:rsid w:val="10E61538"/>
    <w:rsid w:val="11D3026C"/>
    <w:rsid w:val="11FF487F"/>
    <w:rsid w:val="12507045"/>
    <w:rsid w:val="12E23322"/>
    <w:rsid w:val="135B5AD3"/>
    <w:rsid w:val="135C49D6"/>
    <w:rsid w:val="139836AF"/>
    <w:rsid w:val="13AC7512"/>
    <w:rsid w:val="1472396D"/>
    <w:rsid w:val="14D81C41"/>
    <w:rsid w:val="14E26D92"/>
    <w:rsid w:val="14F84F32"/>
    <w:rsid w:val="158E2C6A"/>
    <w:rsid w:val="16285638"/>
    <w:rsid w:val="164B3CBE"/>
    <w:rsid w:val="168205C0"/>
    <w:rsid w:val="16A02DAC"/>
    <w:rsid w:val="16B44A3C"/>
    <w:rsid w:val="16C36AFF"/>
    <w:rsid w:val="16DB66C8"/>
    <w:rsid w:val="171200F3"/>
    <w:rsid w:val="172D17CC"/>
    <w:rsid w:val="17466AF6"/>
    <w:rsid w:val="175C3BAB"/>
    <w:rsid w:val="177D3920"/>
    <w:rsid w:val="17B95413"/>
    <w:rsid w:val="184E2D88"/>
    <w:rsid w:val="190F15EF"/>
    <w:rsid w:val="193D6976"/>
    <w:rsid w:val="193E1A86"/>
    <w:rsid w:val="197D0CE2"/>
    <w:rsid w:val="1A241503"/>
    <w:rsid w:val="1A841211"/>
    <w:rsid w:val="1A9B42A1"/>
    <w:rsid w:val="1A9C0F05"/>
    <w:rsid w:val="1AF13CDB"/>
    <w:rsid w:val="1AFF6C44"/>
    <w:rsid w:val="1B20372F"/>
    <w:rsid w:val="1B542533"/>
    <w:rsid w:val="1BEE03F5"/>
    <w:rsid w:val="1C8A00BC"/>
    <w:rsid w:val="1D1365FA"/>
    <w:rsid w:val="1D341AE5"/>
    <w:rsid w:val="1DA225B5"/>
    <w:rsid w:val="1DE33346"/>
    <w:rsid w:val="1E0005FF"/>
    <w:rsid w:val="1E2D3B65"/>
    <w:rsid w:val="1F720DA6"/>
    <w:rsid w:val="20055B58"/>
    <w:rsid w:val="20112BFC"/>
    <w:rsid w:val="203D4827"/>
    <w:rsid w:val="21133397"/>
    <w:rsid w:val="213933B0"/>
    <w:rsid w:val="21735E68"/>
    <w:rsid w:val="2183701A"/>
    <w:rsid w:val="21B056EC"/>
    <w:rsid w:val="220A149C"/>
    <w:rsid w:val="226C6BF4"/>
    <w:rsid w:val="228F6985"/>
    <w:rsid w:val="231C0322"/>
    <w:rsid w:val="238B1569"/>
    <w:rsid w:val="23ED70FC"/>
    <w:rsid w:val="23EE7127"/>
    <w:rsid w:val="242C3E28"/>
    <w:rsid w:val="243F06E1"/>
    <w:rsid w:val="243F741C"/>
    <w:rsid w:val="247D1603"/>
    <w:rsid w:val="24C91CBF"/>
    <w:rsid w:val="252457F8"/>
    <w:rsid w:val="253A3945"/>
    <w:rsid w:val="25547E91"/>
    <w:rsid w:val="25F527B2"/>
    <w:rsid w:val="25FA08BD"/>
    <w:rsid w:val="26AD34E4"/>
    <w:rsid w:val="28322815"/>
    <w:rsid w:val="28574F9E"/>
    <w:rsid w:val="28EE3A52"/>
    <w:rsid w:val="29334F36"/>
    <w:rsid w:val="2A334DD9"/>
    <w:rsid w:val="2A54009E"/>
    <w:rsid w:val="2AC8341C"/>
    <w:rsid w:val="2AF07C68"/>
    <w:rsid w:val="2B0475C1"/>
    <w:rsid w:val="2B0C1220"/>
    <w:rsid w:val="2B0F76B6"/>
    <w:rsid w:val="2CAD1A88"/>
    <w:rsid w:val="2DEF2B47"/>
    <w:rsid w:val="2E49150D"/>
    <w:rsid w:val="2E7E3492"/>
    <w:rsid w:val="2F1E725C"/>
    <w:rsid w:val="2F447F14"/>
    <w:rsid w:val="2FE8092F"/>
    <w:rsid w:val="30420CC9"/>
    <w:rsid w:val="30556FA1"/>
    <w:rsid w:val="308452AD"/>
    <w:rsid w:val="313D12A2"/>
    <w:rsid w:val="31B60A9D"/>
    <w:rsid w:val="322024C6"/>
    <w:rsid w:val="329F5502"/>
    <w:rsid w:val="32BC61E6"/>
    <w:rsid w:val="32EB0426"/>
    <w:rsid w:val="32ED511B"/>
    <w:rsid w:val="331661E1"/>
    <w:rsid w:val="331D3B6D"/>
    <w:rsid w:val="33B8057D"/>
    <w:rsid w:val="33D33A12"/>
    <w:rsid w:val="33F6215B"/>
    <w:rsid w:val="348B64C1"/>
    <w:rsid w:val="35321010"/>
    <w:rsid w:val="35C526A5"/>
    <w:rsid w:val="35CE7869"/>
    <w:rsid w:val="360B53B6"/>
    <w:rsid w:val="36282333"/>
    <w:rsid w:val="364F1D10"/>
    <w:rsid w:val="36796311"/>
    <w:rsid w:val="386C3256"/>
    <w:rsid w:val="38B12B39"/>
    <w:rsid w:val="39930B56"/>
    <w:rsid w:val="39B86FE3"/>
    <w:rsid w:val="3A3507B6"/>
    <w:rsid w:val="3AF926E8"/>
    <w:rsid w:val="3AFB49D3"/>
    <w:rsid w:val="3BBD3546"/>
    <w:rsid w:val="3BEA1B1D"/>
    <w:rsid w:val="3C005FD4"/>
    <w:rsid w:val="3D124041"/>
    <w:rsid w:val="3D246A61"/>
    <w:rsid w:val="3D712DE6"/>
    <w:rsid w:val="3DC34057"/>
    <w:rsid w:val="3E092C43"/>
    <w:rsid w:val="3E1962B4"/>
    <w:rsid w:val="3E2A65C4"/>
    <w:rsid w:val="3E5336A7"/>
    <w:rsid w:val="3EDF66C7"/>
    <w:rsid w:val="3EEC1E8C"/>
    <w:rsid w:val="3F5F251A"/>
    <w:rsid w:val="3FBA77D1"/>
    <w:rsid w:val="407768ED"/>
    <w:rsid w:val="409F4F06"/>
    <w:rsid w:val="4176570C"/>
    <w:rsid w:val="42005663"/>
    <w:rsid w:val="424175D2"/>
    <w:rsid w:val="424320C8"/>
    <w:rsid w:val="42B0129F"/>
    <w:rsid w:val="43125EA0"/>
    <w:rsid w:val="43446EB8"/>
    <w:rsid w:val="43EC73D0"/>
    <w:rsid w:val="448239E9"/>
    <w:rsid w:val="45266F19"/>
    <w:rsid w:val="454B7EFD"/>
    <w:rsid w:val="45651860"/>
    <w:rsid w:val="45856494"/>
    <w:rsid w:val="469E15CD"/>
    <w:rsid w:val="469F6657"/>
    <w:rsid w:val="470E42D0"/>
    <w:rsid w:val="472A5BE1"/>
    <w:rsid w:val="475277B6"/>
    <w:rsid w:val="485330EF"/>
    <w:rsid w:val="490A65B3"/>
    <w:rsid w:val="49205C64"/>
    <w:rsid w:val="498E352E"/>
    <w:rsid w:val="49A666E5"/>
    <w:rsid w:val="4A7622AE"/>
    <w:rsid w:val="4AB251C8"/>
    <w:rsid w:val="4BA74DC7"/>
    <w:rsid w:val="4C7B6686"/>
    <w:rsid w:val="4C7C5294"/>
    <w:rsid w:val="4CD60347"/>
    <w:rsid w:val="4EB04799"/>
    <w:rsid w:val="4F435666"/>
    <w:rsid w:val="4F4E3924"/>
    <w:rsid w:val="4FC55371"/>
    <w:rsid w:val="509A7F2B"/>
    <w:rsid w:val="50B57ABD"/>
    <w:rsid w:val="513D72F2"/>
    <w:rsid w:val="520C3565"/>
    <w:rsid w:val="53035A5E"/>
    <w:rsid w:val="53561598"/>
    <w:rsid w:val="53B87E4D"/>
    <w:rsid w:val="53EA2764"/>
    <w:rsid w:val="54134A2A"/>
    <w:rsid w:val="543E1E24"/>
    <w:rsid w:val="545B0B08"/>
    <w:rsid w:val="55483393"/>
    <w:rsid w:val="55544009"/>
    <w:rsid w:val="55A162A0"/>
    <w:rsid w:val="55EF1653"/>
    <w:rsid w:val="5640362B"/>
    <w:rsid w:val="56711508"/>
    <w:rsid w:val="57235361"/>
    <w:rsid w:val="579F2441"/>
    <w:rsid w:val="57BA1328"/>
    <w:rsid w:val="57EA59B2"/>
    <w:rsid w:val="586C72E1"/>
    <w:rsid w:val="596133D0"/>
    <w:rsid w:val="59CD7F1F"/>
    <w:rsid w:val="5A3D4AEF"/>
    <w:rsid w:val="5A8F26B2"/>
    <w:rsid w:val="5AB45D33"/>
    <w:rsid w:val="5B3F49C0"/>
    <w:rsid w:val="5B645299"/>
    <w:rsid w:val="5B6C10B0"/>
    <w:rsid w:val="5C0637A8"/>
    <w:rsid w:val="5E0401C8"/>
    <w:rsid w:val="5E0A7B05"/>
    <w:rsid w:val="5E1D77C6"/>
    <w:rsid w:val="5EF93C2A"/>
    <w:rsid w:val="5F032247"/>
    <w:rsid w:val="5F5B2115"/>
    <w:rsid w:val="5FC20B00"/>
    <w:rsid w:val="5FDD48B1"/>
    <w:rsid w:val="606447F8"/>
    <w:rsid w:val="608C0AED"/>
    <w:rsid w:val="60A14617"/>
    <w:rsid w:val="60F27149"/>
    <w:rsid w:val="60FE549A"/>
    <w:rsid w:val="611D7959"/>
    <w:rsid w:val="614817ED"/>
    <w:rsid w:val="61A322BA"/>
    <w:rsid w:val="61E062C3"/>
    <w:rsid w:val="61E8115C"/>
    <w:rsid w:val="627E1907"/>
    <w:rsid w:val="62A53F90"/>
    <w:rsid w:val="62EE7455"/>
    <w:rsid w:val="633543C7"/>
    <w:rsid w:val="636C7747"/>
    <w:rsid w:val="6387477B"/>
    <w:rsid w:val="63FA7B71"/>
    <w:rsid w:val="644F6797"/>
    <w:rsid w:val="64B76816"/>
    <w:rsid w:val="65367C7B"/>
    <w:rsid w:val="654464EE"/>
    <w:rsid w:val="65644AFA"/>
    <w:rsid w:val="65FC7D52"/>
    <w:rsid w:val="673532F4"/>
    <w:rsid w:val="67501EEB"/>
    <w:rsid w:val="67900E94"/>
    <w:rsid w:val="67DF451D"/>
    <w:rsid w:val="6838283E"/>
    <w:rsid w:val="691C459E"/>
    <w:rsid w:val="69D54738"/>
    <w:rsid w:val="69FA63ED"/>
    <w:rsid w:val="6A1F5E2B"/>
    <w:rsid w:val="6A206043"/>
    <w:rsid w:val="6AB02F25"/>
    <w:rsid w:val="6AD142CA"/>
    <w:rsid w:val="6AED2967"/>
    <w:rsid w:val="6AF4638F"/>
    <w:rsid w:val="6B2F45FF"/>
    <w:rsid w:val="6C773311"/>
    <w:rsid w:val="6C864027"/>
    <w:rsid w:val="6CC25301"/>
    <w:rsid w:val="6D5E48DB"/>
    <w:rsid w:val="6E721217"/>
    <w:rsid w:val="6EBD10DA"/>
    <w:rsid w:val="7000386E"/>
    <w:rsid w:val="70DF2F33"/>
    <w:rsid w:val="7147295D"/>
    <w:rsid w:val="714E7B71"/>
    <w:rsid w:val="71637063"/>
    <w:rsid w:val="71733E4C"/>
    <w:rsid w:val="71806A00"/>
    <w:rsid w:val="71D97D8E"/>
    <w:rsid w:val="71EF5232"/>
    <w:rsid w:val="72027F2C"/>
    <w:rsid w:val="72663E92"/>
    <w:rsid w:val="726A0203"/>
    <w:rsid w:val="73E22B33"/>
    <w:rsid w:val="73E2527F"/>
    <w:rsid w:val="74AE6C00"/>
    <w:rsid w:val="74D30516"/>
    <w:rsid w:val="74DC5EAE"/>
    <w:rsid w:val="75D65E9E"/>
    <w:rsid w:val="76853A54"/>
    <w:rsid w:val="7687267E"/>
    <w:rsid w:val="769C6E6C"/>
    <w:rsid w:val="77FC70E5"/>
    <w:rsid w:val="79300A78"/>
    <w:rsid w:val="79800638"/>
    <w:rsid w:val="799404D1"/>
    <w:rsid w:val="79A04256"/>
    <w:rsid w:val="79B91C47"/>
    <w:rsid w:val="79D74182"/>
    <w:rsid w:val="7AAF58BC"/>
    <w:rsid w:val="7BBF56E5"/>
    <w:rsid w:val="7BD63A32"/>
    <w:rsid w:val="7BEF0575"/>
    <w:rsid w:val="7C321E25"/>
    <w:rsid w:val="7C784F4A"/>
    <w:rsid w:val="7C842507"/>
    <w:rsid w:val="7CB95897"/>
    <w:rsid w:val="7CFF64A0"/>
    <w:rsid w:val="7D2E03D9"/>
    <w:rsid w:val="7E205DF7"/>
    <w:rsid w:val="7EA15A5A"/>
    <w:rsid w:val="7EA27855"/>
    <w:rsid w:val="7EAE1A4D"/>
    <w:rsid w:val="7F0B370C"/>
    <w:rsid w:val="7F29503C"/>
    <w:rsid w:val="7F904C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6"/>
    <w:basedOn w:val="1"/>
    <w:next w:val="1"/>
    <w:qFormat/>
    <w:uiPriority w:val="9"/>
    <w:pPr>
      <w:keepNext/>
      <w:keepLines/>
      <w:spacing w:before="240" w:after="64" w:line="320" w:lineRule="auto"/>
      <w:outlineLvl w:val="5"/>
    </w:pPr>
    <w:rPr>
      <w:rFonts w:ascii="Cambria" w:hAnsi="Cambria"/>
      <w:b/>
      <w:bCs/>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0"/>
    <w:rPr>
      <w:b/>
      <w:bCs/>
    </w:rPr>
  </w:style>
  <w:style w:type="paragraph" w:styleId="13">
    <w:name w:val="List Paragraph"/>
    <w:basedOn w:val="1"/>
    <w:qFormat/>
    <w:uiPriority w:val="34"/>
    <w:pPr>
      <w:ind w:firstLine="420" w:firstLineChars="200"/>
    </w:pPr>
  </w:style>
  <w:style w:type="paragraph" w:customStyle="1" w:styleId="14">
    <w:name w:val="Table Paragraph"/>
    <w:basedOn w:val="1"/>
    <w:qFormat/>
    <w:uiPriority w:val="1"/>
    <w:rPr>
      <w:rFonts w:ascii="宋体" w:hAnsi="宋体" w:eastAsia="宋体" w:cs="宋体"/>
      <w:lang w:val="zh-CN" w:eastAsia="zh-CN" w:bidi="zh-CN"/>
    </w:rPr>
  </w:style>
  <w:style w:type="character" w:customStyle="1" w:styleId="15">
    <w:name w:val="font71"/>
    <w:basedOn w:val="11"/>
    <w:qFormat/>
    <w:uiPriority w:val="0"/>
    <w:rPr>
      <w:rFonts w:ascii="Sylfaen" w:hAnsi="Sylfaen" w:eastAsia="Sylfaen" w:cs="Sylfaen"/>
      <w:color w:val="000000"/>
      <w:sz w:val="20"/>
      <w:szCs w:val="20"/>
      <w:u w:val="none"/>
    </w:rPr>
  </w:style>
  <w:style w:type="character" w:customStyle="1" w:styleId="16">
    <w:name w:val="font01"/>
    <w:basedOn w:val="11"/>
    <w:qFormat/>
    <w:uiPriority w:val="0"/>
    <w:rPr>
      <w:rFonts w:hint="eastAsia" w:ascii="宋体" w:hAnsi="宋体" w:eastAsia="宋体" w:cs="宋体"/>
      <w:color w:val="000000"/>
      <w:sz w:val="20"/>
      <w:szCs w:val="20"/>
      <w:u w:val="none"/>
    </w:rPr>
  </w:style>
  <w:style w:type="character" w:customStyle="1" w:styleId="17">
    <w:name w:val="font51"/>
    <w:basedOn w:val="11"/>
    <w:qFormat/>
    <w:uiPriority w:val="0"/>
    <w:rPr>
      <w:rFonts w:hint="eastAsia" w:ascii="宋体" w:hAnsi="宋体" w:eastAsia="宋体" w:cs="宋体"/>
      <w:color w:val="000000"/>
      <w:sz w:val="20"/>
      <w:szCs w:val="20"/>
      <w:u w:val="non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2021-03-01T06:07:00Z</dcterms:created>
  <dc:creator>噜啦啦</dc:creator>
  <cp:lastModifiedBy>Sesame</cp:lastModifiedBy>
  <cp:lastPrinted>2021-04-01T01:24:00Z</cp:lastPrinted>
  <dcterms:modified xsi:type="dcterms:W3CDTF">2021-12-16T11:42:17Z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509450186_btnclosed</vt:lpwstr>
  </property>
  <property fmtid="{D5CDD505-2E9C-101B-9397-08002B2CF9AE}" pid="4" name="ICV">
    <vt:lpwstr>B1F03EBBC4564C95AF2DB515A6C7CBDC</vt:lpwstr>
  </property>
</Properties>
</file>