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仿宋_GBK" w:eastAsia="方正仿宋_GBK"/>
          <w:sz w:val="32"/>
          <w:szCs w:val="32"/>
          <w:highlight w:val="none"/>
        </w:rPr>
      </w:pPr>
      <w:r>
        <w:rPr>
          <w:rFonts w:hint="eastAsia" w:ascii="方正仿宋_GBK" w:eastAsia="方正仿宋_GBK"/>
          <w:sz w:val="32"/>
          <w:szCs w:val="32"/>
          <w:highlight w:val="none"/>
        </w:rPr>
        <w:t>附件4</w:t>
      </w: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spacing w:line="596" w:lineRule="exact"/>
        <w:jc w:val="center"/>
        <w:rPr>
          <w:rFonts w:hint="eastAsia" w:eastAsia="方正小标宋_GBK"/>
          <w:sz w:val="44"/>
          <w:szCs w:val="32"/>
          <w:highlight w:val="none"/>
        </w:rPr>
      </w:pPr>
    </w:p>
    <w:p>
      <w:pPr>
        <w:pStyle w:val="14"/>
        <w:spacing w:line="596" w:lineRule="exact"/>
        <w:ind w:left="359" w:leftChars="171" w:firstLine="1100" w:firstLineChars="250"/>
        <w:jc w:val="center"/>
        <w:rPr>
          <w:rFonts w:hint="eastAsia" w:eastAsia="方正小标宋_GBK"/>
          <w:sz w:val="44"/>
          <w:szCs w:val="32"/>
          <w:highlight w:val="none"/>
        </w:rPr>
      </w:pPr>
      <w:r>
        <w:rPr>
          <w:rFonts w:hint="eastAsia" w:eastAsia="方正小标宋_GBK"/>
          <w:sz w:val="44"/>
          <w:szCs w:val="32"/>
          <w:highlight w:val="none"/>
        </w:rPr>
        <w:t>重庆市璧山区</w:t>
      </w:r>
      <w:r>
        <w:rPr>
          <w:rFonts w:hint="eastAsia" w:eastAsia="方正小标宋_GBK"/>
          <w:sz w:val="44"/>
          <w:szCs w:val="32"/>
          <w:highlight w:val="none"/>
          <w:lang w:val="en-US" w:eastAsia="zh-CN"/>
        </w:rPr>
        <w:t>科学技术</w:t>
      </w:r>
      <w:r>
        <w:rPr>
          <w:rFonts w:hint="eastAsia" w:eastAsia="方正小标宋_GBK"/>
          <w:sz w:val="44"/>
          <w:szCs w:val="32"/>
          <w:highlight w:val="none"/>
        </w:rPr>
        <w:t>局</w:t>
      </w:r>
    </w:p>
    <w:p>
      <w:pPr>
        <w:pStyle w:val="14"/>
        <w:spacing w:line="596" w:lineRule="exact"/>
        <w:ind w:left="359" w:leftChars="171" w:firstLine="1100" w:firstLineChars="250"/>
        <w:jc w:val="center"/>
        <w:rPr>
          <w:rFonts w:eastAsia="方正小标宋_GBK"/>
          <w:sz w:val="44"/>
          <w:szCs w:val="32"/>
          <w:highlight w:val="none"/>
        </w:rPr>
      </w:pPr>
      <w:r>
        <w:rPr>
          <w:rFonts w:hint="eastAsia" w:eastAsia="方正小标宋_GBK"/>
          <w:sz w:val="44"/>
          <w:szCs w:val="32"/>
          <w:highlight w:val="none"/>
        </w:rPr>
        <w:t>2021</w:t>
      </w:r>
      <w:r>
        <w:rPr>
          <w:rFonts w:eastAsia="方正小标宋_GBK"/>
          <w:sz w:val="44"/>
          <w:szCs w:val="32"/>
          <w:highlight w:val="none"/>
        </w:rPr>
        <w:t>年</w:t>
      </w:r>
      <w:r>
        <w:rPr>
          <w:rFonts w:hint="eastAsia" w:eastAsia="方正小标宋_GBK"/>
          <w:sz w:val="44"/>
          <w:szCs w:val="32"/>
          <w:highlight w:val="none"/>
        </w:rPr>
        <w:t>度</w:t>
      </w:r>
      <w:r>
        <w:rPr>
          <w:rFonts w:eastAsia="方正小标宋_GBK"/>
          <w:sz w:val="44"/>
          <w:szCs w:val="32"/>
          <w:highlight w:val="none"/>
        </w:rPr>
        <w:t>整体支出绩效</w:t>
      </w:r>
      <w:r>
        <w:rPr>
          <w:rFonts w:hint="eastAsia" w:eastAsia="方正小标宋_GBK"/>
          <w:sz w:val="44"/>
          <w:szCs w:val="32"/>
          <w:highlight w:val="none"/>
        </w:rPr>
        <w:t>自评</w:t>
      </w:r>
      <w:r>
        <w:rPr>
          <w:rFonts w:eastAsia="方正小标宋_GBK"/>
          <w:sz w:val="44"/>
          <w:szCs w:val="32"/>
          <w:highlight w:val="none"/>
        </w:rPr>
        <w:t>报告</w:t>
      </w: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pStyle w:val="14"/>
        <w:spacing w:line="596" w:lineRule="exact"/>
        <w:ind w:left="357" w:firstLine="640"/>
        <w:rPr>
          <w:rFonts w:eastAsia="方正仿宋_GBK"/>
          <w:sz w:val="32"/>
          <w:szCs w:val="32"/>
          <w:highlight w:val="none"/>
        </w:rPr>
      </w:pPr>
    </w:p>
    <w:p>
      <w:pPr>
        <w:rPr>
          <w:rFonts w:hint="eastAsia" w:ascii="方正小标宋_GBK" w:hAnsi="方正小标宋_GBK" w:eastAsia="方正小标宋_GBK" w:cs="方正小标宋_GBK"/>
          <w:sz w:val="28"/>
          <w:szCs w:val="28"/>
          <w:highlight w:val="none"/>
        </w:rPr>
      </w:pPr>
      <w:r>
        <w:rPr>
          <w:rFonts w:hint="eastAsia" w:ascii="方正小标宋_GBK" w:hAnsi="方正小标宋_GBK" w:eastAsia="方正小标宋_GBK" w:cs="方正小标宋_GBK"/>
          <w:sz w:val="28"/>
          <w:szCs w:val="28"/>
          <w:highlight w:val="none"/>
        </w:rPr>
        <w:br w:type="page"/>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28"/>
          <w:szCs w:val="28"/>
          <w:highlight w:val="none"/>
        </w:rPr>
      </w:pPr>
      <w:r>
        <w:rPr>
          <w:rFonts w:hint="eastAsia" w:ascii="方正小标宋_GBK" w:hAnsi="方正小标宋_GBK" w:eastAsia="方正小标宋_GBK" w:cs="方正小标宋_GBK"/>
          <w:sz w:val="28"/>
          <w:szCs w:val="28"/>
          <w:highlight w:val="none"/>
        </w:rPr>
        <w:t>目录</w:t>
      </w:r>
    </w:p>
    <w:sdt>
      <w:sdtPr>
        <w:rPr>
          <w:rFonts w:ascii="宋体" w:hAnsi="宋体" w:eastAsia="宋体" w:cs="Times New Roman"/>
          <w:kern w:val="2"/>
          <w:sz w:val="21"/>
          <w:szCs w:val="24"/>
          <w:highlight w:val="none"/>
          <w:lang w:val="en-US" w:eastAsia="zh-CN" w:bidi="ar-SA"/>
        </w:rPr>
        <w:id w:val="147467040"/>
        <w15:color w:val="DBDBDB"/>
        <w:docPartObj>
          <w:docPartGallery w:val="Table of Contents"/>
          <w:docPartUnique/>
        </w:docPartObj>
      </w:sdtPr>
      <w:sdtEndPr>
        <w:rPr>
          <w:rFonts w:hint="eastAsia" w:ascii="方正仿宋_GBK" w:hAnsi="方正仿宋_GBK" w:eastAsia="方正仿宋_GBK" w:cs="方正仿宋_GBK"/>
          <w:kern w:val="2"/>
          <w:sz w:val="32"/>
          <w:szCs w:val="3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TOC \o "1-3" \h \u </w:instrText>
          </w:r>
          <w:r>
            <w:rPr>
              <w:rFonts w:hint="eastAsia" w:ascii="方正仿宋_GBK" w:hAnsi="方正仿宋_GBK" w:eastAsia="方正仿宋_GBK" w:cs="方正仿宋_GBK"/>
              <w:sz w:val="32"/>
              <w:szCs w:val="32"/>
              <w:highlight w:val="none"/>
            </w:rPr>
            <w:fldChar w:fldCharType="separate"/>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_Toc25500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一、基本情况</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_Toc25500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1</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_Toc12484 </w:instrText>
          </w:r>
          <w:r>
            <w:rPr>
              <w:rFonts w:hint="eastAsia" w:ascii="方正仿宋_GBK" w:hAnsi="方正仿宋_GBK" w:eastAsia="方正仿宋_GBK" w:cs="方正仿宋_GBK"/>
              <w:sz w:val="32"/>
              <w:szCs w:val="32"/>
              <w:highlight w:val="none"/>
            </w:rPr>
            <w:fldChar w:fldCharType="separate"/>
          </w:r>
          <w:r>
            <w:rPr>
              <w:rFonts w:eastAsia="方正仿宋_GBK"/>
              <w:sz w:val="32"/>
              <w:szCs w:val="32"/>
              <w:highlight w:val="none"/>
            </w:rPr>
            <w:t>（一）</w:t>
          </w:r>
          <w:r>
            <w:rPr>
              <w:rFonts w:hint="eastAsia" w:eastAsia="方正仿宋_GBK"/>
              <w:sz w:val="32"/>
              <w:szCs w:val="32"/>
              <w:highlight w:val="none"/>
              <w:lang w:eastAsia="zh-CN"/>
            </w:rPr>
            <w:t>部门基本情况</w:t>
          </w:r>
          <w:r>
            <w:rPr>
              <w:sz w:val="32"/>
              <w:szCs w:val="32"/>
            </w:rPr>
            <w:tab/>
          </w:r>
          <w:r>
            <w:rPr>
              <w:sz w:val="32"/>
              <w:szCs w:val="32"/>
            </w:rPr>
            <w:fldChar w:fldCharType="begin"/>
          </w:r>
          <w:r>
            <w:rPr>
              <w:sz w:val="32"/>
              <w:szCs w:val="32"/>
            </w:rPr>
            <w:instrText xml:space="preserve"> PAGEREF _Toc12484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_Toc3540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部门职级</w:t>
          </w:r>
          <w:r>
            <w:rPr>
              <w:sz w:val="32"/>
              <w:szCs w:val="32"/>
            </w:rPr>
            <w:tab/>
          </w:r>
          <w:r>
            <w:rPr>
              <w:sz w:val="32"/>
              <w:szCs w:val="32"/>
            </w:rPr>
            <w:fldChar w:fldCharType="begin"/>
          </w:r>
          <w:r>
            <w:rPr>
              <w:sz w:val="32"/>
              <w:szCs w:val="32"/>
            </w:rPr>
            <w:instrText xml:space="preserve"> PAGEREF _Toc3540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_Toc17344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内设机构及编制</w:t>
          </w:r>
          <w:r>
            <w:rPr>
              <w:sz w:val="32"/>
              <w:szCs w:val="32"/>
            </w:rPr>
            <w:tab/>
          </w:r>
          <w:r>
            <w:rPr>
              <w:sz w:val="32"/>
              <w:szCs w:val="32"/>
            </w:rPr>
            <w:fldChar w:fldCharType="begin"/>
          </w:r>
          <w:r>
            <w:rPr>
              <w:sz w:val="32"/>
              <w:szCs w:val="32"/>
            </w:rPr>
            <w:instrText xml:space="preserve"> PAGEREF _Toc17344 \h </w:instrText>
          </w:r>
          <w:r>
            <w:rPr>
              <w:sz w:val="32"/>
              <w:szCs w:val="32"/>
            </w:rPr>
            <w:fldChar w:fldCharType="separate"/>
          </w:r>
          <w:r>
            <w:rPr>
              <w:sz w:val="32"/>
              <w:szCs w:val="32"/>
            </w:rPr>
            <w:t>1</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_Toc10906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3、职能职责</w:t>
          </w:r>
          <w:r>
            <w:rPr>
              <w:sz w:val="32"/>
              <w:szCs w:val="32"/>
            </w:rPr>
            <w:tab/>
          </w:r>
          <w:r>
            <w:rPr>
              <w:sz w:val="32"/>
              <w:szCs w:val="32"/>
            </w:rPr>
            <w:fldChar w:fldCharType="begin"/>
          </w:r>
          <w:r>
            <w:rPr>
              <w:sz w:val="32"/>
              <w:szCs w:val="32"/>
            </w:rPr>
            <w:instrText xml:space="preserve"> PAGEREF _Toc10906 \h </w:instrText>
          </w:r>
          <w:r>
            <w:rPr>
              <w:sz w:val="32"/>
              <w:szCs w:val="32"/>
            </w:rPr>
            <w:fldChar w:fldCharType="separate"/>
          </w:r>
          <w:r>
            <w:rPr>
              <w:sz w:val="32"/>
              <w:szCs w:val="32"/>
            </w:rPr>
            <w:t>2</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_Toc19553 </w:instrText>
          </w:r>
          <w:r>
            <w:rPr>
              <w:rFonts w:hint="eastAsia" w:ascii="方正仿宋_GBK" w:hAnsi="方正仿宋_GBK" w:eastAsia="方正仿宋_GBK" w:cs="方正仿宋_GBK"/>
              <w:sz w:val="32"/>
              <w:szCs w:val="32"/>
              <w:highlight w:val="none"/>
            </w:rPr>
            <w:fldChar w:fldCharType="separate"/>
          </w:r>
          <w:r>
            <w:rPr>
              <w:rFonts w:eastAsia="方正仿宋_GBK"/>
              <w:sz w:val="32"/>
              <w:szCs w:val="32"/>
              <w:highlight w:val="none"/>
            </w:rPr>
            <w:t>（二）</w:t>
          </w:r>
          <w:r>
            <w:rPr>
              <w:rFonts w:hint="eastAsia" w:eastAsia="方正仿宋_GBK"/>
              <w:sz w:val="32"/>
              <w:szCs w:val="32"/>
              <w:highlight w:val="none"/>
            </w:rPr>
            <w:t>预算及支出情况</w:t>
          </w:r>
          <w:r>
            <w:rPr>
              <w:sz w:val="32"/>
              <w:szCs w:val="32"/>
            </w:rPr>
            <w:tab/>
          </w:r>
          <w:r>
            <w:rPr>
              <w:sz w:val="32"/>
              <w:szCs w:val="32"/>
            </w:rPr>
            <w:fldChar w:fldCharType="begin"/>
          </w:r>
          <w:r>
            <w:rPr>
              <w:sz w:val="32"/>
              <w:szCs w:val="32"/>
            </w:rPr>
            <w:instrText xml:space="preserve"> PAGEREF _Toc19553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_Toc21372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财政资金整体支出</w:t>
          </w:r>
          <w:r>
            <w:rPr>
              <w:sz w:val="32"/>
              <w:szCs w:val="32"/>
            </w:rPr>
            <w:tab/>
          </w:r>
          <w:r>
            <w:rPr>
              <w:sz w:val="32"/>
              <w:szCs w:val="32"/>
            </w:rPr>
            <w:fldChar w:fldCharType="begin"/>
          </w:r>
          <w:r>
            <w:rPr>
              <w:sz w:val="32"/>
              <w:szCs w:val="32"/>
            </w:rPr>
            <w:instrText xml:space="preserve"> PAGEREF _Toc21372 \h </w:instrText>
          </w:r>
          <w:r>
            <w:rPr>
              <w:sz w:val="32"/>
              <w:szCs w:val="32"/>
            </w:rPr>
            <w:fldChar w:fldCharType="separate"/>
          </w:r>
          <w:r>
            <w:rPr>
              <w:sz w:val="32"/>
              <w:szCs w:val="32"/>
            </w:rPr>
            <w:t>4</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_Toc27272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部门“三公”经费支出</w:t>
          </w:r>
          <w:r>
            <w:rPr>
              <w:sz w:val="32"/>
              <w:szCs w:val="32"/>
            </w:rPr>
            <w:tab/>
          </w:r>
          <w:r>
            <w:rPr>
              <w:sz w:val="32"/>
              <w:szCs w:val="32"/>
            </w:rPr>
            <w:fldChar w:fldCharType="begin"/>
          </w:r>
          <w:r>
            <w:rPr>
              <w:sz w:val="32"/>
              <w:szCs w:val="32"/>
            </w:rPr>
            <w:instrText xml:space="preserve"> PAGEREF _Toc27272 \h </w:instrText>
          </w:r>
          <w:r>
            <w:rPr>
              <w:sz w:val="32"/>
              <w:szCs w:val="32"/>
            </w:rPr>
            <w:fldChar w:fldCharType="separate"/>
          </w:r>
          <w:r>
            <w:rPr>
              <w:sz w:val="32"/>
              <w:szCs w:val="32"/>
            </w:rPr>
            <w:t>5</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_Toc2873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二、绩效评价基本情况</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_Toc2873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5</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_Toc30421 </w:instrText>
          </w:r>
          <w:r>
            <w:rPr>
              <w:rFonts w:hint="eastAsia" w:ascii="方正仿宋_GBK" w:hAnsi="方正仿宋_GBK" w:eastAsia="方正仿宋_GBK" w:cs="方正仿宋_GBK"/>
              <w:sz w:val="32"/>
              <w:szCs w:val="32"/>
              <w:highlight w:val="none"/>
            </w:rPr>
            <w:fldChar w:fldCharType="separate"/>
          </w:r>
          <w:r>
            <w:rPr>
              <w:rFonts w:eastAsia="方正仿宋_GBK"/>
              <w:sz w:val="32"/>
              <w:szCs w:val="32"/>
              <w:highlight w:val="none"/>
            </w:rPr>
            <w:t>（一）绩效评价目的</w:t>
          </w:r>
          <w:r>
            <w:rPr>
              <w:sz w:val="32"/>
              <w:szCs w:val="32"/>
            </w:rPr>
            <w:tab/>
          </w:r>
          <w:r>
            <w:rPr>
              <w:sz w:val="32"/>
              <w:szCs w:val="32"/>
            </w:rPr>
            <w:fldChar w:fldCharType="begin"/>
          </w:r>
          <w:r>
            <w:rPr>
              <w:sz w:val="32"/>
              <w:szCs w:val="32"/>
            </w:rPr>
            <w:instrText xml:space="preserve"> PAGEREF _Toc30421 \h </w:instrText>
          </w:r>
          <w:r>
            <w:rPr>
              <w:sz w:val="32"/>
              <w:szCs w:val="32"/>
            </w:rPr>
            <w:fldChar w:fldCharType="separate"/>
          </w:r>
          <w:r>
            <w:rPr>
              <w:sz w:val="32"/>
              <w:szCs w:val="32"/>
            </w:rPr>
            <w:t>5</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_Toc3431 </w:instrText>
          </w:r>
          <w:r>
            <w:rPr>
              <w:rFonts w:hint="eastAsia" w:ascii="方正仿宋_GBK" w:hAnsi="方正仿宋_GBK" w:eastAsia="方正仿宋_GBK" w:cs="方正仿宋_GBK"/>
              <w:sz w:val="32"/>
              <w:szCs w:val="32"/>
              <w:highlight w:val="none"/>
            </w:rPr>
            <w:fldChar w:fldCharType="separate"/>
          </w:r>
          <w:r>
            <w:rPr>
              <w:rFonts w:eastAsia="方正仿宋_GBK"/>
              <w:sz w:val="32"/>
              <w:szCs w:val="32"/>
              <w:highlight w:val="none"/>
            </w:rPr>
            <w:t>（二）绩效评价原则</w:t>
          </w:r>
          <w:r>
            <w:rPr>
              <w:sz w:val="32"/>
              <w:szCs w:val="32"/>
            </w:rPr>
            <w:tab/>
          </w:r>
          <w:r>
            <w:rPr>
              <w:sz w:val="32"/>
              <w:szCs w:val="32"/>
            </w:rPr>
            <w:fldChar w:fldCharType="begin"/>
          </w:r>
          <w:r>
            <w:rPr>
              <w:sz w:val="32"/>
              <w:szCs w:val="32"/>
            </w:rPr>
            <w:instrText xml:space="preserve"> PAGEREF _Toc3431 \h </w:instrText>
          </w:r>
          <w:r>
            <w:rPr>
              <w:sz w:val="32"/>
              <w:szCs w:val="32"/>
            </w:rPr>
            <w:fldChar w:fldCharType="separate"/>
          </w:r>
          <w:r>
            <w:rPr>
              <w:sz w:val="32"/>
              <w:szCs w:val="32"/>
            </w:rPr>
            <w:t>5</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_Toc13872 </w:instrText>
          </w:r>
          <w:r>
            <w:rPr>
              <w:rFonts w:hint="eastAsia" w:ascii="方正仿宋_GBK" w:hAnsi="方正仿宋_GBK" w:eastAsia="方正仿宋_GBK" w:cs="方正仿宋_GBK"/>
              <w:sz w:val="32"/>
              <w:szCs w:val="32"/>
              <w:highlight w:val="none"/>
            </w:rPr>
            <w:fldChar w:fldCharType="separate"/>
          </w:r>
          <w:r>
            <w:rPr>
              <w:rFonts w:hint="eastAsia" w:eastAsia="方正仿宋_GBK"/>
              <w:sz w:val="32"/>
              <w:szCs w:val="32"/>
              <w:highlight w:val="none"/>
              <w:lang w:eastAsia="zh-CN"/>
            </w:rPr>
            <w:t>（三）</w:t>
          </w:r>
          <w:r>
            <w:rPr>
              <w:rFonts w:eastAsia="方正仿宋_GBK"/>
              <w:sz w:val="32"/>
              <w:szCs w:val="32"/>
              <w:highlight w:val="none"/>
            </w:rPr>
            <w:t>绩效评价工作过程</w:t>
          </w:r>
          <w:r>
            <w:rPr>
              <w:sz w:val="32"/>
              <w:szCs w:val="32"/>
            </w:rPr>
            <w:tab/>
          </w:r>
          <w:r>
            <w:rPr>
              <w:sz w:val="32"/>
              <w:szCs w:val="32"/>
            </w:rPr>
            <w:fldChar w:fldCharType="begin"/>
          </w:r>
          <w:r>
            <w:rPr>
              <w:sz w:val="32"/>
              <w:szCs w:val="32"/>
            </w:rPr>
            <w:instrText xml:space="preserve"> PAGEREF _Toc13872 \h </w:instrText>
          </w:r>
          <w:r>
            <w:rPr>
              <w:sz w:val="32"/>
              <w:szCs w:val="32"/>
            </w:rPr>
            <w:fldChar w:fldCharType="separate"/>
          </w:r>
          <w:r>
            <w:rPr>
              <w:sz w:val="32"/>
              <w:szCs w:val="32"/>
            </w:rPr>
            <w:t>5</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_Toc19534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前期准备</w:t>
          </w:r>
          <w:r>
            <w:rPr>
              <w:sz w:val="32"/>
              <w:szCs w:val="32"/>
            </w:rPr>
            <w:tab/>
          </w:r>
          <w:r>
            <w:rPr>
              <w:sz w:val="32"/>
              <w:szCs w:val="32"/>
            </w:rPr>
            <w:fldChar w:fldCharType="begin"/>
          </w:r>
          <w:r>
            <w:rPr>
              <w:sz w:val="32"/>
              <w:szCs w:val="32"/>
            </w:rPr>
            <w:instrText xml:space="preserve"> PAGEREF _Toc19534 \h </w:instrText>
          </w:r>
          <w:r>
            <w:rPr>
              <w:sz w:val="32"/>
              <w:szCs w:val="32"/>
            </w:rPr>
            <w:fldChar w:fldCharType="separate"/>
          </w:r>
          <w:r>
            <w:rPr>
              <w:sz w:val="32"/>
              <w:szCs w:val="32"/>
            </w:rPr>
            <w:t>5</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_Toc5815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组织实施</w:t>
          </w:r>
          <w:r>
            <w:rPr>
              <w:sz w:val="32"/>
              <w:szCs w:val="32"/>
            </w:rPr>
            <w:tab/>
          </w:r>
          <w:r>
            <w:rPr>
              <w:sz w:val="32"/>
              <w:szCs w:val="32"/>
            </w:rPr>
            <w:fldChar w:fldCharType="begin"/>
          </w:r>
          <w:r>
            <w:rPr>
              <w:sz w:val="32"/>
              <w:szCs w:val="32"/>
            </w:rPr>
            <w:instrText xml:space="preserve"> PAGEREF _Toc5815 \h </w:instrText>
          </w:r>
          <w:r>
            <w:rPr>
              <w:sz w:val="32"/>
              <w:szCs w:val="32"/>
            </w:rPr>
            <w:fldChar w:fldCharType="separate"/>
          </w:r>
          <w:r>
            <w:rPr>
              <w:sz w:val="32"/>
              <w:szCs w:val="32"/>
            </w:rPr>
            <w:t>6</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3"/>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_Toc5795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lang w:val="en-US" w:eastAsia="zh-CN"/>
            </w:rPr>
            <w:t>3、分析评价</w:t>
          </w:r>
          <w:r>
            <w:rPr>
              <w:sz w:val="32"/>
              <w:szCs w:val="32"/>
            </w:rPr>
            <w:tab/>
          </w:r>
          <w:r>
            <w:rPr>
              <w:sz w:val="32"/>
              <w:szCs w:val="32"/>
            </w:rPr>
            <w:fldChar w:fldCharType="begin"/>
          </w:r>
          <w:r>
            <w:rPr>
              <w:sz w:val="32"/>
              <w:szCs w:val="32"/>
            </w:rPr>
            <w:instrText xml:space="preserve"> PAGEREF _Toc5795 \h </w:instrText>
          </w:r>
          <w:r>
            <w:rPr>
              <w:sz w:val="32"/>
              <w:szCs w:val="32"/>
            </w:rPr>
            <w:fldChar w:fldCharType="separate"/>
          </w:r>
          <w:r>
            <w:rPr>
              <w:sz w:val="32"/>
              <w:szCs w:val="32"/>
            </w:rPr>
            <w:t>6</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_Toc10519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三、绩效评价情况及结论</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_Toc10519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6</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_Toc27652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四、主要经验及做法</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_Toc27652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9</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6"/>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HYPERLINK \l _Toc24975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五、存在的问题和建议</w:t>
          </w:r>
          <w:r>
            <w:rPr>
              <w:rFonts w:hint="eastAsia" w:ascii="Times New Roman" w:hAnsi="Times New Roman" w:eastAsia="方正仿宋_GBK" w:cs="Times New Roman"/>
              <w:kern w:val="2"/>
              <w:sz w:val="32"/>
              <w:szCs w:val="32"/>
              <w:highlight w:val="none"/>
              <w:lang w:val="en-US" w:eastAsia="zh-CN" w:bidi="ar-SA"/>
            </w:rPr>
            <w:tab/>
          </w:r>
          <w:r>
            <w:rPr>
              <w:rFonts w:hint="eastAsia" w:ascii="Times New Roman" w:hAnsi="Times New Roman" w:eastAsia="方正仿宋_GBK" w:cs="Times New Roman"/>
              <w:kern w:val="2"/>
              <w:sz w:val="32"/>
              <w:szCs w:val="32"/>
              <w:highlight w:val="none"/>
              <w:lang w:val="en-US" w:eastAsia="zh-CN" w:bidi="ar-SA"/>
            </w:rPr>
            <w:fldChar w:fldCharType="begin"/>
          </w:r>
          <w:r>
            <w:rPr>
              <w:rFonts w:hint="eastAsia" w:ascii="Times New Roman" w:hAnsi="Times New Roman" w:eastAsia="方正仿宋_GBK" w:cs="Times New Roman"/>
              <w:kern w:val="2"/>
              <w:sz w:val="32"/>
              <w:szCs w:val="32"/>
              <w:highlight w:val="none"/>
              <w:lang w:val="en-US" w:eastAsia="zh-CN" w:bidi="ar-SA"/>
            </w:rPr>
            <w:instrText xml:space="preserve"> PAGEREF _Toc24975 \h </w:instrText>
          </w:r>
          <w:r>
            <w:rPr>
              <w:rFonts w:hint="eastAsia" w:ascii="Times New Roman" w:hAnsi="Times New Roman" w:eastAsia="方正仿宋_GBK" w:cs="Times New Roman"/>
              <w:kern w:val="2"/>
              <w:sz w:val="32"/>
              <w:szCs w:val="32"/>
              <w:highlight w:val="none"/>
              <w:lang w:val="en-US" w:eastAsia="zh-CN" w:bidi="ar-SA"/>
            </w:rPr>
            <w:fldChar w:fldCharType="separate"/>
          </w:r>
          <w:r>
            <w:rPr>
              <w:rFonts w:hint="eastAsia" w:ascii="Times New Roman" w:hAnsi="Times New Roman" w:eastAsia="方正仿宋_GBK" w:cs="Times New Roman"/>
              <w:kern w:val="2"/>
              <w:sz w:val="32"/>
              <w:szCs w:val="32"/>
              <w:highlight w:val="none"/>
              <w:lang w:val="en-US" w:eastAsia="zh-CN" w:bidi="ar-SA"/>
            </w:rPr>
            <w:t>10</w:t>
          </w:r>
          <w:r>
            <w:rPr>
              <w:rFonts w:hint="eastAsia" w:ascii="Times New Roman" w:hAnsi="Times New Roman" w:eastAsia="方正仿宋_GBK" w:cs="Times New Roman"/>
              <w:kern w:val="2"/>
              <w:sz w:val="32"/>
              <w:szCs w:val="32"/>
              <w:highlight w:val="none"/>
              <w:lang w:val="en-US" w:eastAsia="zh-CN" w:bidi="ar-SA"/>
            </w:rPr>
            <w:fldChar w:fldCharType="end"/>
          </w:r>
          <w:r>
            <w:rPr>
              <w:rFonts w:hint="eastAsia" w:ascii="Times New Roman" w:hAnsi="Times New Roman" w:eastAsia="方正仿宋_GBK" w:cs="Times New Roman"/>
              <w:kern w:val="2"/>
              <w:sz w:val="32"/>
              <w:szCs w:val="32"/>
              <w:highlight w:val="none"/>
              <w:lang w:val="en-US" w:eastAsia="zh-CN" w:bidi="ar-SA"/>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rPr>
              <w:sz w:val="32"/>
              <w:szCs w:val="32"/>
            </w:rPr>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_Toc32356 </w:instrText>
          </w:r>
          <w:r>
            <w:rPr>
              <w:rFonts w:hint="eastAsia" w:ascii="方正仿宋_GBK" w:hAnsi="方正仿宋_GBK" w:eastAsia="方正仿宋_GBK" w:cs="方正仿宋_GBK"/>
              <w:sz w:val="32"/>
              <w:szCs w:val="32"/>
              <w:highlight w:val="none"/>
            </w:rPr>
            <w:fldChar w:fldCharType="separate"/>
          </w:r>
          <w:r>
            <w:rPr>
              <w:rFonts w:eastAsia="方正仿宋_GBK"/>
              <w:sz w:val="32"/>
              <w:szCs w:val="32"/>
              <w:highlight w:val="none"/>
            </w:rPr>
            <w:t>（一）</w:t>
          </w:r>
          <w:r>
            <w:rPr>
              <w:rFonts w:hint="eastAsia" w:eastAsia="方正仿宋_GBK"/>
              <w:sz w:val="32"/>
              <w:szCs w:val="32"/>
              <w:highlight w:val="none"/>
              <w:lang w:eastAsia="zh-CN"/>
            </w:rPr>
            <w:t>存在的问题</w:t>
          </w:r>
          <w:r>
            <w:rPr>
              <w:sz w:val="32"/>
              <w:szCs w:val="32"/>
            </w:rPr>
            <w:tab/>
          </w:r>
          <w:r>
            <w:rPr>
              <w:sz w:val="32"/>
              <w:szCs w:val="32"/>
            </w:rPr>
            <w:fldChar w:fldCharType="begin"/>
          </w:r>
          <w:r>
            <w:rPr>
              <w:sz w:val="32"/>
              <w:szCs w:val="32"/>
            </w:rPr>
            <w:instrText xml:space="preserve"> PAGEREF _Toc32356 \h </w:instrText>
          </w:r>
          <w:r>
            <w:rPr>
              <w:sz w:val="32"/>
              <w:szCs w:val="32"/>
            </w:rPr>
            <w:fldChar w:fldCharType="separate"/>
          </w:r>
          <w:r>
            <w:rPr>
              <w:sz w:val="32"/>
              <w:szCs w:val="32"/>
            </w:rPr>
            <w:t>10</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7"/>
            <w:keepNext w:val="0"/>
            <w:keepLines w:val="0"/>
            <w:pageBreakBefore w:val="0"/>
            <w:widowControl w:val="0"/>
            <w:tabs>
              <w:tab w:val="right" w:leader="dot" w:pos="8958"/>
            </w:tabs>
            <w:kinsoku/>
            <w:wordWrap/>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HYPERLINK \l _Toc17973 </w:instrText>
          </w:r>
          <w:r>
            <w:rPr>
              <w:rFonts w:hint="eastAsia" w:ascii="方正仿宋_GBK" w:hAnsi="方正仿宋_GBK" w:eastAsia="方正仿宋_GBK" w:cs="方正仿宋_GBK"/>
              <w:sz w:val="32"/>
              <w:szCs w:val="32"/>
              <w:highlight w:val="none"/>
            </w:rPr>
            <w:fldChar w:fldCharType="separate"/>
          </w:r>
          <w:r>
            <w:rPr>
              <w:rFonts w:eastAsia="方正仿宋_GBK"/>
              <w:sz w:val="32"/>
              <w:szCs w:val="32"/>
              <w:highlight w:val="none"/>
            </w:rPr>
            <w:t>（</w:t>
          </w:r>
          <w:r>
            <w:rPr>
              <w:rFonts w:hint="eastAsia" w:eastAsia="方正仿宋_GBK"/>
              <w:sz w:val="32"/>
              <w:szCs w:val="32"/>
              <w:highlight w:val="none"/>
              <w:lang w:eastAsia="zh-CN"/>
            </w:rPr>
            <w:t>二</w:t>
          </w:r>
          <w:r>
            <w:rPr>
              <w:rFonts w:eastAsia="方正仿宋_GBK"/>
              <w:sz w:val="32"/>
              <w:szCs w:val="32"/>
              <w:highlight w:val="none"/>
            </w:rPr>
            <w:t>）</w:t>
          </w:r>
          <w:r>
            <w:rPr>
              <w:rFonts w:hint="eastAsia" w:eastAsia="方正仿宋_GBK"/>
              <w:sz w:val="32"/>
              <w:szCs w:val="32"/>
              <w:highlight w:val="none"/>
              <w:lang w:eastAsia="zh-CN"/>
            </w:rPr>
            <w:t>建议</w:t>
          </w:r>
          <w:r>
            <w:rPr>
              <w:sz w:val="32"/>
              <w:szCs w:val="32"/>
            </w:rPr>
            <w:tab/>
          </w:r>
          <w:r>
            <w:rPr>
              <w:sz w:val="32"/>
              <w:szCs w:val="32"/>
            </w:rPr>
            <w:fldChar w:fldCharType="begin"/>
          </w:r>
          <w:r>
            <w:rPr>
              <w:sz w:val="32"/>
              <w:szCs w:val="32"/>
            </w:rPr>
            <w:instrText xml:space="preserve"> PAGEREF _Toc17973 \h </w:instrText>
          </w:r>
          <w:r>
            <w:rPr>
              <w:sz w:val="32"/>
              <w:szCs w:val="32"/>
            </w:rPr>
            <w:fldChar w:fldCharType="separate"/>
          </w:r>
          <w:r>
            <w:rPr>
              <w:sz w:val="32"/>
              <w:szCs w:val="32"/>
            </w:rPr>
            <w:t>10</w:t>
          </w:r>
          <w:r>
            <w:rPr>
              <w:sz w:val="32"/>
              <w:szCs w:val="32"/>
            </w:rPr>
            <w:fldChar w:fldCharType="end"/>
          </w:r>
          <w:r>
            <w:rPr>
              <w:rFonts w:hint="eastAsia" w:ascii="方正仿宋_GBK" w:hAnsi="方正仿宋_GBK" w:eastAsia="方正仿宋_GBK" w:cs="方正仿宋_GBK"/>
              <w:sz w:val="32"/>
              <w:szCs w:val="32"/>
              <w:highlight w:val="none"/>
            </w:rPr>
            <w:fldChar w:fldCharType="end"/>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pPr>
          <w:r>
            <w:rPr>
              <w:rFonts w:hint="eastAsia" w:ascii="方正仿宋_GBK" w:hAnsi="方正仿宋_GBK" w:eastAsia="方正仿宋_GBK" w:cs="方正仿宋_GBK"/>
              <w:szCs w:val="32"/>
              <w:highlight w:val="none"/>
            </w:rPr>
            <w:fldChar w:fldCharType="end"/>
          </w:r>
        </w:p>
      </w:sdtContent>
    </w:sdt>
    <w:p>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br w:type="page"/>
      </w:r>
    </w:p>
    <w:p>
      <w:pPr>
        <w:spacing w:line="560" w:lineRule="exact"/>
        <w:ind w:firstLine="640" w:firstLineChars="200"/>
        <w:rPr>
          <w:rFonts w:eastAsia="方正黑体_GBK"/>
          <w:sz w:val="32"/>
          <w:szCs w:val="32"/>
          <w:highlight w:val="none"/>
        </w:rPr>
      </w:pPr>
      <w:r>
        <w:rPr>
          <w:rFonts w:hint="eastAsia" w:ascii="方正仿宋_GBK" w:hAnsi="方正仿宋_GBK" w:eastAsia="方正仿宋_GBK" w:cs="方正仿宋_GBK"/>
          <w:color w:val="auto"/>
          <w:sz w:val="32"/>
          <w:szCs w:val="32"/>
          <w:highlight w:val="none"/>
        </w:rPr>
        <w:t>为加强财政资金的管理，提高财政资金的使用效益。根据《</w:t>
      </w:r>
      <w:r>
        <w:rPr>
          <w:rFonts w:hint="eastAsia" w:ascii="方正仿宋_GBK" w:hAnsi="方正仿宋_GBK" w:eastAsia="方正仿宋_GBK" w:cs="方正仿宋_GBK"/>
          <w:color w:val="auto"/>
          <w:sz w:val="32"/>
          <w:szCs w:val="32"/>
          <w:highlight w:val="none"/>
          <w:lang w:eastAsia="zh-CN"/>
        </w:rPr>
        <w:t>重庆市财政局关于加快推进预算绩效管理工作的通知</w:t>
      </w:r>
      <w:r>
        <w:rPr>
          <w:rFonts w:hint="eastAsia" w:ascii="方正仿宋_GBK" w:hAnsi="方正仿宋_GBK" w:eastAsia="方正仿宋_GBK" w:cs="方正仿宋_GBK"/>
          <w:color w:val="auto"/>
          <w:sz w:val="32"/>
          <w:szCs w:val="32"/>
          <w:highlight w:val="none"/>
        </w:rPr>
        <w:t>》（渝财绩〔202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〕1号）、《重庆市璧山区财政局关于开展2021年度预算绩效自评工作的通知》（璧财绩〔2022〕2号）</w:t>
      </w:r>
      <w:r>
        <w:rPr>
          <w:rFonts w:hint="eastAsia" w:ascii="方正仿宋_GBK" w:hAnsi="方正仿宋_GBK" w:eastAsia="方正仿宋_GBK" w:cs="方正仿宋_GBK"/>
          <w:color w:val="auto"/>
          <w:sz w:val="32"/>
          <w:szCs w:val="32"/>
          <w:highlight w:val="none"/>
          <w:lang w:val="en-US" w:eastAsia="zh-CN"/>
        </w:rPr>
        <w:t>文件要求</w:t>
      </w:r>
      <w:r>
        <w:rPr>
          <w:rFonts w:hint="eastAsia" w:ascii="方正仿宋_GBK" w:hAnsi="方正仿宋_GBK" w:eastAsia="方正仿宋_GBK" w:cs="方正仿宋_GBK"/>
          <w:color w:val="auto"/>
          <w:sz w:val="32"/>
          <w:szCs w:val="32"/>
          <w:highlight w:val="none"/>
        </w:rPr>
        <w:t>，形成202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度</w:t>
      </w:r>
      <w:r>
        <w:rPr>
          <w:rFonts w:hint="eastAsia" w:ascii="方正仿宋_GBK" w:hAnsi="方正仿宋_GBK" w:eastAsia="方正仿宋_GBK" w:cs="方正仿宋_GBK"/>
          <w:color w:val="auto"/>
          <w:sz w:val="32"/>
          <w:szCs w:val="32"/>
          <w:highlight w:val="none"/>
          <w:lang w:val="en-US" w:eastAsia="zh-CN"/>
        </w:rPr>
        <w:t>部门</w:t>
      </w:r>
      <w:r>
        <w:rPr>
          <w:rFonts w:hint="eastAsia" w:ascii="方正仿宋_GBK" w:hAnsi="方正仿宋_GBK" w:eastAsia="方正仿宋_GBK" w:cs="方正仿宋_GBK"/>
          <w:color w:val="auto"/>
          <w:sz w:val="32"/>
          <w:szCs w:val="32"/>
          <w:highlight w:val="none"/>
        </w:rPr>
        <w:t>整体支出绩效自评报告如下：</w:t>
      </w:r>
    </w:p>
    <w:p>
      <w:pPr>
        <w:spacing w:line="596" w:lineRule="exact"/>
        <w:ind w:firstLine="640" w:firstLineChars="200"/>
        <w:outlineLvl w:val="0"/>
        <w:rPr>
          <w:rFonts w:eastAsia="方正黑体_GBK"/>
          <w:sz w:val="32"/>
          <w:szCs w:val="32"/>
          <w:highlight w:val="none"/>
        </w:rPr>
      </w:pPr>
      <w:bookmarkStart w:id="0" w:name="_Toc25500"/>
      <w:r>
        <w:rPr>
          <w:rFonts w:eastAsia="方正黑体_GBK"/>
          <w:sz w:val="32"/>
          <w:szCs w:val="32"/>
          <w:highlight w:val="none"/>
        </w:rPr>
        <w:t>一、基本</w:t>
      </w:r>
      <w:r>
        <w:rPr>
          <w:rFonts w:hint="eastAsia" w:eastAsia="方正黑体_GBK"/>
          <w:sz w:val="32"/>
          <w:szCs w:val="32"/>
          <w:highlight w:val="none"/>
        </w:rPr>
        <w:t>情况</w:t>
      </w:r>
      <w:bookmarkEnd w:id="0"/>
    </w:p>
    <w:p>
      <w:pPr>
        <w:spacing w:line="596" w:lineRule="exact"/>
        <w:ind w:firstLine="640" w:firstLineChars="200"/>
        <w:outlineLvl w:val="1"/>
        <w:rPr>
          <w:rFonts w:hint="eastAsia" w:eastAsia="方正仿宋_GBK"/>
          <w:sz w:val="32"/>
          <w:szCs w:val="32"/>
          <w:highlight w:val="none"/>
          <w:lang w:eastAsia="zh-CN"/>
        </w:rPr>
      </w:pPr>
      <w:bookmarkStart w:id="1" w:name="_Toc12484"/>
      <w:r>
        <w:rPr>
          <w:rFonts w:eastAsia="方正仿宋_GBK"/>
          <w:sz w:val="32"/>
          <w:szCs w:val="32"/>
          <w:highlight w:val="none"/>
        </w:rPr>
        <w:t>（一）</w:t>
      </w:r>
      <w:r>
        <w:rPr>
          <w:rFonts w:hint="eastAsia" w:eastAsia="方正仿宋_GBK"/>
          <w:sz w:val="32"/>
          <w:szCs w:val="32"/>
          <w:highlight w:val="none"/>
          <w:lang w:eastAsia="zh-CN"/>
        </w:rPr>
        <w:t>部门基本情况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bookmarkStart w:id="2" w:name="_Toc3540"/>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部门职级</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重庆市璧山区科学技术局是区政府工作部门，为正处级。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bookmarkStart w:id="3" w:name="_Toc17344"/>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内设机构及编制</w:t>
      </w:r>
      <w:bookmarkEnd w:id="3"/>
    </w:p>
    <w:p>
      <w:pPr>
        <w:spacing w:line="560" w:lineRule="exact"/>
        <w:ind w:firstLine="640" w:firstLineChars="200"/>
        <w:rPr>
          <w:rFonts w:hint="default"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val="en-US" w:eastAsia="zh-CN"/>
        </w:rPr>
        <w:t>科学技术</w:t>
      </w:r>
      <w:r>
        <w:rPr>
          <w:rFonts w:hint="eastAsia" w:ascii="方正仿宋_GBK" w:hAnsi="方正仿宋_GBK" w:eastAsia="方正仿宋_GBK" w:cs="方正仿宋_GBK"/>
          <w:color w:val="auto"/>
          <w:sz w:val="32"/>
          <w:szCs w:val="32"/>
          <w:highlight w:val="none"/>
        </w:rPr>
        <w:t>局设下列内设机构：</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）办公室。负责机关日常运转，承担纪检监察、组织人事、宣传统战、财务、督查督办、政务公开、信访稳定、安全、保密、科普、科技监督、科研诚信建设及行政执法监督等工作，其他相关工作。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技术创新科。负责资源配置与管理，承担科研项目管理及经费安排，本部门预算；负责高新技术及科技企业发展，拟订高新技术发展和企业技术创新政策措施，牵头组织关键技术攻关、高新技术发展及产业化、科技型企业和高新技术企业培育、科技金融、科技人才、研发投入、高新技术产品推荐等工作；负责农村科技工作，承担科技特派员服务、科技下乡、平台规划实施等工作，助力乡村振兴、精准扶贫协调推进；其他相关工作。</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规划发展科。负责科技体制改革，拟订科技发展规划和年度工作计划，拟订贯彻落实国家创新驱动发展战略、重大科技创新的政策措施，承担科技调查统计工作；负责基础研究，拟定技术创新中心等研发平台建设计划并组织实施；负责科技成果转化与创新创业工作，拟订科技成果转化及产业化政策措施，协调推进众创空间、孵化器建设；引进推动科技服务业、技术市场、科技中介组织发展服务机构；负责科技开放合作共享、科技资源共享工作，引进科技创新资源、联系服务外国专家，组织参加会展活动，推动科技军民融合发展；负责社会民生科技工作，拟订科技促进社会民生领域发展政策措施，推动社会民生领域重大关键技术攻关；其他相关工作。</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区科技局机关核定行政编制9名；设局长1名，副局长2名，科级领导职数3名。</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机关后勤服务人员事业编制1名。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bookmarkStart w:id="4" w:name="_Toc10906"/>
      <w:r>
        <w:rPr>
          <w:rFonts w:hint="eastAsia" w:ascii="方正仿宋_GBK" w:hAnsi="方正仿宋_GBK" w:eastAsia="方正仿宋_GBK" w:cs="方正仿宋_GBK"/>
          <w:color w:val="auto"/>
          <w:sz w:val="32"/>
          <w:szCs w:val="32"/>
          <w:highlight w:val="none"/>
          <w:lang w:val="en-US" w:eastAsia="zh-CN"/>
        </w:rPr>
        <w:t>3、职能职责</w:t>
      </w:r>
      <w:bookmarkEnd w:id="4"/>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贯彻落实党中央、市委、区委关于科技创新工作的方针政策和决策部署，拟订全区落实创新驱动发展战略、科技发展、引进国外智力计划和政策措施并组织实施，在履行职责过程中坚持和加强党对科技创新工作的集中统一领导。</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）统筹推进全区创新体系建设和科技体制改革，会同有关部门健全技术创新激励机制。优化科研体系建设，指导科研机构改革发展，推动企业科技创新能力建设，承担推进科技军民融合发展相关工作。</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编制区级科技项目计划并组织实施，统筹协调基础研究、关键共性技术、前沿引领技术、现代工程技术、颠覆性技术研发和创新，加强科技项目资金的监管。会同有关部门提出优化配置科技资源的政策措施建议，推动多元化科技投入和科技金融结合。协调管理区级财政科技计划（专项、基金等）并监督实施。</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）拟订科技创新基地建设规划并组织实施，参与编制科技基础设施建设规划和组织实施，开展技术创新中心等研发平台建设，推动科研条件保障建设、科技资源开放共享。</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组织拟订高新技术发展及产业化、科技促进农业农村和社会发展政策措施并组织实施。负责高新技术产品、高新技术企业、科技型企业审核推荐工作。组织开展重点领域技术发展需求分析，提出重大任务并监督实施。统筹区域科技创新体系建设，推动区域创新发展、科技资源合理布局和协同创新能力建设，推动科技园区建设。</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t>）推动技术转移和科技成果转化，促进产学研结合。指导科技服务业、技术市场和科技中介组织发展。</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t>）负责科技监督评价体系建设和科技评估管理，统筹科研诚信建设。组织实施创新调查和科技报告制度，承担全区科技保密工作。</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lang w:eastAsia="zh-CN"/>
        </w:rPr>
        <w:t>）开展对外交流与创新能力开放合作，组织开展国内外科技合作与科技人才交流。</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lang w:eastAsia="zh-CN"/>
        </w:rPr>
        <w:t>）会同有关部门拟定科技人才队伍建设计划和政策措施并组织实施，建立健全科技人才评价和激励机制，推动科技创新人才队伍建设。拟订科学普及和科学传播计划、政策措施并组织实施。</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lang w:eastAsia="zh-CN"/>
        </w:rPr>
        <w:t>）承担引进科技创新资源、培育科技型企业和高新技术企业、科技宣传等工作。</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lang w:eastAsia="zh-CN"/>
        </w:rPr>
        <w:t>）负责引进国外智力工作。拟订引进国外专家计划并组织实施，建立国外科学家、团队吸引集聚和重点外国专家联系服务机制。</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12</w:t>
      </w:r>
      <w:r>
        <w:rPr>
          <w:rFonts w:hint="eastAsia" w:ascii="方正仿宋_GBK" w:hAnsi="方正仿宋_GBK" w:eastAsia="方正仿宋_GBK" w:cs="方正仿宋_GBK"/>
          <w:color w:val="auto"/>
          <w:sz w:val="32"/>
          <w:szCs w:val="32"/>
          <w:highlight w:val="none"/>
          <w:lang w:eastAsia="zh-CN"/>
        </w:rPr>
        <w:t>）负责机关、下属单位和行业社会组织党建工作。</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13</w:t>
      </w:r>
      <w:r>
        <w:rPr>
          <w:rFonts w:hint="eastAsia" w:ascii="方正仿宋_GBK" w:hAnsi="方正仿宋_GBK" w:eastAsia="方正仿宋_GBK" w:cs="方正仿宋_GBK"/>
          <w:color w:val="auto"/>
          <w:sz w:val="32"/>
          <w:szCs w:val="32"/>
          <w:highlight w:val="none"/>
          <w:lang w:eastAsia="zh-CN"/>
        </w:rPr>
        <w:t>）完成区委和区政府交办的其他任务。</w:t>
      </w:r>
    </w:p>
    <w:p>
      <w:pPr>
        <w:spacing w:line="596"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lang w:eastAsia="zh-CN"/>
        </w:rPr>
        <w:t>）职能转变。围绕贯彻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上级要求推进政府部门不直接管理具体科研项目，委托专业机构开展项目受理、评审、立项、过程管理、验收等具体工作。进一步改进科技人才评价机制，建立健全以创新能力、质量、贡献、绩效为导向的科技人才评价体系和激励措施，统筹我区科技人才队伍建设和引进国外智力工作。</w:t>
      </w:r>
    </w:p>
    <w:p>
      <w:pPr>
        <w:spacing w:line="596" w:lineRule="exact"/>
        <w:outlineLvl w:val="1"/>
        <w:rPr>
          <w:rFonts w:eastAsia="方正仿宋_GBK"/>
          <w:sz w:val="32"/>
          <w:szCs w:val="32"/>
          <w:highlight w:val="none"/>
        </w:rPr>
      </w:pPr>
      <w:bookmarkStart w:id="5" w:name="_Toc19553"/>
      <w:r>
        <w:rPr>
          <w:rFonts w:eastAsia="方正仿宋_GBK"/>
          <w:sz w:val="32"/>
          <w:szCs w:val="32"/>
          <w:highlight w:val="none"/>
        </w:rPr>
        <w:t>（二）</w:t>
      </w:r>
      <w:r>
        <w:rPr>
          <w:rFonts w:hint="eastAsia" w:eastAsia="方正仿宋_GBK"/>
          <w:sz w:val="32"/>
          <w:szCs w:val="32"/>
          <w:highlight w:val="none"/>
        </w:rPr>
        <w:t>预算及支出情况</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rPr>
      </w:pPr>
      <w:bookmarkStart w:id="6" w:name="_Toc21372"/>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财政资金整体支出</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年财政资金年初支出预算为2854</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8</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万元，年中调整预算为</w:t>
      </w:r>
      <w:r>
        <w:rPr>
          <w:rFonts w:hint="eastAsia" w:ascii="方正仿宋_GBK" w:hAnsi="方正仿宋_GBK" w:eastAsia="方正仿宋_GBK" w:cs="方正仿宋_GBK"/>
          <w:color w:val="auto"/>
          <w:kern w:val="0"/>
          <w:sz w:val="32"/>
          <w:szCs w:val="32"/>
          <w:highlight w:val="none"/>
          <w:shd w:val="clear" w:color="auto" w:fill="FFFFFF"/>
          <w:lang w:val="en-US" w:eastAsia="zh-CN"/>
        </w:rPr>
        <w:t>2402.78</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kern w:val="0"/>
          <w:sz w:val="32"/>
          <w:szCs w:val="32"/>
          <w:highlight w:val="none"/>
          <w:shd w:val="clear" w:color="auto" w:fill="FFFFFF"/>
          <w:lang w:val="en-US" w:eastAsia="zh-CN"/>
        </w:rPr>
        <w:t>上年无结转</w:t>
      </w:r>
      <w:r>
        <w:rPr>
          <w:rFonts w:hint="eastAsia" w:ascii="方正仿宋_GBK" w:hAnsi="方正仿宋_GBK" w:eastAsia="方正仿宋_GBK" w:cs="方正仿宋_GBK"/>
          <w:color w:val="auto"/>
          <w:sz w:val="32"/>
          <w:szCs w:val="32"/>
          <w:highlight w:val="none"/>
        </w:rPr>
        <w:t>，调整后支出预算为2402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78万元；年末支出决算为2402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78万元</w:t>
      </w:r>
      <w:r>
        <w:rPr>
          <w:rFonts w:hint="eastAsia" w:ascii="方正仿宋_GBK" w:hAnsi="方正仿宋_GBK" w:eastAsia="方正仿宋_GBK" w:cs="方正仿宋_GBK"/>
          <w:color w:val="auto"/>
          <w:sz w:val="32"/>
          <w:szCs w:val="32"/>
          <w:highlight w:val="none"/>
          <w:lang w:eastAsia="zh-CN"/>
        </w:rPr>
        <w:t>，年末</w:t>
      </w:r>
      <w:r>
        <w:rPr>
          <w:rFonts w:hint="eastAsia" w:ascii="方正仿宋_GBK" w:hAnsi="方正仿宋_GBK" w:eastAsia="方正仿宋_GBK" w:cs="方正仿宋_GBK"/>
          <w:color w:val="auto"/>
          <w:sz w:val="32"/>
          <w:szCs w:val="32"/>
          <w:highlight w:val="none"/>
          <w:lang w:val="en-US" w:eastAsia="zh-CN"/>
        </w:rPr>
        <w:t>无</w:t>
      </w:r>
      <w:r>
        <w:rPr>
          <w:rFonts w:hint="eastAsia" w:ascii="方正仿宋_GBK" w:hAnsi="方正仿宋_GBK" w:eastAsia="方正仿宋_GBK" w:cs="方正仿宋_GBK"/>
          <w:color w:val="auto"/>
          <w:sz w:val="32"/>
          <w:szCs w:val="32"/>
          <w:highlight w:val="none"/>
          <w:lang w:eastAsia="zh-CN"/>
        </w:rPr>
        <w:t>结转和结余。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rPr>
      </w:pPr>
      <w:bookmarkStart w:id="7" w:name="_Toc27272"/>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部门“三公”经费支出</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方正仿宋_GBK"/>
          <w:highlight w:val="none"/>
          <w:lang w:eastAsia="zh-CN"/>
        </w:rPr>
      </w:pPr>
      <w:r>
        <w:rPr>
          <w:rFonts w:hint="eastAsia" w:ascii="方正仿宋_GBK" w:hAnsi="方正仿宋_GBK" w:eastAsia="方正仿宋_GBK" w:cs="方正仿宋_GBK"/>
          <w:color w:val="auto"/>
          <w:sz w:val="32"/>
          <w:szCs w:val="32"/>
          <w:highlight w:val="none"/>
          <w:lang w:val="en-US" w:eastAsia="zh-CN"/>
        </w:rPr>
        <w:t>2021年</w:t>
      </w:r>
      <w:r>
        <w:rPr>
          <w:rFonts w:hint="eastAsia" w:ascii="方正仿宋_GBK" w:hAnsi="方正仿宋_GBK" w:eastAsia="方正仿宋_GBK" w:cs="方正仿宋_GBK"/>
          <w:color w:val="auto"/>
          <w:sz w:val="32"/>
          <w:szCs w:val="32"/>
          <w:highlight w:val="none"/>
        </w:rPr>
        <w:t>“三公”经费支出总额</w:t>
      </w:r>
      <w:r>
        <w:rPr>
          <w:rFonts w:hint="eastAsia" w:ascii="方正仿宋_GBK" w:hAnsi="方正仿宋_GBK" w:eastAsia="方正仿宋_GBK" w:cs="方正仿宋_GBK"/>
          <w:color w:val="auto"/>
          <w:sz w:val="32"/>
          <w:szCs w:val="32"/>
          <w:highlight w:val="none"/>
          <w:lang w:val="en-US" w:eastAsia="zh-CN"/>
        </w:rPr>
        <w:t>5.66</w:t>
      </w:r>
      <w:r>
        <w:rPr>
          <w:rFonts w:hint="eastAsia" w:ascii="方正仿宋_GBK" w:hAnsi="方正仿宋_GBK" w:eastAsia="方正仿宋_GBK" w:cs="方正仿宋_GBK"/>
          <w:color w:val="auto"/>
          <w:sz w:val="32"/>
          <w:szCs w:val="32"/>
          <w:highlight w:val="none"/>
        </w:rPr>
        <w:t>万元，其中：公务车运行维护费</w:t>
      </w:r>
      <w:r>
        <w:rPr>
          <w:rFonts w:hint="eastAsia" w:ascii="方正仿宋_GBK" w:hAnsi="方正仿宋_GBK" w:eastAsia="方正仿宋_GBK" w:cs="方正仿宋_GBK"/>
          <w:color w:val="auto"/>
          <w:sz w:val="32"/>
          <w:szCs w:val="32"/>
          <w:highlight w:val="none"/>
          <w:lang w:val="en-US" w:eastAsia="zh-CN"/>
        </w:rPr>
        <w:t>2.21</w:t>
      </w:r>
      <w:r>
        <w:rPr>
          <w:rFonts w:hint="eastAsia" w:ascii="方正仿宋_GBK" w:hAnsi="方正仿宋_GBK" w:eastAsia="方正仿宋_GBK" w:cs="方正仿宋_GBK"/>
          <w:color w:val="auto"/>
          <w:sz w:val="32"/>
          <w:szCs w:val="32"/>
          <w:highlight w:val="none"/>
        </w:rPr>
        <w:t>万元、国内公务接待</w:t>
      </w:r>
      <w:r>
        <w:rPr>
          <w:rFonts w:hint="eastAsia" w:ascii="方正仿宋_GBK" w:hAnsi="方正仿宋_GBK" w:eastAsia="方正仿宋_GBK" w:cs="方正仿宋_GBK"/>
          <w:color w:val="auto"/>
          <w:sz w:val="32"/>
          <w:szCs w:val="32"/>
          <w:highlight w:val="none"/>
          <w:lang w:val="en-US" w:eastAsia="zh-CN"/>
        </w:rPr>
        <w:t>3.46</w:t>
      </w:r>
      <w:r>
        <w:rPr>
          <w:rFonts w:hint="eastAsia" w:ascii="方正仿宋_GBK" w:hAnsi="方正仿宋_GBK" w:eastAsia="方正仿宋_GBK" w:cs="方正仿宋_GBK"/>
          <w:color w:val="auto"/>
          <w:sz w:val="32"/>
          <w:szCs w:val="32"/>
          <w:highlight w:val="none"/>
        </w:rPr>
        <w:t>万元。年初预算支出11.3万，比预算减少</w:t>
      </w:r>
      <w:r>
        <w:rPr>
          <w:rFonts w:hint="eastAsia" w:ascii="方正仿宋_GBK" w:hAnsi="方正仿宋_GBK" w:eastAsia="方正仿宋_GBK" w:cs="方正仿宋_GBK"/>
          <w:color w:val="auto"/>
          <w:sz w:val="32"/>
          <w:szCs w:val="32"/>
          <w:highlight w:val="none"/>
          <w:lang w:val="en-US" w:eastAsia="zh-CN"/>
        </w:rPr>
        <w:t>16.34</w:t>
      </w:r>
      <w:r>
        <w:rPr>
          <w:rFonts w:hint="eastAsia" w:ascii="方正仿宋_GBK" w:hAnsi="方正仿宋_GBK" w:eastAsia="方正仿宋_GBK" w:cs="方正仿宋_GBK"/>
          <w:color w:val="auto"/>
          <w:sz w:val="32"/>
          <w:szCs w:val="32"/>
          <w:highlight w:val="none"/>
        </w:rPr>
        <w:t>万元，主</w:t>
      </w:r>
      <w:r>
        <w:rPr>
          <w:rFonts w:hint="eastAsia" w:ascii="方正仿宋_GBK" w:hAnsi="方正仿宋_GBK" w:eastAsia="方正仿宋_GBK" w:cs="方正仿宋_GBK"/>
          <w:color w:val="auto"/>
          <w:sz w:val="32"/>
          <w:szCs w:val="32"/>
          <w:highlight w:val="none"/>
          <w:lang w:val="en-US" w:eastAsia="zh-CN"/>
        </w:rPr>
        <w:t>要</w:t>
      </w:r>
      <w:r>
        <w:rPr>
          <w:rFonts w:hint="eastAsia" w:ascii="方正仿宋_GBK" w:hAnsi="方正仿宋_GBK" w:eastAsia="方正仿宋_GBK" w:cs="方正仿宋_GBK"/>
          <w:color w:val="auto"/>
          <w:sz w:val="32"/>
          <w:szCs w:val="32"/>
          <w:highlight w:val="none"/>
        </w:rPr>
        <w:t>原因是国内公务接待减少。公务用车未新购置、保有量为</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辆、无因公出国（境）团组数及人数，国内公务接待</w:t>
      </w:r>
      <w:r>
        <w:rPr>
          <w:rFonts w:hint="eastAsia" w:ascii="方正仿宋_GBK" w:hAnsi="方正仿宋_GBK" w:eastAsia="方正仿宋_GBK" w:cs="方正仿宋_GBK"/>
          <w:color w:val="auto"/>
          <w:sz w:val="32"/>
          <w:szCs w:val="32"/>
          <w:highlight w:val="none"/>
          <w:lang w:val="en-US" w:eastAsia="zh-CN"/>
        </w:rPr>
        <w:t>50</w:t>
      </w:r>
      <w:r>
        <w:rPr>
          <w:rFonts w:hint="eastAsia" w:ascii="方正仿宋_GBK" w:hAnsi="方正仿宋_GBK" w:eastAsia="方正仿宋_GBK" w:cs="方正仿宋_GBK"/>
          <w:color w:val="auto"/>
          <w:sz w:val="32"/>
          <w:szCs w:val="32"/>
          <w:highlight w:val="none"/>
        </w:rPr>
        <w:t>批次及</w:t>
      </w:r>
      <w:r>
        <w:rPr>
          <w:rFonts w:hint="eastAsia" w:ascii="方正仿宋_GBK" w:hAnsi="方正仿宋_GBK" w:eastAsia="方正仿宋_GBK" w:cs="方正仿宋_GBK"/>
          <w:color w:val="auto"/>
          <w:sz w:val="32"/>
          <w:szCs w:val="32"/>
          <w:highlight w:val="none"/>
          <w:lang w:val="en-US" w:eastAsia="zh-CN"/>
        </w:rPr>
        <w:t>450</w:t>
      </w:r>
      <w:r>
        <w:rPr>
          <w:rFonts w:hint="eastAsia" w:ascii="方正仿宋_GBK" w:hAnsi="方正仿宋_GBK" w:eastAsia="方正仿宋_GBK" w:cs="方正仿宋_GBK"/>
          <w:color w:val="auto"/>
          <w:sz w:val="32"/>
          <w:szCs w:val="32"/>
          <w:highlight w:val="none"/>
        </w:rPr>
        <w:t>人</w:t>
      </w:r>
      <w:r>
        <w:rPr>
          <w:rFonts w:hint="eastAsia" w:ascii="方正仿宋_GBK" w:hAnsi="方正仿宋_GBK" w:eastAsia="方正仿宋_GBK" w:cs="方正仿宋_GBK"/>
          <w:color w:val="auto"/>
          <w:sz w:val="32"/>
          <w:szCs w:val="32"/>
          <w:highlight w:val="none"/>
          <w:lang w:val="en-US" w:eastAsia="zh-CN"/>
        </w:rPr>
        <w:t>次</w:t>
      </w:r>
      <w:r>
        <w:rPr>
          <w:rFonts w:hint="eastAsia" w:ascii="方正仿宋_GBK" w:hAnsi="方正仿宋_GBK" w:eastAsia="方正仿宋_GBK" w:cs="方正仿宋_GBK"/>
          <w:color w:val="auto"/>
          <w:sz w:val="32"/>
          <w:szCs w:val="32"/>
          <w:highlight w:val="none"/>
          <w:lang w:eastAsia="zh-CN"/>
        </w:rPr>
        <w:t>。</w:t>
      </w:r>
    </w:p>
    <w:p>
      <w:pPr>
        <w:spacing w:line="596" w:lineRule="exact"/>
        <w:ind w:firstLine="640" w:firstLineChars="200"/>
        <w:outlineLvl w:val="0"/>
        <w:rPr>
          <w:rFonts w:eastAsia="方正仿宋_GBK"/>
          <w:sz w:val="32"/>
          <w:szCs w:val="32"/>
          <w:highlight w:val="none"/>
        </w:rPr>
      </w:pPr>
      <w:bookmarkStart w:id="8" w:name="_Toc2873"/>
      <w:r>
        <w:rPr>
          <w:rFonts w:eastAsia="方正黑体_GBK"/>
          <w:sz w:val="32"/>
          <w:szCs w:val="32"/>
          <w:highlight w:val="none"/>
        </w:rPr>
        <w:t>二、绩效评价</w:t>
      </w:r>
      <w:r>
        <w:rPr>
          <w:rFonts w:hint="eastAsia" w:eastAsia="方正黑体_GBK"/>
          <w:sz w:val="32"/>
          <w:szCs w:val="32"/>
          <w:highlight w:val="none"/>
        </w:rPr>
        <w:t>基本</w:t>
      </w:r>
      <w:r>
        <w:rPr>
          <w:rFonts w:eastAsia="方正黑体_GBK"/>
          <w:sz w:val="32"/>
          <w:szCs w:val="32"/>
          <w:highlight w:val="none"/>
        </w:rPr>
        <w:t>情况</w:t>
      </w:r>
      <w:bookmarkEnd w:id="8"/>
    </w:p>
    <w:p>
      <w:pPr>
        <w:spacing w:line="596" w:lineRule="exact"/>
        <w:ind w:firstLine="640" w:firstLineChars="200"/>
        <w:outlineLvl w:val="1"/>
        <w:rPr>
          <w:rFonts w:eastAsia="方正仿宋_GBK"/>
          <w:sz w:val="32"/>
          <w:szCs w:val="32"/>
          <w:highlight w:val="none"/>
        </w:rPr>
      </w:pPr>
      <w:bookmarkStart w:id="9" w:name="_Toc30421"/>
      <w:r>
        <w:rPr>
          <w:rFonts w:eastAsia="方正仿宋_GBK"/>
          <w:sz w:val="32"/>
          <w:szCs w:val="32"/>
          <w:highlight w:val="none"/>
        </w:rPr>
        <w:t>（一）绩效评价目的</w:t>
      </w:r>
      <w:bookmarkEnd w:id="9"/>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为加强预算执行分析，规范财务管理，强化财政资金跟踪问效和绩效管理，建立对下属预算单位的监督、指导机制，及时发现问题并采取有效措施解决，组织开展部门2021年整体支出绩效自评。</w:t>
      </w:r>
    </w:p>
    <w:p>
      <w:pPr>
        <w:spacing w:line="596" w:lineRule="exact"/>
        <w:ind w:firstLine="640" w:firstLineChars="200"/>
        <w:outlineLvl w:val="1"/>
        <w:rPr>
          <w:rFonts w:eastAsia="方正仿宋_GBK"/>
          <w:sz w:val="32"/>
          <w:szCs w:val="32"/>
          <w:highlight w:val="none"/>
        </w:rPr>
      </w:pPr>
      <w:bookmarkStart w:id="10" w:name="_Toc3431"/>
      <w:r>
        <w:rPr>
          <w:rFonts w:eastAsia="方正仿宋_GBK"/>
          <w:sz w:val="32"/>
          <w:szCs w:val="32"/>
          <w:highlight w:val="none"/>
        </w:rPr>
        <w:t>（二）绩效评价原则</w:t>
      </w:r>
      <w:bookmarkEnd w:id="10"/>
    </w:p>
    <w:p>
      <w:pPr>
        <w:spacing w:line="596" w:lineRule="exact"/>
        <w:ind w:firstLine="640" w:firstLineChars="200"/>
        <w:rPr>
          <w:rFonts w:ascii="仿宋_GB2312" w:eastAsia="仿宋_GB2312"/>
          <w:bCs/>
          <w:sz w:val="32"/>
          <w:szCs w:val="32"/>
          <w:highlight w:val="none"/>
        </w:rPr>
      </w:pPr>
      <w:r>
        <w:rPr>
          <w:rFonts w:hint="eastAsia" w:ascii="仿宋_GB2312" w:eastAsia="仿宋_GB2312"/>
          <w:bCs/>
          <w:sz w:val="32"/>
          <w:szCs w:val="32"/>
          <w:highlight w:val="none"/>
        </w:rPr>
        <w:t>绩效评价原则包括</w:t>
      </w:r>
      <w:r>
        <w:rPr>
          <w:rFonts w:ascii="仿宋_GB2312" w:eastAsia="仿宋_GB2312"/>
          <w:bCs/>
          <w:sz w:val="32"/>
          <w:szCs w:val="32"/>
          <w:highlight w:val="none"/>
        </w:rPr>
        <w:t>科学规范原则</w:t>
      </w:r>
      <w:r>
        <w:rPr>
          <w:rFonts w:hint="eastAsia" w:ascii="仿宋_GB2312" w:eastAsia="仿宋_GB2312"/>
          <w:bCs/>
          <w:sz w:val="32"/>
          <w:szCs w:val="32"/>
          <w:highlight w:val="none"/>
        </w:rPr>
        <w:t>、</w:t>
      </w:r>
      <w:r>
        <w:rPr>
          <w:rFonts w:ascii="仿宋_GB2312" w:eastAsia="仿宋_GB2312"/>
          <w:bCs/>
          <w:sz w:val="32"/>
          <w:szCs w:val="32"/>
          <w:highlight w:val="none"/>
        </w:rPr>
        <w:t>公开公正原则</w:t>
      </w:r>
      <w:r>
        <w:rPr>
          <w:rFonts w:hint="eastAsia" w:ascii="仿宋_GB2312" w:eastAsia="仿宋_GB2312"/>
          <w:bCs/>
          <w:sz w:val="32"/>
          <w:szCs w:val="32"/>
          <w:highlight w:val="none"/>
        </w:rPr>
        <w:t>、</w:t>
      </w:r>
      <w:r>
        <w:rPr>
          <w:rFonts w:ascii="仿宋_GB2312" w:eastAsia="仿宋_GB2312"/>
          <w:bCs/>
          <w:sz w:val="32"/>
          <w:szCs w:val="32"/>
          <w:highlight w:val="none"/>
        </w:rPr>
        <w:t>分级分类原则</w:t>
      </w:r>
      <w:r>
        <w:rPr>
          <w:rFonts w:hint="eastAsia" w:ascii="仿宋_GB2312" w:eastAsia="仿宋_GB2312"/>
          <w:bCs/>
          <w:sz w:val="32"/>
          <w:szCs w:val="32"/>
          <w:highlight w:val="none"/>
        </w:rPr>
        <w:t>、</w:t>
      </w:r>
      <w:r>
        <w:rPr>
          <w:rFonts w:ascii="仿宋_GB2312" w:eastAsia="仿宋_GB2312"/>
          <w:bCs/>
          <w:sz w:val="32"/>
          <w:szCs w:val="32"/>
          <w:highlight w:val="none"/>
        </w:rPr>
        <w:t>绩效相关原则。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eastAsia="方正仿宋_GBK"/>
          <w:sz w:val="32"/>
          <w:szCs w:val="32"/>
          <w:highlight w:val="none"/>
        </w:rPr>
      </w:pPr>
      <w:bookmarkStart w:id="11" w:name="_Toc13872"/>
      <w:r>
        <w:rPr>
          <w:rFonts w:hint="eastAsia" w:eastAsia="方正仿宋_GBK"/>
          <w:sz w:val="32"/>
          <w:szCs w:val="32"/>
          <w:highlight w:val="none"/>
          <w:lang w:eastAsia="zh-CN"/>
        </w:rPr>
        <w:t>（三）</w:t>
      </w:r>
      <w:r>
        <w:rPr>
          <w:rFonts w:eastAsia="方正仿宋_GBK"/>
          <w:sz w:val="32"/>
          <w:szCs w:val="32"/>
          <w:highlight w:val="none"/>
        </w:rPr>
        <w:t>绩效评价工作过程</w:t>
      </w:r>
      <w:bookmarkEnd w:id="11"/>
    </w:p>
    <w:p>
      <w:pPr>
        <w:spacing w:line="596" w:lineRule="exact"/>
        <w:ind w:firstLine="640" w:firstLineChars="200"/>
        <w:outlineLvl w:val="2"/>
        <w:rPr>
          <w:rFonts w:hint="eastAsia" w:ascii="方正仿宋_GBK" w:hAnsi="方正仿宋_GBK" w:eastAsia="方正仿宋_GBK" w:cs="方正仿宋_GBK"/>
          <w:color w:val="auto"/>
          <w:sz w:val="32"/>
          <w:szCs w:val="32"/>
          <w:highlight w:val="none"/>
          <w:lang w:eastAsia="zh-CN"/>
        </w:rPr>
      </w:pPr>
      <w:bookmarkStart w:id="12" w:name="_Toc19534"/>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前期准备</w:t>
      </w:r>
      <w:bookmarkEnd w:id="12"/>
    </w:p>
    <w:p>
      <w:pPr>
        <w:spacing w:line="596"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根据《重庆市璧山区财政局关于开展2021年度预算绩效自评工作的通知》（璧财绩〔2022〕2号）</w:t>
      </w:r>
      <w:bookmarkStart w:id="24" w:name="_GoBack"/>
      <w:bookmarkEnd w:id="24"/>
      <w:r>
        <w:rPr>
          <w:rFonts w:hint="eastAsia" w:ascii="方正仿宋_GBK" w:hAnsi="方正仿宋_GBK" w:eastAsia="方正仿宋_GBK" w:cs="方正仿宋_GBK"/>
          <w:color w:val="auto"/>
          <w:sz w:val="32"/>
          <w:szCs w:val="32"/>
          <w:highlight w:val="none"/>
        </w:rPr>
        <w:t>文件要求，我</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高度重视绩效评价，组成由</w:t>
      </w:r>
      <w:r>
        <w:rPr>
          <w:rFonts w:hint="eastAsia" w:ascii="方正仿宋_GBK" w:hAnsi="方正仿宋_GBK" w:eastAsia="方正仿宋_GBK" w:cs="方正仿宋_GBK"/>
          <w:color w:val="auto"/>
          <w:sz w:val="32"/>
          <w:szCs w:val="32"/>
          <w:highlight w:val="none"/>
          <w:lang w:eastAsia="zh-CN"/>
        </w:rPr>
        <w:t>单位</w:t>
      </w:r>
      <w:r>
        <w:rPr>
          <w:rFonts w:hint="eastAsia" w:ascii="方正仿宋_GBK" w:hAnsi="方正仿宋_GBK" w:eastAsia="方正仿宋_GBK" w:cs="方正仿宋_GBK"/>
          <w:color w:val="auto"/>
          <w:sz w:val="32"/>
          <w:szCs w:val="32"/>
          <w:highlight w:val="none"/>
        </w:rPr>
        <w:t>领导、办公室、各业务</w:t>
      </w:r>
      <w:r>
        <w:rPr>
          <w:rFonts w:hint="eastAsia" w:ascii="方正仿宋_GBK" w:hAnsi="方正仿宋_GBK" w:eastAsia="方正仿宋_GBK" w:cs="方正仿宋_GBK"/>
          <w:color w:val="auto"/>
          <w:sz w:val="32"/>
          <w:szCs w:val="32"/>
          <w:highlight w:val="none"/>
          <w:lang w:eastAsia="zh-CN"/>
        </w:rPr>
        <w:t>科</w:t>
      </w:r>
      <w:r>
        <w:rPr>
          <w:rFonts w:hint="eastAsia" w:ascii="方正仿宋_GBK" w:hAnsi="方正仿宋_GBK" w:eastAsia="方正仿宋_GBK" w:cs="方正仿宋_GBK"/>
          <w:color w:val="auto"/>
          <w:sz w:val="32"/>
          <w:szCs w:val="32"/>
          <w:highlight w:val="none"/>
        </w:rPr>
        <w:t>室负责人和项目负责人组成的自评小组，制定自评方案，明确自评程序和方法，通知要求资金使用</w:t>
      </w:r>
      <w:r>
        <w:rPr>
          <w:rFonts w:hint="eastAsia" w:ascii="方正仿宋_GBK" w:hAnsi="方正仿宋_GBK" w:eastAsia="方正仿宋_GBK" w:cs="方正仿宋_GBK"/>
          <w:color w:val="auto"/>
          <w:sz w:val="32"/>
          <w:szCs w:val="32"/>
          <w:highlight w:val="none"/>
          <w:lang w:eastAsia="zh-CN"/>
        </w:rPr>
        <w:t>科室</w:t>
      </w:r>
      <w:r>
        <w:rPr>
          <w:rFonts w:hint="eastAsia" w:ascii="方正仿宋_GBK" w:hAnsi="方正仿宋_GBK" w:eastAsia="方正仿宋_GBK" w:cs="方正仿宋_GBK"/>
          <w:color w:val="auto"/>
          <w:sz w:val="32"/>
          <w:szCs w:val="32"/>
          <w:highlight w:val="none"/>
        </w:rPr>
        <w:t>上报资金使用情况、项目实施情况及计划绩效目标完成情况。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lang w:eastAsia="zh-CN"/>
        </w:rPr>
      </w:pPr>
      <w:bookmarkStart w:id="13" w:name="_Toc5815"/>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组织实施</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本次绩效评价工作分为</w:t>
      </w:r>
      <w:r>
        <w:rPr>
          <w:rFonts w:hint="eastAsia" w:ascii="方正仿宋_GBK" w:hAnsi="方正仿宋_GBK" w:eastAsia="方正仿宋_GBK" w:cs="方正仿宋_GBK"/>
          <w:color w:val="auto"/>
          <w:sz w:val="32"/>
          <w:szCs w:val="32"/>
          <w:highlight w:val="none"/>
          <w:lang w:eastAsia="zh-CN"/>
        </w:rPr>
        <w:t>两</w:t>
      </w:r>
      <w:r>
        <w:rPr>
          <w:rFonts w:hint="eastAsia" w:ascii="方正仿宋_GBK" w:hAnsi="方正仿宋_GBK" w:eastAsia="方正仿宋_GBK" w:cs="方正仿宋_GBK"/>
          <w:color w:val="auto"/>
          <w:sz w:val="32"/>
          <w:szCs w:val="32"/>
          <w:highlight w:val="none"/>
        </w:rPr>
        <w:t>个阶段：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第一个阶段为评价准备阶段，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工作组梳理和研读了国家层面、市级层面、区级层面与本次评价</w:t>
      </w:r>
      <w:r>
        <w:rPr>
          <w:rFonts w:hint="eastAsia" w:ascii="方正仿宋_GBK" w:hAnsi="方正仿宋_GBK" w:eastAsia="方正仿宋_GBK" w:cs="方正仿宋_GBK"/>
          <w:color w:val="auto"/>
          <w:sz w:val="32"/>
          <w:szCs w:val="32"/>
          <w:highlight w:val="none"/>
          <w:lang w:val="en-US" w:eastAsia="zh-CN"/>
        </w:rPr>
        <w:t>部门整体</w:t>
      </w:r>
      <w:r>
        <w:rPr>
          <w:rFonts w:hint="eastAsia" w:ascii="方正仿宋_GBK" w:hAnsi="方正仿宋_GBK" w:eastAsia="方正仿宋_GBK" w:cs="方正仿宋_GBK"/>
          <w:color w:val="auto"/>
          <w:sz w:val="32"/>
          <w:szCs w:val="32"/>
          <w:highlight w:val="none"/>
        </w:rPr>
        <w:t>有关的政策文件，获得</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第二个阶段为实施评价阶段，</w:t>
      </w:r>
      <w:r>
        <w:rPr>
          <w:rFonts w:hint="eastAsia" w:ascii="方正仿宋_GBK" w:hAnsi="方正仿宋_GBK" w:eastAsia="方正仿宋_GBK" w:cs="方正仿宋_GBK"/>
          <w:color w:val="auto"/>
          <w:sz w:val="32"/>
          <w:szCs w:val="32"/>
          <w:highlight w:val="none"/>
          <w:lang w:eastAsia="zh-CN"/>
        </w:rPr>
        <w:t>自评</w:t>
      </w:r>
      <w:r>
        <w:rPr>
          <w:rFonts w:hint="eastAsia" w:ascii="方正仿宋_GBK" w:hAnsi="方正仿宋_GBK" w:eastAsia="方正仿宋_GBK" w:cs="方正仿宋_GBK"/>
          <w:color w:val="auto"/>
          <w:sz w:val="32"/>
          <w:szCs w:val="32"/>
          <w:highlight w:val="none"/>
        </w:rPr>
        <w:t>工作组在202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28</w:t>
      </w:r>
      <w:r>
        <w:rPr>
          <w:rFonts w:hint="eastAsia" w:ascii="方正仿宋_GBK" w:hAnsi="方正仿宋_GBK" w:eastAsia="方正仿宋_GBK" w:cs="方正仿宋_GBK"/>
          <w:color w:val="auto"/>
          <w:sz w:val="32"/>
          <w:szCs w:val="32"/>
          <w:highlight w:val="none"/>
        </w:rPr>
        <w:t>日至</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日开展评价实施。取得评价</w:t>
      </w:r>
      <w:r>
        <w:rPr>
          <w:rFonts w:hint="eastAsia" w:ascii="方正仿宋_GBK" w:hAnsi="方正仿宋_GBK" w:eastAsia="方正仿宋_GBK" w:cs="方正仿宋_GBK"/>
          <w:color w:val="auto"/>
          <w:sz w:val="32"/>
          <w:szCs w:val="32"/>
          <w:highlight w:val="none"/>
          <w:lang w:val="en-US" w:eastAsia="zh-CN"/>
        </w:rPr>
        <w:t>部门整体实施</w:t>
      </w:r>
      <w:r>
        <w:rPr>
          <w:rFonts w:hint="eastAsia" w:ascii="方正仿宋_GBK" w:hAnsi="方正仿宋_GBK" w:eastAsia="方正仿宋_GBK" w:cs="方正仿宋_GBK"/>
          <w:color w:val="auto"/>
          <w:sz w:val="32"/>
          <w:szCs w:val="32"/>
          <w:highlight w:val="none"/>
        </w:rPr>
        <w:t>的进度和资金筹集支出情况等资料，通过研读搭建指标体系</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填写《</w:t>
      </w: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val="en-US" w:eastAsia="zh-CN"/>
        </w:rPr>
        <w:t>科学技术</w:t>
      </w:r>
      <w:r>
        <w:rPr>
          <w:rFonts w:hint="eastAsia" w:ascii="方正仿宋_GBK" w:hAnsi="方正仿宋_GBK" w:eastAsia="方正仿宋_GBK" w:cs="方正仿宋_GBK"/>
          <w:color w:val="auto"/>
          <w:sz w:val="32"/>
          <w:szCs w:val="32"/>
          <w:highlight w:val="none"/>
        </w:rPr>
        <w:t>局</w:t>
      </w:r>
      <w:r>
        <w:rPr>
          <w:rFonts w:hint="eastAsia" w:ascii="方正仿宋_GBK" w:hAnsi="方正仿宋_GBK" w:eastAsia="方正仿宋_GBK" w:cs="方正仿宋_GBK"/>
          <w:color w:val="auto"/>
          <w:sz w:val="32"/>
          <w:szCs w:val="32"/>
          <w:highlight w:val="none"/>
          <w:lang w:val="en-US" w:eastAsia="zh-CN"/>
        </w:rPr>
        <w:t>2021年度部门整体支出绩效自评表》并撰写自评报告</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仿宋_GBK" w:hAnsi="方正仿宋_GBK" w:eastAsia="方正仿宋_GBK" w:cs="方正仿宋_GBK"/>
          <w:color w:val="auto"/>
          <w:sz w:val="32"/>
          <w:szCs w:val="32"/>
          <w:highlight w:val="none"/>
          <w:lang w:val="en-US" w:eastAsia="zh-CN"/>
        </w:rPr>
      </w:pPr>
      <w:bookmarkStart w:id="14" w:name="_Toc5795"/>
      <w:r>
        <w:rPr>
          <w:rFonts w:hint="eastAsia" w:ascii="方正仿宋_GBK" w:hAnsi="方正仿宋_GBK" w:eastAsia="方正仿宋_GBK" w:cs="方正仿宋_GBK"/>
          <w:color w:val="auto"/>
          <w:sz w:val="32"/>
          <w:szCs w:val="32"/>
          <w:highlight w:val="none"/>
          <w:lang w:val="en-US" w:eastAsia="zh-CN"/>
        </w:rPr>
        <w:t>3、分析评价</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日至</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28</w:t>
      </w:r>
      <w:r>
        <w:rPr>
          <w:rFonts w:hint="eastAsia" w:ascii="方正仿宋_GBK" w:hAnsi="方正仿宋_GBK" w:eastAsia="方正仿宋_GBK" w:cs="方正仿宋_GBK"/>
          <w:color w:val="auto"/>
          <w:sz w:val="32"/>
          <w:szCs w:val="32"/>
          <w:highlight w:val="none"/>
        </w:rPr>
        <w:t>日，自评工作组根据《重庆市璧山区</w:t>
      </w:r>
      <w:r>
        <w:rPr>
          <w:rFonts w:hint="eastAsia" w:ascii="方正仿宋_GBK" w:hAnsi="方正仿宋_GBK" w:eastAsia="方正仿宋_GBK" w:cs="方正仿宋_GBK"/>
          <w:color w:val="auto"/>
          <w:sz w:val="32"/>
          <w:szCs w:val="32"/>
          <w:highlight w:val="none"/>
          <w:lang w:val="en-US" w:eastAsia="zh-CN"/>
        </w:rPr>
        <w:t>科学技术</w:t>
      </w:r>
      <w:r>
        <w:rPr>
          <w:rFonts w:hint="eastAsia" w:ascii="方正仿宋_GBK" w:hAnsi="方正仿宋_GBK" w:eastAsia="方正仿宋_GBK" w:cs="方正仿宋_GBK"/>
          <w:color w:val="auto"/>
          <w:sz w:val="32"/>
          <w:szCs w:val="32"/>
          <w:highlight w:val="none"/>
        </w:rPr>
        <w:t>局2021年度部门整体支出绩效自评表》中的指标体系</w:t>
      </w:r>
      <w:r>
        <w:rPr>
          <w:rFonts w:hint="eastAsia" w:ascii="方正仿宋_GBK" w:hAnsi="方正仿宋_GBK" w:eastAsia="方正仿宋_GBK" w:cs="方正仿宋_GBK"/>
          <w:color w:val="auto"/>
          <w:sz w:val="32"/>
          <w:szCs w:val="32"/>
          <w:highlight w:val="none"/>
          <w:lang w:val="en-US" w:eastAsia="zh-CN"/>
        </w:rPr>
        <w:t>以及自评报告的</w:t>
      </w:r>
      <w:r>
        <w:rPr>
          <w:rFonts w:hint="eastAsia" w:ascii="方正仿宋_GBK" w:hAnsi="方正仿宋_GBK" w:eastAsia="方正仿宋_GBK" w:cs="方正仿宋_GBK"/>
          <w:color w:val="auto"/>
          <w:sz w:val="32"/>
          <w:szCs w:val="32"/>
          <w:highlight w:val="none"/>
        </w:rPr>
        <w:t>分析情况，</w:t>
      </w:r>
      <w:r>
        <w:rPr>
          <w:rFonts w:hint="eastAsia" w:ascii="方正仿宋_GBK" w:hAnsi="方正仿宋_GBK" w:eastAsia="方正仿宋_GBK" w:cs="方正仿宋_GBK"/>
          <w:color w:val="auto"/>
          <w:sz w:val="32"/>
          <w:szCs w:val="32"/>
          <w:highlight w:val="none"/>
          <w:lang w:val="en-US" w:eastAsia="zh-CN"/>
        </w:rPr>
        <w:t>对</w:t>
      </w:r>
      <w:r>
        <w:rPr>
          <w:rFonts w:hint="eastAsia" w:ascii="方正仿宋_GBK" w:hAnsi="方正仿宋_GBK" w:eastAsia="方正仿宋_GBK" w:cs="方正仿宋_GBK"/>
          <w:color w:val="auto"/>
          <w:sz w:val="32"/>
          <w:szCs w:val="32"/>
          <w:highlight w:val="none"/>
        </w:rPr>
        <w:t>初稿进行审核，按照相关文件、资金拨付资料，开展自评检查工作，对部门整体实施情况和质量进行评定。提出修改意见，形成部门整体绩效评价报告</w:t>
      </w:r>
      <w:r>
        <w:rPr>
          <w:rFonts w:hint="eastAsia" w:ascii="方正仿宋_GBK" w:hAnsi="方正仿宋_GBK" w:eastAsia="方正仿宋_GBK" w:cs="方正仿宋_GBK"/>
          <w:color w:val="auto"/>
          <w:sz w:val="32"/>
          <w:szCs w:val="32"/>
          <w:highlight w:val="none"/>
          <w:lang w:val="en-US" w:eastAsia="zh-CN"/>
        </w:rPr>
        <w:t>。</w:t>
      </w:r>
    </w:p>
    <w:p>
      <w:pPr>
        <w:spacing w:line="596" w:lineRule="exact"/>
        <w:ind w:firstLine="640" w:firstLineChars="200"/>
        <w:outlineLvl w:val="0"/>
        <w:rPr>
          <w:rFonts w:eastAsia="方正黑体_GBK"/>
          <w:sz w:val="32"/>
          <w:szCs w:val="32"/>
          <w:highlight w:val="none"/>
        </w:rPr>
      </w:pPr>
      <w:bookmarkStart w:id="15" w:name="_Toc10519"/>
      <w:r>
        <w:rPr>
          <w:rFonts w:eastAsia="方正黑体_GBK"/>
          <w:sz w:val="32"/>
          <w:szCs w:val="32"/>
          <w:highlight w:val="none"/>
        </w:rPr>
        <w:t>三、</w:t>
      </w:r>
      <w:r>
        <w:rPr>
          <w:rFonts w:hint="eastAsia" w:eastAsia="方正黑体_GBK"/>
          <w:sz w:val="32"/>
          <w:szCs w:val="32"/>
          <w:highlight w:val="none"/>
        </w:rPr>
        <w:t>绩效</w:t>
      </w:r>
      <w:r>
        <w:rPr>
          <w:rFonts w:eastAsia="方正黑体_GBK"/>
          <w:sz w:val="32"/>
          <w:szCs w:val="32"/>
          <w:highlight w:val="none"/>
        </w:rPr>
        <w:t>评价情况及结论</w:t>
      </w:r>
      <w:bookmarkEnd w:id="15"/>
    </w:p>
    <w:p>
      <w:pPr>
        <w:spacing w:line="596" w:lineRule="exact"/>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Times New Roman" w:hAnsi="Times New Roman" w:eastAsia="方正仿宋_GBK" w:cs="方正仿宋_GBK"/>
          <w:b w:val="0"/>
          <w:bCs w:val="0"/>
          <w:color w:val="auto"/>
          <w:kern w:val="2"/>
          <w:sz w:val="32"/>
          <w:szCs w:val="32"/>
          <w:highlight w:val="none"/>
          <w:lang w:val="en-US" w:eastAsia="zh-CN" w:bidi="ar-SA"/>
        </w:rPr>
        <w:t>根据《</w:t>
      </w: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val="en-US" w:eastAsia="zh-CN"/>
        </w:rPr>
        <w:t>科学技术</w:t>
      </w:r>
      <w:r>
        <w:rPr>
          <w:rFonts w:hint="eastAsia" w:ascii="方正仿宋_GBK" w:hAnsi="方正仿宋_GBK" w:eastAsia="方正仿宋_GBK" w:cs="方正仿宋_GBK"/>
          <w:color w:val="auto"/>
          <w:sz w:val="32"/>
          <w:szCs w:val="32"/>
          <w:highlight w:val="none"/>
        </w:rPr>
        <w:t>局</w:t>
      </w:r>
      <w:r>
        <w:rPr>
          <w:rFonts w:hint="eastAsia" w:ascii="Times New Roman" w:hAnsi="Times New Roman" w:eastAsia="方正仿宋_GBK" w:cs="方正仿宋_GBK"/>
          <w:b w:val="0"/>
          <w:bCs w:val="0"/>
          <w:color w:val="auto"/>
          <w:kern w:val="2"/>
          <w:sz w:val="32"/>
          <w:szCs w:val="32"/>
          <w:highlight w:val="none"/>
          <w:lang w:val="en-US" w:eastAsia="zh-CN" w:bidi="ar-SA"/>
        </w:rPr>
        <w:t>2021年度部门整体支出绩效自评表》中的指标体系分析情况，</w:t>
      </w:r>
      <w:r>
        <w:rPr>
          <w:rFonts w:hint="eastAsia" w:ascii="方正仿宋_GBK" w:hAnsi="方正仿宋_GBK" w:eastAsia="方正仿宋_GBK" w:cs="方正仿宋_GBK"/>
          <w:color w:val="auto"/>
          <w:sz w:val="32"/>
          <w:szCs w:val="32"/>
          <w:highlight w:val="none"/>
        </w:rPr>
        <w:t>重庆市璧山区</w:t>
      </w:r>
      <w:r>
        <w:rPr>
          <w:rFonts w:hint="eastAsia" w:ascii="方正仿宋_GBK" w:hAnsi="方正仿宋_GBK" w:eastAsia="方正仿宋_GBK" w:cs="方正仿宋_GBK"/>
          <w:color w:val="auto"/>
          <w:sz w:val="32"/>
          <w:szCs w:val="32"/>
          <w:highlight w:val="none"/>
          <w:lang w:val="en-US" w:eastAsia="zh-CN"/>
        </w:rPr>
        <w:t>科学技术</w:t>
      </w:r>
      <w:r>
        <w:rPr>
          <w:rFonts w:hint="eastAsia" w:ascii="方正仿宋_GBK" w:hAnsi="方正仿宋_GBK" w:eastAsia="方正仿宋_GBK" w:cs="方正仿宋_GBK"/>
          <w:color w:val="auto"/>
          <w:sz w:val="32"/>
          <w:szCs w:val="32"/>
          <w:highlight w:val="none"/>
        </w:rPr>
        <w:t>局</w:t>
      </w:r>
      <w:r>
        <w:rPr>
          <w:rFonts w:hint="eastAsia" w:ascii="Times New Roman" w:hAnsi="Times New Roman" w:eastAsia="方正仿宋_GBK" w:cs="方正仿宋_GBK"/>
          <w:b w:val="0"/>
          <w:bCs w:val="0"/>
          <w:color w:val="auto"/>
          <w:kern w:val="2"/>
          <w:sz w:val="32"/>
          <w:szCs w:val="32"/>
          <w:highlight w:val="none"/>
          <w:lang w:val="en-US" w:eastAsia="zh-CN" w:bidi="ar-SA"/>
        </w:rPr>
        <w:t>2021年度部门整体支出绩效自评总得分</w:t>
      </w:r>
      <w:r>
        <w:rPr>
          <w:rFonts w:hint="eastAsia" w:ascii="方正仿宋_GBK" w:hAnsi="方正仿宋_GBK" w:eastAsia="方正仿宋_GBK" w:cs="方正仿宋_GBK"/>
          <w:b w:val="0"/>
          <w:bCs w:val="0"/>
          <w:color w:val="auto"/>
          <w:kern w:val="2"/>
          <w:sz w:val="32"/>
          <w:szCs w:val="32"/>
          <w:highlight w:val="none"/>
          <w:lang w:val="en-US" w:eastAsia="zh-CN" w:bidi="ar-SA"/>
        </w:rPr>
        <w:t>96.43</w:t>
      </w:r>
      <w:r>
        <w:rPr>
          <w:rFonts w:hint="eastAsia" w:ascii="Times New Roman" w:hAnsi="Times New Roman" w:eastAsia="方正仿宋_GBK" w:cs="方正仿宋_GBK"/>
          <w:b w:val="0"/>
          <w:bCs w:val="0"/>
          <w:color w:val="auto"/>
          <w:kern w:val="2"/>
          <w:sz w:val="32"/>
          <w:szCs w:val="32"/>
          <w:highlight w:val="none"/>
          <w:lang w:val="en-US" w:eastAsia="zh-CN" w:bidi="ar-SA"/>
        </w:rPr>
        <w:t>分，等级为“</w:t>
      </w:r>
      <w:r>
        <w:rPr>
          <w:rFonts w:hint="eastAsia" w:ascii="Times New Roman" w:hAnsi="Times New Roman" w:eastAsia="方正仿宋_GBK" w:cs="方正仿宋_GBK"/>
          <w:b w:val="0"/>
          <w:bCs w:val="0"/>
          <w:color w:val="000000" w:themeColor="text1"/>
          <w:kern w:val="2"/>
          <w:sz w:val="32"/>
          <w:szCs w:val="32"/>
          <w:highlight w:val="none"/>
          <w:lang w:val="en-US" w:eastAsia="zh-CN" w:bidi="ar-SA"/>
          <w14:textFill>
            <w14:solidFill>
              <w14:schemeClr w14:val="tx1"/>
            </w14:solidFill>
          </w14:textFill>
        </w:rPr>
        <w:t>优</w:t>
      </w:r>
      <w:r>
        <w:rPr>
          <w:rFonts w:hint="eastAsia" w:ascii="Times New Roman" w:hAnsi="Times New Roman" w:eastAsia="方正仿宋_GBK" w:cs="方正仿宋_GBK"/>
          <w:b w:val="0"/>
          <w:bCs w:val="0"/>
          <w:color w:val="auto"/>
          <w:kern w:val="2"/>
          <w:sz w:val="32"/>
          <w:szCs w:val="32"/>
          <w:highlight w:val="none"/>
          <w:lang w:val="en-US" w:eastAsia="zh-CN" w:bidi="ar-SA"/>
        </w:rPr>
        <w:t>”。</w:t>
      </w:r>
      <w:r>
        <w:rPr>
          <w:rFonts w:hint="eastAsia" w:ascii="方正仿宋_GBK" w:hAnsi="方正仿宋_GBK" w:eastAsia="方正仿宋_GBK" w:cs="方正仿宋_GBK"/>
          <w:b w:val="0"/>
          <w:bCs w:val="0"/>
          <w:color w:val="auto"/>
          <w:kern w:val="2"/>
          <w:sz w:val="32"/>
          <w:szCs w:val="32"/>
          <w:highlight w:val="none"/>
          <w:lang w:val="en-US" w:eastAsia="zh-CN" w:bidi="ar-SA"/>
        </w:rPr>
        <w:t>具体得分情况如表1所示。</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ascii="方正仿宋_GBK" w:hAnsi="方正仿宋_GBK" w:eastAsia="方正仿宋_GBK" w:cs="方正仿宋_GBK"/>
          <w:color w:val="auto"/>
          <w:kern w:val="0"/>
          <w:sz w:val="28"/>
          <w:szCs w:val="28"/>
          <w:highlight w:val="none"/>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ascii="方正仿宋_GBK" w:hAnsi="方正仿宋_GBK" w:eastAsia="方正仿宋_GBK" w:cs="方正仿宋_GBK"/>
          <w:color w:val="auto"/>
          <w:kern w:val="0"/>
          <w:sz w:val="28"/>
          <w:szCs w:val="28"/>
          <w:highlight w:val="none"/>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560" w:firstLineChars="200"/>
        <w:jc w:val="center"/>
        <w:textAlignment w:val="auto"/>
        <w:rPr>
          <w:rFonts w:hint="eastAsia"/>
          <w:highlight w:val="none"/>
          <w:lang w:val="en-US" w:eastAsia="zh-CN"/>
        </w:rPr>
      </w:pPr>
      <w:r>
        <w:rPr>
          <w:rFonts w:hint="eastAsia" w:ascii="方正仿宋_GBK" w:hAnsi="方正仿宋_GBK" w:eastAsia="方正仿宋_GBK" w:cs="方正仿宋_GBK"/>
          <w:color w:val="auto"/>
          <w:kern w:val="0"/>
          <w:sz w:val="28"/>
          <w:szCs w:val="28"/>
          <w:highlight w:val="none"/>
          <w:shd w:val="clear" w:color="auto" w:fill="FFFFFF"/>
          <w:lang w:val="en-US" w:eastAsia="zh-CN"/>
        </w:rPr>
        <w:t>表 1：指标得分情况</w:t>
      </w:r>
    </w:p>
    <w:tbl>
      <w:tblPr>
        <w:tblStyle w:val="9"/>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326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指标名称</w:t>
            </w:r>
          </w:p>
        </w:tc>
        <w:tc>
          <w:tcPr>
            <w:tcW w:w="1677"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权重</w:t>
            </w:r>
          </w:p>
        </w:tc>
        <w:tc>
          <w:tcPr>
            <w:tcW w:w="1676"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得分</w:t>
            </w:r>
          </w:p>
        </w:tc>
        <w:tc>
          <w:tcPr>
            <w:tcW w:w="1678" w:type="dxa"/>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技术合同认定个数</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开展科技服务时间</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科技成果认定个数</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科技活动周活动场次</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科技成果登记上报个数</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项目绩效管理率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预决算公开率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仿宋" w:hAnsi="仿宋" w:eastAsia="仿宋" w:cs="仿宋"/>
                <w:i w:val="0"/>
                <w:iCs w:val="0"/>
                <w:color w:val="000000"/>
                <w:kern w:val="0"/>
                <w:sz w:val="24"/>
                <w:szCs w:val="24"/>
                <w:highlight w:val="none"/>
                <w:u w:val="none"/>
                <w:lang w:val="en-US" w:eastAsia="zh-CN" w:bidi="ar"/>
              </w:rPr>
              <w:t>预算执行率</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提高职工工作积极性</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6.43</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rPr>
            </w:pPr>
            <w:r>
              <w:rPr>
                <w:rFonts w:hint="eastAsia" w:ascii="方正仿宋_GBK" w:hAnsi="方正仿宋_GBK" w:eastAsia="方正仿宋_GBK" w:cs="方正仿宋_GBK"/>
                <w:color w:val="auto"/>
                <w:kern w:val="0"/>
                <w:sz w:val="21"/>
                <w:szCs w:val="21"/>
                <w:highlight w:val="none"/>
                <w:shd w:val="clear" w:color="auto" w:fill="FFFFFF"/>
                <w:lang w:val="en-US" w:eastAsia="zh-CN"/>
              </w:rPr>
              <w:t>64.29%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企业满意度</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bidi="ar-SA"/>
              </w:rPr>
            </w:pPr>
            <w:r>
              <w:rPr>
                <w:rFonts w:hint="eastAsia" w:ascii="方正仿宋_GBK" w:hAnsi="方正仿宋_GBK" w:eastAsia="方正仿宋_GBK" w:cs="方正仿宋_GBK"/>
                <w:color w:val="auto"/>
                <w:kern w:val="0"/>
                <w:sz w:val="21"/>
                <w:szCs w:val="21"/>
                <w:highlight w:val="none"/>
                <w:shd w:val="clear" w:color="auto" w:fill="FFFFFF"/>
                <w:lang w:val="en-US" w:eastAsia="zh-CN"/>
              </w:rPr>
              <w:t>5</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default" w:ascii="方正仿宋_GBK" w:hAnsi="方正仿宋_GBK" w:eastAsia="方正仿宋_GBK" w:cs="方正仿宋_GBK"/>
                <w:color w:val="auto"/>
                <w:kern w:val="0"/>
                <w:sz w:val="21"/>
                <w:szCs w:val="21"/>
                <w:highlight w:val="none"/>
                <w:shd w:val="clear" w:color="auto" w:fill="FFFFFF"/>
                <w:lang w:val="en-US" w:eastAsia="zh-CN" w:bidi="ar-SA"/>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bidi="ar-SA"/>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职工满意度</w:t>
            </w:r>
          </w:p>
        </w:tc>
        <w:tc>
          <w:tcPr>
            <w:tcW w:w="1677"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bidi="ar-SA"/>
              </w:rPr>
            </w:pPr>
            <w:r>
              <w:rPr>
                <w:rFonts w:hint="eastAsia" w:ascii="方正仿宋_GBK" w:hAnsi="方正仿宋_GBK" w:eastAsia="方正仿宋_GBK" w:cs="方正仿宋_GBK"/>
                <w:color w:val="auto"/>
                <w:kern w:val="0"/>
                <w:sz w:val="21"/>
                <w:szCs w:val="21"/>
                <w:highlight w:val="none"/>
                <w:shd w:val="clear" w:color="auto" w:fill="FFFFFF"/>
                <w:lang w:val="en-US" w:eastAsia="zh-CN"/>
              </w:rPr>
              <w:t>5</w:t>
            </w:r>
          </w:p>
        </w:tc>
        <w:tc>
          <w:tcPr>
            <w:tcW w:w="1676"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bidi="ar-SA"/>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w:t>
            </w:r>
          </w:p>
        </w:tc>
        <w:tc>
          <w:tcPr>
            <w:tcW w:w="1678" w:type="dxa"/>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rightChars="0"/>
              <w:jc w:val="center"/>
              <w:textAlignment w:val="auto"/>
              <w:rPr>
                <w:rFonts w:hint="eastAsia" w:ascii="方正仿宋_GBK" w:hAnsi="方正仿宋_GBK" w:eastAsia="方正仿宋_GBK" w:cs="方正仿宋_GBK"/>
                <w:color w:val="auto"/>
                <w:kern w:val="0"/>
                <w:sz w:val="21"/>
                <w:szCs w:val="21"/>
                <w:highlight w:val="none"/>
                <w:shd w:val="clear" w:color="auto" w:fill="FFFFFF"/>
                <w:lang w:val="en-US" w:eastAsia="zh-CN" w:bidi="ar-SA"/>
              </w:rPr>
            </w:pPr>
            <w:r>
              <w:rPr>
                <w:rFonts w:hint="eastAsia" w:ascii="方正仿宋_GBK" w:hAnsi="方正仿宋_GBK" w:eastAsia="方正仿宋_GBK" w:cs="方正仿宋_GBK"/>
                <w:color w:val="auto"/>
                <w:kern w:val="0"/>
                <w:sz w:val="21"/>
                <w:szCs w:val="21"/>
                <w:highlight w:val="none"/>
                <w:shd w:val="clear" w:color="auto" w:fill="FFFFFF"/>
                <w:lang w:val="en-US" w:eastAsia="zh-CN"/>
              </w:rPr>
              <w:t>100%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1、技术合同认定个数分析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highlight w:val="none"/>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w:t>
      </w:r>
      <w:r>
        <w:rPr>
          <w:rFonts w:ascii="Times New Roman" w:hAnsi="Times New Roman" w:eastAsia="方正仿宋_GBK" w:cs="Times New Roman"/>
          <w:color w:val="auto"/>
          <w:kern w:val="0"/>
          <w:sz w:val="32"/>
          <w:szCs w:val="32"/>
          <w:highlight w:val="none"/>
        </w:rPr>
        <w:t>全年</w:t>
      </w:r>
      <w:r>
        <w:rPr>
          <w:rFonts w:hint="eastAsia" w:ascii="Times New Roman" w:hAnsi="Times New Roman" w:eastAsia="方正仿宋_GBK" w:cs="Times New Roman"/>
          <w:color w:val="auto"/>
          <w:kern w:val="0"/>
          <w:sz w:val="32"/>
          <w:szCs w:val="32"/>
          <w:highlight w:val="none"/>
        </w:rPr>
        <w:t>技术合同认定个数</w:t>
      </w:r>
      <w:r>
        <w:rPr>
          <w:rFonts w:hint="eastAsia" w:eastAsia="方正仿宋_GBK" w:cs="Times New Roman"/>
          <w:color w:val="auto"/>
          <w:kern w:val="0"/>
          <w:sz w:val="32"/>
          <w:szCs w:val="32"/>
          <w:highlight w:val="none"/>
          <w:lang w:val="en-US" w:eastAsia="zh-CN"/>
        </w:rPr>
        <w:t>3个</w:t>
      </w:r>
      <w:r>
        <w:rPr>
          <w:rFonts w:hint="eastAsia" w:ascii="方正仿宋_GBK" w:eastAsia="方正仿宋_GBK"/>
          <w:color w:val="auto"/>
          <w:sz w:val="32"/>
          <w:szCs w:val="32"/>
          <w:highlight w:val="none"/>
        </w:rPr>
        <w:t>。</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2、开展科技服务时间分析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开展科技服务时间15天。</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3、科技成果认定个数分析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科技成果认定个数150个。</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4、科技活动周活动场次分析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，科技活动周活动场次</w:t>
      </w:r>
      <w:r>
        <w:rPr>
          <w:rFonts w:hint="eastAsia" w:ascii="方正仿宋_GBK" w:eastAsia="方正仿宋_GBK"/>
          <w:color w:val="auto"/>
          <w:sz w:val="32"/>
          <w:szCs w:val="32"/>
          <w:highlight w:val="none"/>
          <w:lang w:val="en-US" w:eastAsia="zh-CN"/>
        </w:rPr>
        <w:t>1次。</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5、科技成果登记上报个数分析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，科技成果登记上报个数</w:t>
      </w:r>
      <w:r>
        <w:rPr>
          <w:rFonts w:hint="eastAsia" w:ascii="方正仿宋_GBK" w:eastAsia="方正仿宋_GBK"/>
          <w:color w:val="auto"/>
          <w:sz w:val="32"/>
          <w:szCs w:val="32"/>
          <w:highlight w:val="none"/>
          <w:lang w:val="en-US" w:eastAsia="zh-CN"/>
        </w:rPr>
        <w:t>180个。</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6、项目绩效管理率分析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，项目绩效管理率</w:t>
      </w:r>
      <w:r>
        <w:rPr>
          <w:rFonts w:hint="eastAsia" w:ascii="方正仿宋_GBK" w:eastAsia="方正仿宋_GBK"/>
          <w:color w:val="auto"/>
          <w:sz w:val="32"/>
          <w:szCs w:val="32"/>
          <w:highlight w:val="none"/>
          <w:lang w:val="en-US" w:eastAsia="zh-CN"/>
        </w:rPr>
        <w:t>达到95%。</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7、预决算公开率分析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val="en-US" w:eastAsia="zh-CN"/>
        </w:rPr>
        <w:t>本部门按规定内容公开预算信息，按规定时限公开预算信息，基础数据信息和会计信息资料真实，基础数据信息和会计信息资料完整，基础数据信息和汇集信息资料准确。</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8、预算执行率分析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val="en-US" w:eastAsia="zh-CN"/>
        </w:rPr>
        <w:t>年初预算数为2854.82万元，全年调整数为2402.78万元，预算执行数为2402.78万元，预算执行率为100%。</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9、提高职工工作积极性分析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eastAsia="方正仿宋_GBK"/>
          <w:color w:val="auto"/>
          <w:sz w:val="32"/>
          <w:szCs w:val="32"/>
          <w:highlight w:val="none"/>
          <w:lang w:val="en-US" w:eastAsia="zh-CN"/>
        </w:rPr>
        <w:t>为</w:t>
      </w:r>
      <w:r>
        <w:rPr>
          <w:rFonts w:hint="eastAsia" w:ascii="方正仿宋_GBK" w:eastAsia="方正仿宋_GBK"/>
          <w:color w:val="auto"/>
          <w:sz w:val="32"/>
          <w:szCs w:val="32"/>
          <w:highlight w:val="none"/>
        </w:rPr>
        <w:t>鼓励企业加大科技研发投入，完成各项科技项目、基地建设</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提高了27%的职工工作积极性。根</w:t>
      </w:r>
      <w:r>
        <w:rPr>
          <w:rFonts w:hint="eastAsia" w:ascii="方正仿宋_GBK" w:hAnsi="方正仿宋_GBK" w:eastAsia="方正仿宋_GBK" w:cs="方正仿宋_GBK"/>
          <w:color w:val="auto"/>
          <w:kern w:val="0"/>
          <w:sz w:val="32"/>
          <w:szCs w:val="32"/>
          <w:highlight w:val="none"/>
          <w:shd w:val="clear" w:color="auto" w:fill="FFFFFF"/>
          <w:lang w:val="en-US" w:eastAsia="zh-CN"/>
        </w:rPr>
        <w:t>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10、企业满意度分析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shd w:val="clear" w:color="auto" w:fill="FFFFFF"/>
          <w:lang w:val="en-US" w:eastAsia="zh-CN"/>
        </w:rPr>
        <w:t>企业对相关工作和满意度达到9</w:t>
      </w:r>
      <w:r>
        <w:rPr>
          <w:rFonts w:hint="eastAsia" w:ascii="方正仿宋_GBK" w:eastAsia="方正仿宋_GBK"/>
          <w:color w:val="auto"/>
          <w:sz w:val="32"/>
          <w:szCs w:val="32"/>
          <w:highlight w:val="none"/>
          <w:lang w:val="en-US" w:eastAsia="zh-CN"/>
        </w:rPr>
        <w:t>0%以上。</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11、职工满意度分析</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方正仿宋_GBK" w:hAnsi="方正仿宋_GBK" w:eastAsia="方正仿宋_GBK" w:cs="方正仿宋_GBK"/>
          <w:color w:val="FF0000"/>
          <w:kern w:val="0"/>
          <w:sz w:val="32"/>
          <w:szCs w:val="32"/>
          <w:highlight w:val="none"/>
          <w:shd w:val="clear" w:color="auto" w:fill="FFFFFF"/>
          <w:lang w:val="en-US" w:eastAsia="zh-CN"/>
        </w:rPr>
      </w:pPr>
      <w:r>
        <w:rPr>
          <w:rFonts w:hint="eastAsia" w:ascii="方正仿宋_GBK" w:hAnsi="方正仿宋_GBK" w:eastAsia="方正仿宋_GBK" w:cs="方正仿宋_GBK"/>
          <w:i w:val="0"/>
          <w:iCs w:val="0"/>
          <w:color w:val="auto"/>
          <w:kern w:val="0"/>
          <w:sz w:val="32"/>
          <w:szCs w:val="32"/>
          <w:highlight w:val="none"/>
          <w:u w:val="none"/>
          <w:lang w:val="en-US" w:eastAsia="zh-CN" w:bidi="ar"/>
        </w:rPr>
        <w:t>职工</w:t>
      </w:r>
      <w:r>
        <w:rPr>
          <w:rFonts w:hint="eastAsia" w:ascii="方正仿宋_GBK" w:hAnsi="方正仿宋_GBK" w:eastAsia="方正仿宋_GBK" w:cs="方正仿宋_GBK"/>
          <w:color w:val="auto"/>
          <w:kern w:val="0"/>
          <w:sz w:val="32"/>
          <w:szCs w:val="32"/>
          <w:highlight w:val="none"/>
          <w:shd w:val="clear" w:color="auto" w:fill="FFFFFF"/>
          <w:lang w:val="en-US" w:eastAsia="zh-CN"/>
        </w:rPr>
        <w:t>对相关工作和满意度达到</w:t>
      </w:r>
      <w:r>
        <w:rPr>
          <w:rFonts w:hint="eastAsia" w:ascii="方正仿宋_GBK" w:eastAsia="方正仿宋_GBK"/>
          <w:color w:val="auto"/>
          <w:sz w:val="32"/>
          <w:szCs w:val="32"/>
          <w:highlight w:val="none"/>
          <w:lang w:val="en-US" w:eastAsia="zh-CN"/>
        </w:rPr>
        <w:t>100%。</w:t>
      </w:r>
      <w:r>
        <w:rPr>
          <w:rFonts w:hint="eastAsia" w:ascii="方正仿宋_GBK" w:hAnsi="方正仿宋_GBK" w:eastAsia="方正仿宋_GBK" w:cs="方正仿宋_GBK"/>
          <w:color w:val="auto"/>
          <w:kern w:val="0"/>
          <w:sz w:val="32"/>
          <w:szCs w:val="32"/>
          <w:highlight w:val="none"/>
          <w:shd w:val="clear" w:color="auto" w:fill="FFFFFF"/>
          <w:lang w:val="en-US" w:eastAsia="zh-CN"/>
        </w:rPr>
        <w:t>根据评价标准，该指标得100%权重分。</w:t>
      </w:r>
    </w:p>
    <w:p>
      <w:pPr>
        <w:spacing w:line="596" w:lineRule="exact"/>
        <w:ind w:firstLine="640" w:firstLineChars="200"/>
        <w:outlineLvl w:val="0"/>
        <w:rPr>
          <w:rFonts w:eastAsia="方正黑体_GBK"/>
          <w:sz w:val="32"/>
          <w:szCs w:val="32"/>
          <w:highlight w:val="none"/>
        </w:rPr>
      </w:pPr>
      <w:bookmarkStart w:id="16" w:name="_Toc27652"/>
      <w:r>
        <w:rPr>
          <w:rFonts w:hint="eastAsia" w:eastAsia="方正黑体_GBK"/>
          <w:sz w:val="32"/>
          <w:szCs w:val="32"/>
          <w:highlight w:val="none"/>
          <w:lang w:eastAsia="zh-CN"/>
        </w:rPr>
        <w:t>四、</w:t>
      </w:r>
      <w:r>
        <w:rPr>
          <w:rFonts w:eastAsia="方正黑体_GBK"/>
          <w:sz w:val="32"/>
          <w:szCs w:val="32"/>
          <w:highlight w:val="none"/>
        </w:rPr>
        <w:t>主要经验及做法</w:t>
      </w:r>
      <w:bookmarkEnd w:id="16"/>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 w:eastAsia="仿宋_GB2312" w:cs="仿宋"/>
          <w:bCs/>
          <w:kern w:val="2"/>
          <w:sz w:val="32"/>
          <w:szCs w:val="32"/>
          <w:highlight w:val="none"/>
          <w:lang w:val="en-US" w:eastAsia="zh-CN" w:bidi="ar-SA"/>
        </w:rPr>
      </w:pPr>
      <w:r>
        <w:rPr>
          <w:rFonts w:hint="eastAsia" w:ascii="仿宋_GB2312" w:hAnsi="仿宋" w:eastAsia="仿宋_GB2312" w:cs="仿宋"/>
          <w:bCs/>
          <w:kern w:val="2"/>
          <w:sz w:val="32"/>
          <w:szCs w:val="32"/>
          <w:highlight w:val="none"/>
          <w:lang w:val="en-US" w:eastAsia="zh-CN" w:bidi="ar-SA"/>
        </w:rPr>
        <w:t>1、制定项目绩效管理制度明确项目绩效目标编制及审批流程，规范绩效指标设置。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 w:eastAsia="仿宋_GB2312" w:cs="仿宋"/>
          <w:bCs/>
          <w:kern w:val="2"/>
          <w:sz w:val="32"/>
          <w:szCs w:val="32"/>
          <w:highlight w:val="none"/>
          <w:lang w:val="en-US" w:eastAsia="zh-CN" w:bidi="ar-SA"/>
        </w:rPr>
      </w:pPr>
      <w:r>
        <w:rPr>
          <w:rFonts w:hint="eastAsia" w:ascii="仿宋_GB2312" w:hAnsi="仿宋" w:eastAsia="仿宋_GB2312" w:cs="仿宋"/>
          <w:bCs/>
          <w:kern w:val="2"/>
          <w:sz w:val="32"/>
          <w:szCs w:val="32"/>
          <w:highlight w:val="none"/>
          <w:lang w:val="en-US" w:eastAsia="zh-CN" w:bidi="ar-SA"/>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highlight w:val="none"/>
        </w:rPr>
      </w:pPr>
      <w:r>
        <w:rPr>
          <w:rFonts w:hint="eastAsia" w:ascii="仿宋_GB2312" w:hAnsi="仿宋" w:eastAsia="仿宋_GB2312" w:cs="仿宋"/>
          <w:bCs/>
          <w:kern w:val="2"/>
          <w:sz w:val="32"/>
          <w:szCs w:val="32"/>
          <w:highlight w:val="none"/>
          <w:lang w:val="en-US" w:eastAsia="zh-CN" w:bidi="ar-SA"/>
        </w:rPr>
        <w:t>3、成立成渝地区高校创新创业促进会，汇聚川渝两地高校、科技创新企业、科技孵化中心等67家会员单位，开展信息互通与资源共享、双创活动、科技成果转化等合作服务；举办成渝科技创新联盟项目对接活动，依托高新技术产业研究院公司，积极举办成渝两地科技创新联盟项目对接活动，目前在微电子、应用磁学、传感技术、新能源、气象雷达等多个领域开展合作和项目对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 w:eastAsia="仿宋_GB2312" w:cs="仿宋"/>
          <w:bCs/>
          <w:kern w:val="2"/>
          <w:sz w:val="32"/>
          <w:szCs w:val="32"/>
          <w:highlight w:val="none"/>
          <w:lang w:val="en-US" w:eastAsia="zh-CN" w:bidi="ar-SA"/>
        </w:rPr>
      </w:pPr>
      <w:r>
        <w:rPr>
          <w:rFonts w:hint="eastAsia" w:ascii="仿宋_GB2312" w:hAnsi="仿宋" w:eastAsia="仿宋_GB2312" w:cs="仿宋"/>
          <w:bCs/>
          <w:kern w:val="2"/>
          <w:sz w:val="32"/>
          <w:szCs w:val="32"/>
          <w:highlight w:val="none"/>
          <w:lang w:val="en-US" w:eastAsia="zh-CN" w:bidi="ar-SA"/>
        </w:rPr>
        <w:t>4、把党的政治建设摆在首位，深学笃用习近平新时代中国特色社会主义思想，深入学习贯彻党的十九届五中、六中全会精神，深化落实习近平总书记视察重庆重要讲话精神和区委十四届八次全会报告精神。推动落实“不忘初心、牢记使命”制度，扎实开展党史学习教育，认真贯彻落实“七一”重要讲话精神，提升全区科技创新水平，切实开展“我为群众办实事”实践活动。深入推进机关党支部“三基建设”，严肃规范党内政治生活，严格落实意识形态工作责任制，加强纪律作风建设，持之以恒正风肃纪。</w:t>
      </w:r>
    </w:p>
    <w:p>
      <w:pPr>
        <w:spacing w:line="596" w:lineRule="exact"/>
        <w:ind w:firstLine="640" w:firstLineChars="200"/>
        <w:outlineLvl w:val="0"/>
        <w:rPr>
          <w:rFonts w:eastAsia="方正黑体_GBK"/>
          <w:sz w:val="32"/>
          <w:szCs w:val="32"/>
          <w:highlight w:val="none"/>
        </w:rPr>
      </w:pPr>
      <w:bookmarkStart w:id="17" w:name="_Toc24975"/>
      <w:r>
        <w:rPr>
          <w:rFonts w:hint="eastAsia" w:eastAsia="方正黑体_GBK"/>
          <w:sz w:val="32"/>
          <w:szCs w:val="32"/>
          <w:highlight w:val="none"/>
        </w:rPr>
        <w:t>五、</w:t>
      </w:r>
      <w:r>
        <w:rPr>
          <w:rFonts w:eastAsia="方正黑体_GBK"/>
          <w:sz w:val="32"/>
          <w:szCs w:val="32"/>
          <w:highlight w:val="none"/>
        </w:rPr>
        <w:t>存在的问题和建议</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_GBK"/>
          <w:color w:val="auto"/>
          <w:sz w:val="32"/>
          <w:szCs w:val="32"/>
          <w:highlight w:val="none"/>
          <w:lang w:eastAsia="zh-CN"/>
        </w:rPr>
      </w:pPr>
      <w:bookmarkStart w:id="18" w:name="_Toc17714"/>
      <w:bookmarkStart w:id="19" w:name="_Toc32356"/>
      <w:r>
        <w:rPr>
          <w:rFonts w:eastAsia="方正仿宋_GBK"/>
          <w:color w:val="auto"/>
          <w:sz w:val="32"/>
          <w:szCs w:val="32"/>
          <w:highlight w:val="none"/>
        </w:rPr>
        <w:t>（一）</w:t>
      </w:r>
      <w:r>
        <w:rPr>
          <w:rFonts w:hint="eastAsia" w:eastAsia="方正仿宋_GBK"/>
          <w:color w:val="auto"/>
          <w:sz w:val="32"/>
          <w:szCs w:val="32"/>
          <w:highlight w:val="none"/>
          <w:lang w:eastAsia="zh-CN"/>
        </w:rPr>
        <w:t>存在的问题</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Cs/>
          <w:kern w:val="2"/>
          <w:sz w:val="32"/>
          <w:szCs w:val="32"/>
          <w:highlight w:val="none"/>
          <w:lang w:val="en-US" w:eastAsia="zh-CN" w:bidi="ar-SA"/>
        </w:rPr>
      </w:pPr>
      <w:r>
        <w:rPr>
          <w:rFonts w:hint="eastAsia" w:ascii="仿宋_GB2312" w:hAnsi="仿宋" w:eastAsia="仿宋_GB2312" w:cs="仿宋"/>
          <w:bCs/>
          <w:kern w:val="2"/>
          <w:sz w:val="32"/>
          <w:szCs w:val="32"/>
          <w:highlight w:val="none"/>
          <w:lang w:val="en-US" w:eastAsia="zh-CN" w:bidi="ar-SA"/>
        </w:rPr>
        <w:t>1、未充分提高职工工作的积极性。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Cs/>
          <w:kern w:val="2"/>
          <w:sz w:val="32"/>
          <w:szCs w:val="32"/>
          <w:highlight w:val="none"/>
          <w:lang w:val="en-US" w:eastAsia="zh-CN" w:bidi="ar-SA"/>
        </w:rPr>
      </w:pPr>
      <w:bookmarkStart w:id="20" w:name="_Toc21701"/>
      <w:bookmarkStart w:id="21" w:name="_Toc17179"/>
      <w:r>
        <w:rPr>
          <w:rFonts w:hint="eastAsia" w:ascii="仿宋_GB2312" w:hAnsi="仿宋" w:eastAsia="仿宋_GB2312" w:cs="仿宋"/>
          <w:bCs/>
          <w:kern w:val="2"/>
          <w:sz w:val="32"/>
          <w:szCs w:val="32"/>
          <w:highlight w:val="none"/>
          <w:lang w:val="en-US" w:eastAsia="zh-CN" w:bidi="ar-SA"/>
        </w:rPr>
        <w:t>受不同主体的影响，可能导致职工工作的积极性不高，不能充分发挥职工的工作效能。</w:t>
      </w:r>
      <w:bookmarkEnd w:id="20"/>
      <w:bookmarkEnd w:id="21"/>
    </w:p>
    <w:p>
      <w:pPr>
        <w:keepNext w:val="0"/>
        <w:keepLines w:val="0"/>
        <w:pageBreakBefore w:val="0"/>
        <w:kinsoku/>
        <w:wordWrap/>
        <w:overflowPunct/>
        <w:topLinePunct w:val="0"/>
        <w:bidi w:val="0"/>
        <w:adjustRightInd/>
        <w:snapToGrid/>
        <w:spacing w:line="560" w:lineRule="exact"/>
        <w:ind w:firstLine="640" w:firstLineChars="200"/>
        <w:textAlignment w:val="auto"/>
        <w:outlineLvl w:val="1"/>
        <w:rPr>
          <w:rFonts w:hint="eastAsia" w:eastAsia="方正仿宋_GBK"/>
          <w:color w:val="auto"/>
          <w:sz w:val="32"/>
          <w:szCs w:val="32"/>
          <w:highlight w:val="none"/>
          <w:lang w:eastAsia="zh-CN"/>
        </w:rPr>
      </w:pPr>
      <w:bookmarkStart w:id="22" w:name="_Toc10918"/>
      <w:bookmarkStart w:id="23" w:name="_Toc17973"/>
      <w:r>
        <w:rPr>
          <w:rFonts w:eastAsia="方正仿宋_GBK"/>
          <w:color w:val="auto"/>
          <w:sz w:val="32"/>
          <w:szCs w:val="32"/>
          <w:highlight w:val="none"/>
        </w:rPr>
        <w:t>（</w:t>
      </w:r>
      <w:r>
        <w:rPr>
          <w:rFonts w:hint="eastAsia" w:eastAsia="方正仿宋_GBK"/>
          <w:color w:val="auto"/>
          <w:sz w:val="32"/>
          <w:szCs w:val="32"/>
          <w:highlight w:val="none"/>
          <w:lang w:eastAsia="zh-CN"/>
        </w:rPr>
        <w:t>二</w:t>
      </w:r>
      <w:r>
        <w:rPr>
          <w:rFonts w:eastAsia="方正仿宋_GBK"/>
          <w:color w:val="auto"/>
          <w:sz w:val="32"/>
          <w:szCs w:val="32"/>
          <w:highlight w:val="none"/>
        </w:rPr>
        <w:t>）</w:t>
      </w:r>
      <w:r>
        <w:rPr>
          <w:rFonts w:hint="eastAsia" w:eastAsia="方正仿宋_GBK"/>
          <w:color w:val="auto"/>
          <w:sz w:val="32"/>
          <w:szCs w:val="32"/>
          <w:highlight w:val="none"/>
          <w:lang w:eastAsia="zh-CN"/>
        </w:rPr>
        <w:t>建议</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
          <w:bCs/>
          <w:kern w:val="2"/>
          <w:sz w:val="32"/>
          <w:szCs w:val="32"/>
          <w:highlight w:val="none"/>
          <w:lang w:val="en-US" w:eastAsia="zh-CN" w:bidi="ar-SA"/>
        </w:rPr>
      </w:pPr>
      <w:r>
        <w:rPr>
          <w:rFonts w:hint="eastAsia" w:ascii="仿宋_GB2312" w:hAnsi="仿宋" w:eastAsia="仿宋_GB2312" w:cs="仿宋"/>
          <w:bCs/>
          <w:kern w:val="2"/>
          <w:sz w:val="32"/>
          <w:szCs w:val="32"/>
          <w:highlight w:val="none"/>
          <w:lang w:val="en-US" w:eastAsia="zh-CN" w:bidi="ar-SA"/>
        </w:rPr>
        <w:t>1、增加职工培训次数，加强宣传力度，提高职工的工作积极性，充分发挥职工的工作效能。</w:t>
      </w:r>
    </w:p>
    <w:sectPr>
      <w:footerReference r:id="rId3" w:type="default"/>
      <w:pgSz w:w="11906" w:h="16838"/>
      <w:pgMar w:top="1588" w:right="1474" w:bottom="1588"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37586"/>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A5F86"/>
    <w:rsid w:val="004C051C"/>
    <w:rsid w:val="004F189B"/>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9189B"/>
    <w:rsid w:val="008A7625"/>
    <w:rsid w:val="008D02AF"/>
    <w:rsid w:val="008D25A0"/>
    <w:rsid w:val="008F6EB2"/>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B1EB4"/>
    <w:rsid w:val="00CD33CE"/>
    <w:rsid w:val="00CF26C3"/>
    <w:rsid w:val="00D610B4"/>
    <w:rsid w:val="00D86135"/>
    <w:rsid w:val="00E05A32"/>
    <w:rsid w:val="00E225F8"/>
    <w:rsid w:val="00E25A0F"/>
    <w:rsid w:val="00E42BE7"/>
    <w:rsid w:val="00E55405"/>
    <w:rsid w:val="00E72086"/>
    <w:rsid w:val="00E91393"/>
    <w:rsid w:val="00EB0A75"/>
    <w:rsid w:val="00ED3BD8"/>
    <w:rsid w:val="00EF2A45"/>
    <w:rsid w:val="00F70C2E"/>
    <w:rsid w:val="00F76805"/>
    <w:rsid w:val="00F9262E"/>
    <w:rsid w:val="00F93438"/>
    <w:rsid w:val="00FA41F0"/>
    <w:rsid w:val="00FD0041"/>
    <w:rsid w:val="00FE38F2"/>
    <w:rsid w:val="016A347B"/>
    <w:rsid w:val="01955BC2"/>
    <w:rsid w:val="028A24EE"/>
    <w:rsid w:val="02B0089C"/>
    <w:rsid w:val="02E5725D"/>
    <w:rsid w:val="03192A63"/>
    <w:rsid w:val="032A1D61"/>
    <w:rsid w:val="03863E70"/>
    <w:rsid w:val="03CC21CB"/>
    <w:rsid w:val="04421E00"/>
    <w:rsid w:val="04A942BA"/>
    <w:rsid w:val="04B213C1"/>
    <w:rsid w:val="04BA12CE"/>
    <w:rsid w:val="04D91EE0"/>
    <w:rsid w:val="04F05A45"/>
    <w:rsid w:val="05575AC4"/>
    <w:rsid w:val="058B39C0"/>
    <w:rsid w:val="05962A91"/>
    <w:rsid w:val="05AF76AE"/>
    <w:rsid w:val="067D59FE"/>
    <w:rsid w:val="069114AA"/>
    <w:rsid w:val="06DC0977"/>
    <w:rsid w:val="06E45A7E"/>
    <w:rsid w:val="06EC66E0"/>
    <w:rsid w:val="081D7AE0"/>
    <w:rsid w:val="08251081"/>
    <w:rsid w:val="088E7A4F"/>
    <w:rsid w:val="08932C73"/>
    <w:rsid w:val="089332B7"/>
    <w:rsid w:val="09361B1F"/>
    <w:rsid w:val="09576D50"/>
    <w:rsid w:val="09C556F2"/>
    <w:rsid w:val="09FA11E0"/>
    <w:rsid w:val="0A232419"/>
    <w:rsid w:val="0AB1211B"/>
    <w:rsid w:val="0B924F3C"/>
    <w:rsid w:val="0BE107DE"/>
    <w:rsid w:val="0C104C1F"/>
    <w:rsid w:val="0C1C7A68"/>
    <w:rsid w:val="0CE47124"/>
    <w:rsid w:val="0D4002EA"/>
    <w:rsid w:val="0D80131B"/>
    <w:rsid w:val="0E2A646C"/>
    <w:rsid w:val="0E625C06"/>
    <w:rsid w:val="0E9670FF"/>
    <w:rsid w:val="0EAD6090"/>
    <w:rsid w:val="0EB14497"/>
    <w:rsid w:val="0EC56766"/>
    <w:rsid w:val="0EF9482D"/>
    <w:rsid w:val="0F0A1DF9"/>
    <w:rsid w:val="0F114F36"/>
    <w:rsid w:val="0F4867E1"/>
    <w:rsid w:val="100D394F"/>
    <w:rsid w:val="10872C96"/>
    <w:rsid w:val="10C77FA2"/>
    <w:rsid w:val="10E945E4"/>
    <w:rsid w:val="11E92A7D"/>
    <w:rsid w:val="11EE5A02"/>
    <w:rsid w:val="129E0FE6"/>
    <w:rsid w:val="12FD42F3"/>
    <w:rsid w:val="12FF4CC4"/>
    <w:rsid w:val="13041393"/>
    <w:rsid w:val="13A4281C"/>
    <w:rsid w:val="13B81E24"/>
    <w:rsid w:val="13C14191"/>
    <w:rsid w:val="14605346"/>
    <w:rsid w:val="149363ED"/>
    <w:rsid w:val="14F74BCE"/>
    <w:rsid w:val="156009C5"/>
    <w:rsid w:val="15D45EDB"/>
    <w:rsid w:val="15D53161"/>
    <w:rsid w:val="15E50ECA"/>
    <w:rsid w:val="16683FED"/>
    <w:rsid w:val="16946B78"/>
    <w:rsid w:val="16B11307"/>
    <w:rsid w:val="170830C2"/>
    <w:rsid w:val="172D2B29"/>
    <w:rsid w:val="178A7F7B"/>
    <w:rsid w:val="178D5376"/>
    <w:rsid w:val="17B40B54"/>
    <w:rsid w:val="17BF70EE"/>
    <w:rsid w:val="17C73B8D"/>
    <w:rsid w:val="1820443C"/>
    <w:rsid w:val="18567E5D"/>
    <w:rsid w:val="18E216F1"/>
    <w:rsid w:val="19033B41"/>
    <w:rsid w:val="190E2B30"/>
    <w:rsid w:val="192F0DDA"/>
    <w:rsid w:val="19F20C99"/>
    <w:rsid w:val="1A093935"/>
    <w:rsid w:val="1A0F6516"/>
    <w:rsid w:val="1AD76C66"/>
    <w:rsid w:val="1B3B46BA"/>
    <w:rsid w:val="1B9238A2"/>
    <w:rsid w:val="1B9C545C"/>
    <w:rsid w:val="1BAF2331"/>
    <w:rsid w:val="1C073948"/>
    <w:rsid w:val="1C27204D"/>
    <w:rsid w:val="1C3A1F70"/>
    <w:rsid w:val="1C44694B"/>
    <w:rsid w:val="1C760ACE"/>
    <w:rsid w:val="1C797B8B"/>
    <w:rsid w:val="1CAD0994"/>
    <w:rsid w:val="1CBE6AE9"/>
    <w:rsid w:val="1CCE242C"/>
    <w:rsid w:val="1D3F5364"/>
    <w:rsid w:val="1D820D1A"/>
    <w:rsid w:val="1D953CF2"/>
    <w:rsid w:val="1DDC1477"/>
    <w:rsid w:val="1E0C793C"/>
    <w:rsid w:val="1E57048B"/>
    <w:rsid w:val="1E6C17B0"/>
    <w:rsid w:val="1EB37344"/>
    <w:rsid w:val="1EB4768C"/>
    <w:rsid w:val="1EBB288A"/>
    <w:rsid w:val="1EFB7F8A"/>
    <w:rsid w:val="1F3B070C"/>
    <w:rsid w:val="1F897A12"/>
    <w:rsid w:val="1F8B2AE2"/>
    <w:rsid w:val="1FB44DFE"/>
    <w:rsid w:val="1FB922B6"/>
    <w:rsid w:val="203E7B55"/>
    <w:rsid w:val="20711CD8"/>
    <w:rsid w:val="211014F1"/>
    <w:rsid w:val="211D59BC"/>
    <w:rsid w:val="21676C37"/>
    <w:rsid w:val="217001E2"/>
    <w:rsid w:val="21983295"/>
    <w:rsid w:val="223631D9"/>
    <w:rsid w:val="22393EA1"/>
    <w:rsid w:val="22491CD9"/>
    <w:rsid w:val="22644610"/>
    <w:rsid w:val="22EA36DF"/>
    <w:rsid w:val="22F369D5"/>
    <w:rsid w:val="23146A25"/>
    <w:rsid w:val="23587F35"/>
    <w:rsid w:val="238B30B1"/>
    <w:rsid w:val="23B664D3"/>
    <w:rsid w:val="23BC14BC"/>
    <w:rsid w:val="241906BD"/>
    <w:rsid w:val="244020ED"/>
    <w:rsid w:val="24855D52"/>
    <w:rsid w:val="2501161D"/>
    <w:rsid w:val="25095830"/>
    <w:rsid w:val="25545725"/>
    <w:rsid w:val="2559015C"/>
    <w:rsid w:val="25805352"/>
    <w:rsid w:val="25A14E0E"/>
    <w:rsid w:val="25C1725E"/>
    <w:rsid w:val="25E934C3"/>
    <w:rsid w:val="26233A75"/>
    <w:rsid w:val="265005E2"/>
    <w:rsid w:val="269E759F"/>
    <w:rsid w:val="26A67592"/>
    <w:rsid w:val="26C863CA"/>
    <w:rsid w:val="26DD00C8"/>
    <w:rsid w:val="27014CE1"/>
    <w:rsid w:val="271F6B16"/>
    <w:rsid w:val="273852FE"/>
    <w:rsid w:val="277061AF"/>
    <w:rsid w:val="27EB5D07"/>
    <w:rsid w:val="281C69CE"/>
    <w:rsid w:val="284D3120"/>
    <w:rsid w:val="28F30AC7"/>
    <w:rsid w:val="291E516B"/>
    <w:rsid w:val="29230B96"/>
    <w:rsid w:val="293D309F"/>
    <w:rsid w:val="296A19BB"/>
    <w:rsid w:val="298760C9"/>
    <w:rsid w:val="2A144355"/>
    <w:rsid w:val="2A950CB9"/>
    <w:rsid w:val="2ADF010D"/>
    <w:rsid w:val="2AE94C67"/>
    <w:rsid w:val="2BE5357A"/>
    <w:rsid w:val="2BF35C97"/>
    <w:rsid w:val="2C047EA4"/>
    <w:rsid w:val="2C175182"/>
    <w:rsid w:val="2C1D4AC2"/>
    <w:rsid w:val="2C4E7372"/>
    <w:rsid w:val="2CFE2B46"/>
    <w:rsid w:val="2D6A1F89"/>
    <w:rsid w:val="2DC676D8"/>
    <w:rsid w:val="2E224612"/>
    <w:rsid w:val="2E537B2C"/>
    <w:rsid w:val="2EB76CF2"/>
    <w:rsid w:val="2FDD1B7F"/>
    <w:rsid w:val="305B02AF"/>
    <w:rsid w:val="30964F58"/>
    <w:rsid w:val="30AE4883"/>
    <w:rsid w:val="314400D6"/>
    <w:rsid w:val="317A6513"/>
    <w:rsid w:val="31A517E2"/>
    <w:rsid w:val="31C37EBA"/>
    <w:rsid w:val="31D903E2"/>
    <w:rsid w:val="324A3FB8"/>
    <w:rsid w:val="324F79A0"/>
    <w:rsid w:val="326351F9"/>
    <w:rsid w:val="32882844"/>
    <w:rsid w:val="32891103"/>
    <w:rsid w:val="32DB1E15"/>
    <w:rsid w:val="32FA3DAF"/>
    <w:rsid w:val="33226E62"/>
    <w:rsid w:val="343E5F1E"/>
    <w:rsid w:val="345B03BA"/>
    <w:rsid w:val="34DB15D1"/>
    <w:rsid w:val="35531555"/>
    <w:rsid w:val="359C73A0"/>
    <w:rsid w:val="35DF4A23"/>
    <w:rsid w:val="361C3BBB"/>
    <w:rsid w:val="370D479A"/>
    <w:rsid w:val="375D4970"/>
    <w:rsid w:val="3772660A"/>
    <w:rsid w:val="37A109AF"/>
    <w:rsid w:val="37CE1367"/>
    <w:rsid w:val="38450F97"/>
    <w:rsid w:val="38606463"/>
    <w:rsid w:val="38D34E86"/>
    <w:rsid w:val="392C4A54"/>
    <w:rsid w:val="393A3157"/>
    <w:rsid w:val="39D62CD1"/>
    <w:rsid w:val="39D7256C"/>
    <w:rsid w:val="3A4D2102"/>
    <w:rsid w:val="3AB64A60"/>
    <w:rsid w:val="3AD02B9B"/>
    <w:rsid w:val="3AD46C94"/>
    <w:rsid w:val="3B1A3241"/>
    <w:rsid w:val="3B6B724C"/>
    <w:rsid w:val="3B716BD9"/>
    <w:rsid w:val="3B8316E3"/>
    <w:rsid w:val="3BFA4E20"/>
    <w:rsid w:val="3C0269D0"/>
    <w:rsid w:val="3C387ABE"/>
    <w:rsid w:val="3C795D45"/>
    <w:rsid w:val="3CB669F0"/>
    <w:rsid w:val="3CC64D02"/>
    <w:rsid w:val="3CE542E3"/>
    <w:rsid w:val="3D1D0DC6"/>
    <w:rsid w:val="3D232155"/>
    <w:rsid w:val="3D764477"/>
    <w:rsid w:val="3DE32978"/>
    <w:rsid w:val="3E2671E9"/>
    <w:rsid w:val="3E4F1453"/>
    <w:rsid w:val="3E710C5E"/>
    <w:rsid w:val="3E726EF0"/>
    <w:rsid w:val="3E860BED"/>
    <w:rsid w:val="3F2521B4"/>
    <w:rsid w:val="3F732F1F"/>
    <w:rsid w:val="400152DE"/>
    <w:rsid w:val="402315E4"/>
    <w:rsid w:val="40273D0A"/>
    <w:rsid w:val="40AB0497"/>
    <w:rsid w:val="41540B2E"/>
    <w:rsid w:val="41601281"/>
    <w:rsid w:val="419319BE"/>
    <w:rsid w:val="419C60EE"/>
    <w:rsid w:val="42576B28"/>
    <w:rsid w:val="42B86E9B"/>
    <w:rsid w:val="43525542"/>
    <w:rsid w:val="43AA3D0F"/>
    <w:rsid w:val="43C27FD1"/>
    <w:rsid w:val="4407632C"/>
    <w:rsid w:val="44246EDE"/>
    <w:rsid w:val="44366C11"/>
    <w:rsid w:val="44C7096D"/>
    <w:rsid w:val="44DC50C3"/>
    <w:rsid w:val="45760EA9"/>
    <w:rsid w:val="46374FA4"/>
    <w:rsid w:val="4687351F"/>
    <w:rsid w:val="46EA7EDB"/>
    <w:rsid w:val="475A5C56"/>
    <w:rsid w:val="475C24EB"/>
    <w:rsid w:val="475F4E51"/>
    <w:rsid w:val="48343EFF"/>
    <w:rsid w:val="484216E1"/>
    <w:rsid w:val="48531B40"/>
    <w:rsid w:val="48783354"/>
    <w:rsid w:val="487D6BBD"/>
    <w:rsid w:val="48A57EC2"/>
    <w:rsid w:val="48F84495"/>
    <w:rsid w:val="496F0BFB"/>
    <w:rsid w:val="4A72164F"/>
    <w:rsid w:val="4AE63E96"/>
    <w:rsid w:val="4B416C8E"/>
    <w:rsid w:val="4B7324F9"/>
    <w:rsid w:val="4BA332FA"/>
    <w:rsid w:val="4BBF4728"/>
    <w:rsid w:val="4BC863A1"/>
    <w:rsid w:val="4BE807F1"/>
    <w:rsid w:val="4C1E2465"/>
    <w:rsid w:val="4C717508"/>
    <w:rsid w:val="4C737080"/>
    <w:rsid w:val="4C7D6B0F"/>
    <w:rsid w:val="4C863888"/>
    <w:rsid w:val="4CA23096"/>
    <w:rsid w:val="4D265A75"/>
    <w:rsid w:val="4D5B0843"/>
    <w:rsid w:val="4D8D0E92"/>
    <w:rsid w:val="4D8D1626"/>
    <w:rsid w:val="4DB210B7"/>
    <w:rsid w:val="4DF9770F"/>
    <w:rsid w:val="4E465EC0"/>
    <w:rsid w:val="4F373CBD"/>
    <w:rsid w:val="4F4A3571"/>
    <w:rsid w:val="4F641DC0"/>
    <w:rsid w:val="4F7F321A"/>
    <w:rsid w:val="4FC2787B"/>
    <w:rsid w:val="4FDD1E22"/>
    <w:rsid w:val="5019366F"/>
    <w:rsid w:val="502B4D4B"/>
    <w:rsid w:val="5066262C"/>
    <w:rsid w:val="50B60EBE"/>
    <w:rsid w:val="50CE2168"/>
    <w:rsid w:val="50FD4D3F"/>
    <w:rsid w:val="51196B7F"/>
    <w:rsid w:val="511B3686"/>
    <w:rsid w:val="51694182"/>
    <w:rsid w:val="51DB1DFE"/>
    <w:rsid w:val="51DD691E"/>
    <w:rsid w:val="522956BF"/>
    <w:rsid w:val="52334F5D"/>
    <w:rsid w:val="52554706"/>
    <w:rsid w:val="528154FB"/>
    <w:rsid w:val="52FB3500"/>
    <w:rsid w:val="534E5E76"/>
    <w:rsid w:val="53777EE3"/>
    <w:rsid w:val="53C03E02"/>
    <w:rsid w:val="53D33B35"/>
    <w:rsid w:val="543A174A"/>
    <w:rsid w:val="54444A33"/>
    <w:rsid w:val="546B6463"/>
    <w:rsid w:val="54A454D1"/>
    <w:rsid w:val="54C16083"/>
    <w:rsid w:val="54E83610"/>
    <w:rsid w:val="55BF6864"/>
    <w:rsid w:val="55CA4659"/>
    <w:rsid w:val="56120C9B"/>
    <w:rsid w:val="56290384"/>
    <w:rsid w:val="56E16569"/>
    <w:rsid w:val="56E20D30"/>
    <w:rsid w:val="570D06C6"/>
    <w:rsid w:val="574A6A03"/>
    <w:rsid w:val="57825F9E"/>
    <w:rsid w:val="57851FA0"/>
    <w:rsid w:val="57EC1669"/>
    <w:rsid w:val="584274DB"/>
    <w:rsid w:val="58906498"/>
    <w:rsid w:val="59387870"/>
    <w:rsid w:val="59EF71EF"/>
    <w:rsid w:val="59F12F67"/>
    <w:rsid w:val="5A317807"/>
    <w:rsid w:val="5A3213AE"/>
    <w:rsid w:val="5A6776CD"/>
    <w:rsid w:val="5A7D0C9E"/>
    <w:rsid w:val="5A92474A"/>
    <w:rsid w:val="5AD634AF"/>
    <w:rsid w:val="5AFA22EF"/>
    <w:rsid w:val="5B48305A"/>
    <w:rsid w:val="5B503CBD"/>
    <w:rsid w:val="5BD112A2"/>
    <w:rsid w:val="5BE2444B"/>
    <w:rsid w:val="5C401F83"/>
    <w:rsid w:val="5C8B6D23"/>
    <w:rsid w:val="5CF65AEE"/>
    <w:rsid w:val="5D6A375C"/>
    <w:rsid w:val="5DA64068"/>
    <w:rsid w:val="5DC94ECD"/>
    <w:rsid w:val="5DD72473"/>
    <w:rsid w:val="5E3478C6"/>
    <w:rsid w:val="5E6A778C"/>
    <w:rsid w:val="5F434264"/>
    <w:rsid w:val="5FAF36A8"/>
    <w:rsid w:val="60025ECE"/>
    <w:rsid w:val="607E751E"/>
    <w:rsid w:val="60C25A8C"/>
    <w:rsid w:val="612570C9"/>
    <w:rsid w:val="61442516"/>
    <w:rsid w:val="61D513C0"/>
    <w:rsid w:val="61DA0784"/>
    <w:rsid w:val="61ED495B"/>
    <w:rsid w:val="626403BD"/>
    <w:rsid w:val="62BB0009"/>
    <w:rsid w:val="62D96C8E"/>
    <w:rsid w:val="641E2BAA"/>
    <w:rsid w:val="646F6B02"/>
    <w:rsid w:val="64872E45"/>
    <w:rsid w:val="64B2736E"/>
    <w:rsid w:val="64B625E5"/>
    <w:rsid w:val="64B73617"/>
    <w:rsid w:val="65385EEE"/>
    <w:rsid w:val="657E406F"/>
    <w:rsid w:val="6583101F"/>
    <w:rsid w:val="65FC7E82"/>
    <w:rsid w:val="662D7AA8"/>
    <w:rsid w:val="6659436D"/>
    <w:rsid w:val="66A15B63"/>
    <w:rsid w:val="66B15F58"/>
    <w:rsid w:val="67735F97"/>
    <w:rsid w:val="677564D7"/>
    <w:rsid w:val="677A03D8"/>
    <w:rsid w:val="67897A2C"/>
    <w:rsid w:val="68306F68"/>
    <w:rsid w:val="68321007"/>
    <w:rsid w:val="68E1689C"/>
    <w:rsid w:val="68F8169B"/>
    <w:rsid w:val="690031C6"/>
    <w:rsid w:val="695E6043"/>
    <w:rsid w:val="6A150CDB"/>
    <w:rsid w:val="6A3D3FA6"/>
    <w:rsid w:val="6A7A48B2"/>
    <w:rsid w:val="6A7C687C"/>
    <w:rsid w:val="6AA30543"/>
    <w:rsid w:val="6B246114"/>
    <w:rsid w:val="6B2A277C"/>
    <w:rsid w:val="6B32518D"/>
    <w:rsid w:val="6B923E7E"/>
    <w:rsid w:val="6BE26BB3"/>
    <w:rsid w:val="6C1D408F"/>
    <w:rsid w:val="6C35440C"/>
    <w:rsid w:val="6C6D67A4"/>
    <w:rsid w:val="6C722924"/>
    <w:rsid w:val="6CAB3449"/>
    <w:rsid w:val="6CE32BE3"/>
    <w:rsid w:val="6D34343E"/>
    <w:rsid w:val="6D375E8D"/>
    <w:rsid w:val="6D6261FE"/>
    <w:rsid w:val="6E1B1ADB"/>
    <w:rsid w:val="6E514E37"/>
    <w:rsid w:val="6E8421A4"/>
    <w:rsid w:val="6E8832FB"/>
    <w:rsid w:val="6EA2535E"/>
    <w:rsid w:val="6EC32CCC"/>
    <w:rsid w:val="6F06705D"/>
    <w:rsid w:val="6F277E72"/>
    <w:rsid w:val="6F4D4C8B"/>
    <w:rsid w:val="6F9C0BD2"/>
    <w:rsid w:val="6FA81EC2"/>
    <w:rsid w:val="6FE50A20"/>
    <w:rsid w:val="6FF87B58"/>
    <w:rsid w:val="701C7146"/>
    <w:rsid w:val="70207CAA"/>
    <w:rsid w:val="70251764"/>
    <w:rsid w:val="70833152"/>
    <w:rsid w:val="70A42689"/>
    <w:rsid w:val="70B30B1E"/>
    <w:rsid w:val="70D5125B"/>
    <w:rsid w:val="711C66C3"/>
    <w:rsid w:val="717209D9"/>
    <w:rsid w:val="71F907B3"/>
    <w:rsid w:val="72814E86"/>
    <w:rsid w:val="72BF7C4E"/>
    <w:rsid w:val="72C47013"/>
    <w:rsid w:val="73165394"/>
    <w:rsid w:val="733A72D5"/>
    <w:rsid w:val="73B731C1"/>
    <w:rsid w:val="73C551BD"/>
    <w:rsid w:val="73E426C7"/>
    <w:rsid w:val="74054678"/>
    <w:rsid w:val="749B74FC"/>
    <w:rsid w:val="74CE7AAB"/>
    <w:rsid w:val="74F311C2"/>
    <w:rsid w:val="753F67B0"/>
    <w:rsid w:val="75954C96"/>
    <w:rsid w:val="75AD0232"/>
    <w:rsid w:val="75BC635F"/>
    <w:rsid w:val="76361BBE"/>
    <w:rsid w:val="76C33D5F"/>
    <w:rsid w:val="76E23F0B"/>
    <w:rsid w:val="76F65C09"/>
    <w:rsid w:val="77063A92"/>
    <w:rsid w:val="7718792D"/>
    <w:rsid w:val="774C5829"/>
    <w:rsid w:val="77B70EF4"/>
    <w:rsid w:val="77EE441B"/>
    <w:rsid w:val="78173E5E"/>
    <w:rsid w:val="78656BA2"/>
    <w:rsid w:val="7869531B"/>
    <w:rsid w:val="788A7670"/>
    <w:rsid w:val="78CC4E73"/>
    <w:rsid w:val="78E71CAD"/>
    <w:rsid w:val="790E1D11"/>
    <w:rsid w:val="791D747D"/>
    <w:rsid w:val="7A341A8C"/>
    <w:rsid w:val="7A37456E"/>
    <w:rsid w:val="7AA250E0"/>
    <w:rsid w:val="7AB34C3E"/>
    <w:rsid w:val="7AD149C3"/>
    <w:rsid w:val="7B62561B"/>
    <w:rsid w:val="7BC6204D"/>
    <w:rsid w:val="7BFC5A6F"/>
    <w:rsid w:val="7C136915"/>
    <w:rsid w:val="7C4B01FE"/>
    <w:rsid w:val="7C5A7A98"/>
    <w:rsid w:val="7C8617DD"/>
    <w:rsid w:val="7CA31E23"/>
    <w:rsid w:val="7CB63E70"/>
    <w:rsid w:val="7D8F7D33"/>
    <w:rsid w:val="7DDC7906"/>
    <w:rsid w:val="7DE20C95"/>
    <w:rsid w:val="7E3C0871"/>
    <w:rsid w:val="7E9A0745"/>
    <w:rsid w:val="7EB83CD9"/>
    <w:rsid w:val="7EF06039"/>
    <w:rsid w:val="7F1B445E"/>
    <w:rsid w:val="7FD12072"/>
    <w:rsid w:val="7FDB3BED"/>
    <w:rsid w:val="7FFC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ind w:left="840" w:leftChars="4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4765</Words>
  <Characters>5000</Characters>
  <Lines>1</Lines>
  <Paragraphs>1</Paragraphs>
  <TotalTime>0</TotalTime>
  <ScaleCrop>false</ScaleCrop>
  <LinksUpToDate>false</LinksUpToDate>
  <CharactersWithSpaces>5101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飞如内控咨询</cp:lastModifiedBy>
  <cp:lastPrinted>2020-04-20T08:58:00Z</cp:lastPrinted>
  <dcterms:modified xsi:type="dcterms:W3CDTF">2022-03-29T06:49:09Z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65839F3C66D442339E1B2047FADCC83F</vt:lpwstr>
  </property>
</Properties>
</file>