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D4E07">
      <w:pPr>
        <w:jc w:val="center"/>
        <w:rPr>
          <w:rFonts w:ascii="仿宋_GB2312" w:hAnsi="仿宋_GB2312" w:eastAsia="仿宋_GB2312" w:cs="仿宋_GB2312"/>
          <w:sz w:val="36"/>
          <w:szCs w:val="36"/>
        </w:rPr>
      </w:pPr>
    </w:p>
    <w:p w14:paraId="1BE5CA69">
      <w:pPr>
        <w:jc w:val="center"/>
        <w:rPr>
          <w:rFonts w:ascii="仿宋_GB2312" w:hAnsi="仿宋_GB2312" w:eastAsia="仿宋_GB2312" w:cs="仿宋_GB2312"/>
          <w:sz w:val="36"/>
          <w:szCs w:val="36"/>
        </w:rPr>
      </w:pPr>
    </w:p>
    <w:p w14:paraId="6E3D0C24">
      <w:pPr>
        <w:jc w:val="center"/>
        <w:rPr>
          <w:rFonts w:ascii="仿宋_GB2312" w:hAnsi="仿宋_GB2312" w:eastAsia="仿宋_GB2312" w:cs="仿宋_GB2312"/>
          <w:sz w:val="36"/>
          <w:szCs w:val="36"/>
        </w:rPr>
      </w:pPr>
    </w:p>
    <w:p w14:paraId="1A605D18">
      <w:pPr>
        <w:jc w:val="center"/>
        <w:rPr>
          <w:rFonts w:hint="eastAsia" w:ascii="仿宋_GB2312" w:hAnsi="仿宋_GB2312" w:eastAsia="仿宋_GB2312" w:cs="仿宋_GB2312"/>
          <w:sz w:val="36"/>
          <w:szCs w:val="36"/>
        </w:rPr>
      </w:pPr>
    </w:p>
    <w:p w14:paraId="7FBCEBD9">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3B1C2003">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056C4259">
      <w:pPr>
        <w:adjustRightInd w:val="0"/>
        <w:snapToGrid w:val="0"/>
        <w:spacing w:line="288" w:lineRule="auto"/>
        <w:jc w:val="center"/>
        <w:outlineLvl w:val="0"/>
        <w:rPr>
          <w:rFonts w:hint="eastAsia" w:ascii="华文仿宋" w:hAnsi="华文仿宋" w:eastAsia="华文仿宋" w:cs="华文仿宋"/>
          <w:color w:val="000000"/>
          <w:kern w:val="44"/>
          <w:sz w:val="44"/>
          <w:szCs w:val="44"/>
          <w:lang w:eastAsia="zh-CN"/>
        </w:rPr>
      </w:pPr>
      <w:r>
        <w:rPr>
          <w:rFonts w:hint="eastAsia" w:ascii="华文仿宋" w:hAnsi="华文仿宋" w:eastAsia="华文仿宋" w:cs="华文仿宋"/>
          <w:color w:val="000000"/>
          <w:kern w:val="44"/>
          <w:sz w:val="44"/>
          <w:szCs w:val="44"/>
          <w:lang w:eastAsia="zh-CN"/>
        </w:rPr>
        <w:t>（</w:t>
      </w:r>
      <w:r>
        <w:rPr>
          <w:rFonts w:hint="eastAsia" w:ascii="华文仿宋" w:hAnsi="华文仿宋" w:eastAsia="华文仿宋" w:cs="华文仿宋"/>
          <w:color w:val="000000"/>
          <w:kern w:val="44"/>
          <w:sz w:val="44"/>
          <w:szCs w:val="44"/>
          <w:lang w:val="en-US" w:eastAsia="zh-CN"/>
        </w:rPr>
        <w:t>公示版</w:t>
      </w:r>
      <w:r>
        <w:rPr>
          <w:rFonts w:hint="eastAsia" w:ascii="华文仿宋" w:hAnsi="华文仿宋" w:eastAsia="华文仿宋" w:cs="华文仿宋"/>
          <w:color w:val="000000"/>
          <w:kern w:val="44"/>
          <w:sz w:val="44"/>
          <w:szCs w:val="44"/>
          <w:lang w:eastAsia="zh-CN"/>
        </w:rPr>
        <w:t>）</w:t>
      </w:r>
    </w:p>
    <w:p w14:paraId="0340C0B5">
      <w:pPr>
        <w:jc w:val="center"/>
        <w:rPr>
          <w:rFonts w:eastAsia="仿宋"/>
          <w:sz w:val="52"/>
          <w:szCs w:val="52"/>
        </w:rPr>
      </w:pPr>
    </w:p>
    <w:p w14:paraId="15AC0391">
      <w:pPr>
        <w:ind w:firstLine="1040"/>
        <w:jc w:val="center"/>
        <w:rPr>
          <w:rFonts w:eastAsia="仿宋"/>
          <w:sz w:val="44"/>
          <w:szCs w:val="44"/>
        </w:rPr>
      </w:pPr>
    </w:p>
    <w:p w14:paraId="555DE9C4">
      <w:pPr>
        <w:ind w:firstLine="1040"/>
        <w:jc w:val="center"/>
        <w:rPr>
          <w:rFonts w:eastAsia="仿宋"/>
          <w:sz w:val="44"/>
          <w:szCs w:val="44"/>
        </w:rPr>
      </w:pPr>
    </w:p>
    <w:p w14:paraId="62E6E6F4">
      <w:pPr>
        <w:ind w:firstLine="1040"/>
        <w:jc w:val="center"/>
        <w:rPr>
          <w:rFonts w:eastAsia="仿宋"/>
          <w:sz w:val="44"/>
          <w:szCs w:val="44"/>
        </w:rPr>
      </w:pPr>
    </w:p>
    <w:p w14:paraId="35B2A245">
      <w:pPr>
        <w:ind w:firstLine="1040"/>
        <w:jc w:val="center"/>
        <w:rPr>
          <w:rFonts w:eastAsia="仿宋"/>
          <w:sz w:val="44"/>
          <w:szCs w:val="44"/>
        </w:rPr>
      </w:pPr>
    </w:p>
    <w:p w14:paraId="1625F965">
      <w:pPr>
        <w:adjustRightInd w:val="0"/>
        <w:snapToGrid w:val="0"/>
        <w:spacing w:line="288" w:lineRule="auto"/>
        <w:ind w:firstLine="1040"/>
        <w:jc w:val="both"/>
        <w:rPr>
          <w:rFonts w:hint="eastAsia"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w:t>
      </w:r>
      <w:r>
        <w:rPr>
          <w:rFonts w:hint="eastAsia" w:ascii="仿宋_GB2312" w:eastAsia="仿宋_GB2312"/>
          <w:sz w:val="36"/>
          <w:szCs w:val="36"/>
          <w:u w:val="single"/>
          <w:lang w:eastAsia="zh-CN"/>
        </w:rPr>
        <w:t>璧山区贝康宠物医院</w:t>
      </w:r>
      <w:r>
        <w:rPr>
          <w:rFonts w:hint="eastAsia" w:ascii="仿宋_GB2312" w:eastAsia="仿宋_GB2312"/>
          <w:sz w:val="36"/>
          <w:szCs w:val="36"/>
          <w:u w:val="single"/>
        </w:rPr>
        <w:t>建设项目</w:t>
      </w:r>
    </w:p>
    <w:p w14:paraId="64F62645">
      <w:pPr>
        <w:adjustRightInd w:val="0"/>
        <w:snapToGrid w:val="0"/>
        <w:spacing w:line="288" w:lineRule="auto"/>
        <w:ind w:firstLine="1040"/>
        <w:jc w:val="left"/>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_GB2312" w:eastAsia="仿宋_GB2312"/>
          <w:sz w:val="36"/>
          <w:szCs w:val="36"/>
          <w:u w:val="single"/>
          <w:lang w:eastAsia="zh-CN"/>
        </w:rPr>
        <w:t>璧山区贝康宠物医院</w:t>
      </w:r>
    </w:p>
    <w:p w14:paraId="5CCB050F">
      <w:pPr>
        <w:adjustRightInd w:val="0"/>
        <w:snapToGrid w:val="0"/>
        <w:spacing w:line="288" w:lineRule="auto"/>
        <w:ind w:firstLine="1040"/>
        <w:jc w:val="left"/>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2025年7月</w:t>
      </w:r>
    </w:p>
    <w:p w14:paraId="5B73655F">
      <w:pPr>
        <w:adjustRightInd w:val="0"/>
        <w:snapToGrid w:val="0"/>
        <w:spacing w:line="288" w:lineRule="auto"/>
        <w:ind w:firstLine="1040"/>
        <w:jc w:val="center"/>
        <w:rPr>
          <w:rFonts w:ascii="仿宋_GB2312" w:eastAsia="仿宋_GB2312"/>
          <w:sz w:val="36"/>
          <w:szCs w:val="36"/>
          <w:u w:val="single"/>
        </w:rPr>
      </w:pPr>
      <w:bookmarkStart w:id="0" w:name="_Hlk57884087"/>
    </w:p>
    <w:p w14:paraId="15A6885C">
      <w:pPr>
        <w:adjustRightInd w:val="0"/>
        <w:snapToGrid w:val="0"/>
        <w:spacing w:line="288" w:lineRule="auto"/>
        <w:ind w:firstLine="1040"/>
        <w:jc w:val="center"/>
        <w:rPr>
          <w:rFonts w:hint="eastAsia" w:ascii="仿宋_GB2312" w:eastAsia="仿宋_GB2312"/>
          <w:sz w:val="36"/>
          <w:szCs w:val="36"/>
        </w:rPr>
      </w:pPr>
    </w:p>
    <w:p w14:paraId="751AF334">
      <w:pPr>
        <w:adjustRightInd w:val="0"/>
        <w:snapToGrid w:val="0"/>
        <w:spacing w:line="288" w:lineRule="auto"/>
        <w:ind w:firstLine="1040"/>
        <w:jc w:val="center"/>
        <w:rPr>
          <w:rFonts w:hint="eastAsia" w:ascii="仿宋_GB2312" w:eastAsia="仿宋_GB2312"/>
          <w:sz w:val="36"/>
          <w:szCs w:val="36"/>
        </w:rPr>
      </w:pPr>
    </w:p>
    <w:bookmarkEnd w:id="0"/>
    <w:p w14:paraId="2EF456C2">
      <w:pPr>
        <w:jc w:val="center"/>
      </w:pPr>
      <w:r>
        <w:rPr>
          <w:rFonts w:hint="eastAsia" w:ascii="楷体_GB2312" w:eastAsia="楷体_GB2312"/>
          <w:sz w:val="36"/>
          <w:szCs w:val="36"/>
        </w:rPr>
        <w:t>中华人民共和国生态环境部制</w:t>
      </w:r>
    </w:p>
    <w:p w14:paraId="40610A3B">
      <w:pPr>
        <w:pStyle w:val="17"/>
        <w:jc w:val="center"/>
        <w:outlineLvl w:val="0"/>
        <w:rPr>
          <w:rFonts w:hint="eastAsia" w:ascii="黑体" w:hAnsi="黑体" w:eastAsia="黑体"/>
          <w:snapToGrid w:val="0"/>
          <w:sz w:val="30"/>
          <w:szCs w:val="30"/>
        </w:rPr>
      </w:pPr>
    </w:p>
    <w:p w14:paraId="056A2CCC">
      <w:pPr>
        <w:pStyle w:val="17"/>
        <w:jc w:val="center"/>
        <w:outlineLvl w:val="0"/>
        <w:rPr>
          <w:rFonts w:hint="eastAsia" w:ascii="黑体" w:hAnsi="黑体" w:eastAsia="黑体"/>
          <w:snapToGrid w:val="0"/>
          <w:sz w:val="30"/>
          <w:szCs w:val="30"/>
        </w:rPr>
      </w:pPr>
    </w:p>
    <w:p w14:paraId="10138D95">
      <w:pPr>
        <w:pStyle w:val="17"/>
        <w:jc w:val="center"/>
        <w:outlineLvl w:val="0"/>
        <w:rPr>
          <w:rFonts w:hint="eastAsia" w:ascii="黑体" w:hAnsi="黑体" w:eastAsia="黑体"/>
          <w:snapToGrid w:val="0"/>
          <w:sz w:val="30"/>
          <w:szCs w:val="30"/>
          <w:lang w:eastAsia="zh-CN"/>
        </w:rPr>
      </w:pPr>
      <w:r>
        <w:rPr>
          <w:rFonts w:hint="eastAsia" w:ascii="黑体" w:hAnsi="黑体" w:eastAsia="黑体"/>
          <w:snapToGrid w:val="0"/>
          <w:sz w:val="30"/>
          <w:szCs w:val="30"/>
          <w:lang w:eastAsia="zh-CN"/>
        </w:rPr>
        <w:drawing>
          <wp:inline distT="0" distB="0" distL="114300" distR="114300">
            <wp:extent cx="5419725" cy="7572375"/>
            <wp:effectExtent l="0" t="0" r="9525" b="9525"/>
            <wp:docPr id="18" name="图片 18" descr="e8b251fc5d5ab1b1007b17befcf9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8b251fc5d5ab1b1007b17befcf9ffc"/>
                    <pic:cNvPicPr>
                      <a:picLocks noChangeAspect="1"/>
                    </pic:cNvPicPr>
                  </pic:nvPicPr>
                  <pic:blipFill>
                    <a:blip r:embed="rId9"/>
                    <a:stretch>
                      <a:fillRect/>
                    </a:stretch>
                  </pic:blipFill>
                  <pic:spPr>
                    <a:xfrm>
                      <a:off x="0" y="0"/>
                      <a:ext cx="5419725" cy="7572375"/>
                    </a:xfrm>
                    <a:prstGeom prst="rect">
                      <a:avLst/>
                    </a:prstGeom>
                  </pic:spPr>
                </pic:pic>
              </a:graphicData>
            </a:graphic>
          </wp:inline>
        </w:drawing>
      </w:r>
    </w:p>
    <w:p w14:paraId="263598ED">
      <w:pPr>
        <w:pStyle w:val="17"/>
        <w:jc w:val="center"/>
        <w:outlineLvl w:val="0"/>
        <w:rPr>
          <w:rFonts w:hint="eastAsia" w:ascii="黑体" w:hAnsi="黑体" w:eastAsia="黑体"/>
          <w:snapToGrid w:val="0"/>
          <w:sz w:val="30"/>
          <w:szCs w:val="30"/>
          <w:lang w:eastAsia="zh-CN"/>
        </w:rPr>
      </w:pPr>
    </w:p>
    <w:p w14:paraId="78C34D0B">
      <w:pPr>
        <w:pStyle w:val="17"/>
        <w:jc w:val="center"/>
        <w:outlineLvl w:val="0"/>
        <w:rPr>
          <w:rFonts w:hint="eastAsia" w:ascii="黑体" w:hAnsi="黑体" w:eastAsia="黑体"/>
          <w:snapToGrid w:val="0"/>
          <w:sz w:val="30"/>
          <w:szCs w:val="30"/>
          <w:lang w:eastAsia="zh-CN"/>
        </w:rPr>
      </w:pPr>
    </w:p>
    <w:p w14:paraId="64599965">
      <w:pPr>
        <w:spacing w:before="75" w:line="223" w:lineRule="auto"/>
        <w:ind w:left="2543"/>
        <w:outlineLvl w:val="0"/>
        <w:rPr>
          <w:rFonts w:ascii="宋体" w:hAnsi="宋体" w:eastAsia="宋体" w:cs="宋体"/>
          <w:sz w:val="37"/>
          <w:szCs w:val="37"/>
        </w:rPr>
      </w:pPr>
      <w:r>
        <w:rPr>
          <w:rFonts w:ascii="宋体" w:hAnsi="宋体" w:eastAsia="宋体" w:cs="宋体"/>
          <w:b/>
          <w:bCs/>
          <w:spacing w:val="-10"/>
          <w:sz w:val="37"/>
          <w:szCs w:val="37"/>
        </w:rPr>
        <w:t>编</w:t>
      </w:r>
      <w:r>
        <w:rPr>
          <w:rFonts w:ascii="宋体" w:hAnsi="宋体" w:eastAsia="宋体" w:cs="宋体"/>
          <w:spacing w:val="23"/>
          <w:sz w:val="37"/>
          <w:szCs w:val="37"/>
        </w:rPr>
        <w:t xml:space="preserve"> </w:t>
      </w:r>
      <w:r>
        <w:rPr>
          <w:rFonts w:ascii="宋体" w:hAnsi="宋体" w:eastAsia="宋体" w:cs="宋体"/>
          <w:b/>
          <w:bCs/>
          <w:spacing w:val="-10"/>
          <w:sz w:val="37"/>
          <w:szCs w:val="37"/>
        </w:rPr>
        <w:t>制</w:t>
      </w:r>
      <w:r>
        <w:rPr>
          <w:rFonts w:ascii="宋体" w:hAnsi="宋体" w:eastAsia="宋体" w:cs="宋体"/>
          <w:spacing w:val="27"/>
          <w:sz w:val="37"/>
          <w:szCs w:val="37"/>
        </w:rPr>
        <w:t xml:space="preserve"> </w:t>
      </w:r>
      <w:r>
        <w:rPr>
          <w:rFonts w:ascii="宋体" w:hAnsi="宋体" w:eastAsia="宋体" w:cs="宋体"/>
          <w:b/>
          <w:bCs/>
          <w:spacing w:val="-10"/>
          <w:sz w:val="37"/>
          <w:szCs w:val="37"/>
        </w:rPr>
        <w:t>单</w:t>
      </w:r>
      <w:r>
        <w:rPr>
          <w:rFonts w:ascii="宋体" w:hAnsi="宋体" w:eastAsia="宋体" w:cs="宋体"/>
          <w:spacing w:val="22"/>
          <w:sz w:val="37"/>
          <w:szCs w:val="37"/>
        </w:rPr>
        <w:t xml:space="preserve"> </w:t>
      </w:r>
      <w:r>
        <w:rPr>
          <w:rFonts w:ascii="宋体" w:hAnsi="宋体" w:eastAsia="宋体" w:cs="宋体"/>
          <w:b/>
          <w:bCs/>
          <w:spacing w:val="-10"/>
          <w:sz w:val="37"/>
          <w:szCs w:val="37"/>
        </w:rPr>
        <w:t>位</w:t>
      </w:r>
      <w:r>
        <w:rPr>
          <w:rFonts w:ascii="宋体" w:hAnsi="宋体" w:eastAsia="宋体" w:cs="宋体"/>
          <w:spacing w:val="22"/>
          <w:sz w:val="37"/>
          <w:szCs w:val="37"/>
        </w:rPr>
        <w:t xml:space="preserve"> </w:t>
      </w:r>
      <w:r>
        <w:rPr>
          <w:rFonts w:ascii="宋体" w:hAnsi="宋体" w:eastAsia="宋体" w:cs="宋体"/>
          <w:b/>
          <w:bCs/>
          <w:spacing w:val="-10"/>
          <w:sz w:val="37"/>
          <w:szCs w:val="37"/>
        </w:rPr>
        <w:t>承</w:t>
      </w:r>
      <w:r>
        <w:rPr>
          <w:rFonts w:ascii="宋体" w:hAnsi="宋体" w:eastAsia="宋体" w:cs="宋体"/>
          <w:spacing w:val="24"/>
          <w:sz w:val="37"/>
          <w:szCs w:val="37"/>
        </w:rPr>
        <w:t xml:space="preserve"> </w:t>
      </w:r>
      <w:r>
        <w:rPr>
          <w:rFonts w:ascii="宋体" w:hAnsi="宋体" w:eastAsia="宋体" w:cs="宋体"/>
          <w:b/>
          <w:bCs/>
          <w:spacing w:val="-10"/>
          <w:sz w:val="37"/>
          <w:szCs w:val="37"/>
        </w:rPr>
        <w:t>诺</w:t>
      </w:r>
      <w:r>
        <w:rPr>
          <w:rFonts w:ascii="宋体" w:hAnsi="宋体" w:eastAsia="宋体" w:cs="宋体"/>
          <w:spacing w:val="30"/>
          <w:sz w:val="37"/>
          <w:szCs w:val="37"/>
        </w:rPr>
        <w:t xml:space="preserve"> </w:t>
      </w:r>
      <w:r>
        <w:rPr>
          <w:rFonts w:ascii="宋体" w:hAnsi="宋体" w:eastAsia="宋体" w:cs="宋体"/>
          <w:b/>
          <w:bCs/>
          <w:spacing w:val="-10"/>
          <w:sz w:val="37"/>
          <w:szCs w:val="37"/>
        </w:rPr>
        <w:t>书</w:t>
      </w:r>
    </w:p>
    <w:p w14:paraId="47D71390">
      <w:pPr>
        <w:spacing w:line="319" w:lineRule="auto"/>
        <w:rPr>
          <w:rFonts w:ascii="Arial"/>
          <w:sz w:val="21"/>
        </w:rPr>
      </w:pPr>
    </w:p>
    <w:p w14:paraId="70D09DBB">
      <w:pPr>
        <w:spacing w:line="320" w:lineRule="auto"/>
        <w:rPr>
          <w:rFonts w:ascii="Arial"/>
          <w:sz w:val="21"/>
        </w:rPr>
      </w:pPr>
    </w:p>
    <w:p w14:paraId="2DB8D0C7">
      <w:pPr>
        <w:pStyle w:val="9"/>
        <w:spacing w:before="97" w:line="354" w:lineRule="auto"/>
        <w:ind w:left="593" w:right="702" w:firstLine="602"/>
        <w:jc w:val="both"/>
        <w:rPr>
          <w:rFonts w:ascii="仿宋" w:hAnsi="仿宋" w:eastAsia="仿宋" w:cs="仿宋"/>
          <w:spacing w:val="-3"/>
          <w:kern w:val="2"/>
          <w:sz w:val="30"/>
          <w:szCs w:val="30"/>
          <w:lang w:val="en-US" w:eastAsia="zh-CN" w:bidi="ar-SA"/>
        </w:rPr>
      </w:pPr>
      <w:r>
        <w:rPr>
          <w:rFonts w:ascii="仿宋" w:hAnsi="仿宋" w:eastAsia="仿宋" w:cs="仿宋"/>
          <w:spacing w:val="-3"/>
          <w:kern w:val="2"/>
          <w:sz w:val="30"/>
          <w:szCs w:val="30"/>
          <w:lang w:val="en-US" w:eastAsia="zh-CN" w:bidi="ar-SA"/>
        </w:rPr>
        <w:t xml:space="preserve">本 单 位   </w:t>
      </w:r>
      <w:r>
        <w:rPr>
          <w:rFonts w:hint="eastAsia" w:ascii="仿宋" w:hAnsi="仿宋" w:eastAsia="仿宋" w:cs="仿宋"/>
          <w:spacing w:val="-3"/>
          <w:kern w:val="2"/>
          <w:sz w:val="30"/>
          <w:szCs w:val="30"/>
          <w:lang w:val="en-US" w:eastAsia="zh-CN" w:bidi="ar-SA"/>
        </w:rPr>
        <w:t>重庆绿旗寰宇环保科技有限公司</w:t>
      </w:r>
      <w:r>
        <w:rPr>
          <w:rFonts w:ascii="仿宋" w:hAnsi="仿宋" w:eastAsia="仿宋" w:cs="仿宋"/>
          <w:spacing w:val="-3"/>
          <w:kern w:val="2"/>
          <w:sz w:val="30"/>
          <w:szCs w:val="30"/>
          <w:lang w:val="en-US" w:eastAsia="zh-CN" w:bidi="ar-SA"/>
        </w:rPr>
        <w:t xml:space="preserve"> （ 统 一 社 会 信 用代 码  </w:t>
      </w:r>
      <w:r>
        <w:rPr>
          <w:rFonts w:hint="eastAsia" w:ascii="仿宋" w:hAnsi="仿宋" w:eastAsia="仿宋" w:cs="仿宋"/>
          <w:spacing w:val="-3"/>
          <w:kern w:val="2"/>
          <w:sz w:val="30"/>
          <w:szCs w:val="30"/>
          <w:lang w:val="en-US" w:eastAsia="zh-CN" w:bidi="ar-SA"/>
        </w:rPr>
        <w:t>91500112MA5UM9Q979</w:t>
      </w:r>
      <w:r>
        <w:rPr>
          <w:rFonts w:ascii="仿宋" w:hAnsi="仿宋" w:eastAsia="仿宋" w:cs="仿宋"/>
          <w:spacing w:val="-3"/>
          <w:kern w:val="2"/>
          <w:sz w:val="30"/>
          <w:szCs w:val="30"/>
          <w:lang w:val="en-US" w:eastAsia="zh-CN" w:bidi="ar-SA"/>
        </w:rPr>
        <w:t xml:space="preserve">  ）郑重承诺：本单位符合《建设项目环境影响报告书（表）编制监督管理办法》第九条第一款规定，无该条第三款所列情形， </w:t>
      </w:r>
      <w:r>
        <w:rPr>
          <w:rFonts w:hint="eastAsia" w:ascii="仿宋" w:hAnsi="仿宋" w:eastAsia="仿宋" w:cs="仿宋"/>
          <w:spacing w:val="-3"/>
          <w:kern w:val="2"/>
          <w:sz w:val="30"/>
          <w:szCs w:val="30"/>
          <w:lang w:val="en-US" w:eastAsia="zh-CN" w:bidi="ar-SA"/>
        </w:rPr>
        <w:t>不属于</w:t>
      </w:r>
      <w:r>
        <w:rPr>
          <w:rFonts w:ascii="仿宋" w:hAnsi="仿宋" w:eastAsia="仿宋" w:cs="仿宋"/>
          <w:spacing w:val="-3"/>
          <w:kern w:val="2"/>
          <w:sz w:val="30"/>
          <w:szCs w:val="30"/>
          <w:lang w:val="en-US" w:eastAsia="zh-CN" w:bidi="ar-SA"/>
        </w:rPr>
        <w:t xml:space="preserve"> （属于/不属于）该条第二款所列单位；本次在环境影响评价信用平台提交的下列第   </w:t>
      </w:r>
      <w:r>
        <w:rPr>
          <w:rFonts w:hint="eastAsia" w:ascii="仿宋" w:hAnsi="仿宋" w:eastAsia="仿宋" w:cs="仿宋"/>
          <w:spacing w:val="-3"/>
          <w:kern w:val="2"/>
          <w:sz w:val="30"/>
          <w:szCs w:val="30"/>
          <w:lang w:val="en-US" w:eastAsia="zh-CN" w:bidi="ar-SA"/>
        </w:rPr>
        <w:t>1</w:t>
      </w:r>
      <w:r>
        <w:rPr>
          <w:rFonts w:ascii="仿宋" w:hAnsi="仿宋" w:eastAsia="仿宋" w:cs="仿宋"/>
          <w:spacing w:val="-3"/>
          <w:kern w:val="2"/>
          <w:sz w:val="30"/>
          <w:szCs w:val="30"/>
          <w:lang w:val="en-US" w:eastAsia="zh-CN" w:bidi="ar-SA"/>
        </w:rPr>
        <w:t xml:space="preserve">   项相关情况信息真实准确、完整有效。</w:t>
      </w:r>
    </w:p>
    <w:p w14:paraId="6D87DADC">
      <w:pPr>
        <w:spacing w:line="193" w:lineRule="exact"/>
      </w:pPr>
    </w:p>
    <w:tbl>
      <w:tblPr>
        <w:tblStyle w:val="44"/>
        <w:tblW w:w="9299"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299"/>
      </w:tblGrid>
      <w:tr w14:paraId="76FBBC7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132" w:hRule="atLeast"/>
        </w:trPr>
        <w:tc>
          <w:tcPr>
            <w:tcW w:w="9299" w:type="dxa"/>
            <w:vAlign w:val="top"/>
          </w:tcPr>
          <w:p w14:paraId="51B286EA">
            <w:pPr>
              <w:spacing w:before="123" w:line="222" w:lineRule="auto"/>
              <w:ind w:left="181"/>
              <w:rPr>
                <w:rFonts w:ascii="仿宋" w:hAnsi="仿宋" w:eastAsia="仿宋" w:cs="仿宋"/>
                <w:sz w:val="30"/>
                <w:szCs w:val="30"/>
              </w:rPr>
            </w:pPr>
            <w:r>
              <w:rPr>
                <w:rFonts w:ascii="仿宋" w:hAnsi="仿宋" w:eastAsia="仿宋" w:cs="仿宋"/>
                <w:spacing w:val="-3"/>
                <w:sz w:val="30"/>
                <w:szCs w:val="30"/>
              </w:rPr>
              <w:t>1.首次提交基本情况信息</w:t>
            </w:r>
          </w:p>
          <w:p w14:paraId="17F86C52">
            <w:pPr>
              <w:spacing w:before="220" w:line="221" w:lineRule="auto"/>
              <w:ind w:left="163"/>
              <w:rPr>
                <w:rFonts w:ascii="仿宋" w:hAnsi="仿宋" w:eastAsia="仿宋" w:cs="仿宋"/>
                <w:sz w:val="30"/>
                <w:szCs w:val="30"/>
              </w:rPr>
            </w:pPr>
            <w:r>
              <w:rPr>
                <w:rFonts w:ascii="仿宋" w:hAnsi="仿宋" w:eastAsia="仿宋" w:cs="仿宋"/>
                <w:spacing w:val="-1"/>
                <w:sz w:val="30"/>
                <w:szCs w:val="30"/>
              </w:rPr>
              <w:t>2.单位名称、住所或者法定代表人（负责人）变更的</w:t>
            </w:r>
          </w:p>
          <w:p w14:paraId="37A2E45A">
            <w:pPr>
              <w:spacing w:before="226" w:line="221" w:lineRule="auto"/>
              <w:ind w:left="165"/>
              <w:rPr>
                <w:rFonts w:ascii="仿宋" w:hAnsi="仿宋" w:eastAsia="仿宋" w:cs="仿宋"/>
                <w:sz w:val="30"/>
                <w:szCs w:val="30"/>
              </w:rPr>
            </w:pPr>
            <w:r>
              <w:rPr>
                <w:rFonts w:ascii="仿宋" w:hAnsi="仿宋" w:eastAsia="仿宋" w:cs="仿宋"/>
                <w:spacing w:val="-1"/>
                <w:sz w:val="30"/>
                <w:szCs w:val="30"/>
              </w:rPr>
              <w:t>3.出资人、举办单位、业务主管单位或者挂靠单位等变更的</w:t>
            </w:r>
          </w:p>
          <w:p w14:paraId="1384C7FA">
            <w:pPr>
              <w:spacing w:before="224" w:line="343" w:lineRule="auto"/>
              <w:ind w:left="176" w:right="152" w:hanging="18"/>
              <w:rPr>
                <w:rFonts w:ascii="仿宋" w:hAnsi="仿宋" w:eastAsia="仿宋" w:cs="仿宋"/>
                <w:sz w:val="30"/>
                <w:szCs w:val="30"/>
              </w:rPr>
            </w:pPr>
            <w:r>
              <w:rPr>
                <w:rFonts w:ascii="仿宋" w:hAnsi="仿宋" w:eastAsia="仿宋" w:cs="仿宋"/>
                <w:spacing w:val="4"/>
                <w:sz w:val="30"/>
                <w:szCs w:val="30"/>
              </w:rPr>
              <w:t>4.未发生第3项所列情形、与《建设项目环境影响报告书（表）编制</w:t>
            </w:r>
            <w:r>
              <w:rPr>
                <w:rFonts w:ascii="仿宋" w:hAnsi="仿宋" w:eastAsia="仿宋" w:cs="仿宋"/>
                <w:spacing w:val="3"/>
                <w:sz w:val="30"/>
                <w:szCs w:val="30"/>
              </w:rPr>
              <w:t xml:space="preserve"> </w:t>
            </w:r>
            <w:r>
              <w:rPr>
                <w:rFonts w:ascii="仿宋" w:hAnsi="仿宋" w:eastAsia="仿宋" w:cs="仿宋"/>
                <w:spacing w:val="-2"/>
                <w:sz w:val="30"/>
                <w:szCs w:val="30"/>
              </w:rPr>
              <w:t>监督管理办法》第九条规定的符合性变更的</w:t>
            </w:r>
          </w:p>
          <w:p w14:paraId="72F5687D">
            <w:pPr>
              <w:spacing w:before="51" w:line="221" w:lineRule="auto"/>
              <w:ind w:left="165"/>
              <w:rPr>
                <w:rFonts w:ascii="仿宋" w:hAnsi="仿宋" w:eastAsia="仿宋" w:cs="仿宋"/>
                <w:sz w:val="30"/>
                <w:szCs w:val="30"/>
              </w:rPr>
            </w:pPr>
            <w:r>
              <w:rPr>
                <w:rFonts w:ascii="仿宋" w:hAnsi="仿宋" w:eastAsia="仿宋" w:cs="仿宋"/>
                <w:spacing w:val="-1"/>
                <w:sz w:val="30"/>
                <w:szCs w:val="30"/>
              </w:rPr>
              <w:t>5.编制人员从业单位已变更或者已调离从业单位的</w:t>
            </w:r>
          </w:p>
          <w:p w14:paraId="0526391C">
            <w:pPr>
              <w:spacing w:before="206" w:line="333" w:lineRule="auto"/>
              <w:ind w:left="175" w:right="149" w:hanging="14"/>
              <w:rPr>
                <w:rFonts w:ascii="仿宋" w:hAnsi="仿宋" w:eastAsia="仿宋" w:cs="仿宋"/>
                <w:sz w:val="30"/>
                <w:szCs w:val="30"/>
              </w:rPr>
            </w:pPr>
            <w:r>
              <w:rPr>
                <w:rFonts w:ascii="仿宋" w:hAnsi="仿宋" w:eastAsia="仿宋" w:cs="仿宋"/>
                <w:spacing w:val="4"/>
                <w:sz w:val="30"/>
                <w:szCs w:val="30"/>
              </w:rPr>
              <w:t>6.编制人员未发生第5项所列情形，全职情况变更、不再属于本单位</w:t>
            </w:r>
            <w:r>
              <w:rPr>
                <w:rFonts w:ascii="仿宋" w:hAnsi="仿宋" w:eastAsia="仿宋" w:cs="仿宋"/>
                <w:spacing w:val="2"/>
                <w:sz w:val="30"/>
                <w:szCs w:val="30"/>
              </w:rPr>
              <w:t xml:space="preserve"> </w:t>
            </w:r>
            <w:r>
              <w:rPr>
                <w:rFonts w:ascii="仿宋" w:hAnsi="仿宋" w:eastAsia="仿宋" w:cs="仿宋"/>
                <w:spacing w:val="-6"/>
                <w:sz w:val="30"/>
                <w:szCs w:val="30"/>
              </w:rPr>
              <w:t>全职人员的</w:t>
            </w:r>
          </w:p>
          <w:p w14:paraId="53BA893A">
            <w:pPr>
              <w:spacing w:before="44" w:line="222" w:lineRule="auto"/>
              <w:ind w:left="166"/>
              <w:rPr>
                <w:rFonts w:ascii="仿宋" w:hAnsi="仿宋" w:eastAsia="仿宋" w:cs="仿宋"/>
                <w:sz w:val="30"/>
                <w:szCs w:val="30"/>
              </w:rPr>
            </w:pPr>
            <w:r>
              <w:rPr>
                <w:rFonts w:ascii="仿宋" w:hAnsi="仿宋" w:eastAsia="仿宋" w:cs="仿宋"/>
                <w:spacing w:val="-2"/>
                <w:sz w:val="30"/>
                <w:szCs w:val="30"/>
              </w:rPr>
              <w:t>7.补正基本情况信息</w:t>
            </w:r>
          </w:p>
        </w:tc>
      </w:tr>
    </w:tbl>
    <w:p w14:paraId="5B161E01">
      <w:pPr>
        <w:spacing w:line="264" w:lineRule="auto"/>
        <w:rPr>
          <w:rFonts w:ascii="Arial"/>
          <w:sz w:val="21"/>
        </w:rPr>
      </w:pPr>
    </w:p>
    <w:p w14:paraId="55B3E6BB">
      <w:pPr>
        <w:spacing w:line="264" w:lineRule="auto"/>
        <w:rPr>
          <w:rFonts w:ascii="Arial"/>
          <w:sz w:val="21"/>
        </w:rPr>
      </w:pPr>
    </w:p>
    <w:p w14:paraId="492A3BD4">
      <w:pPr>
        <w:pStyle w:val="9"/>
        <w:spacing w:before="97" w:line="354" w:lineRule="auto"/>
        <w:ind w:left="593" w:right="702" w:firstLine="602"/>
        <w:jc w:val="right"/>
        <w:rPr>
          <w:rFonts w:ascii="仿宋" w:hAnsi="仿宋" w:eastAsia="仿宋" w:cs="仿宋"/>
          <w:spacing w:val="-3"/>
          <w:kern w:val="2"/>
          <w:sz w:val="30"/>
          <w:szCs w:val="30"/>
          <w:lang w:val="en-US" w:eastAsia="zh-CN" w:bidi="ar-SA"/>
        </w:rPr>
      </w:pPr>
      <w:r>
        <w:rPr>
          <w:rFonts w:ascii="仿宋" w:hAnsi="仿宋" w:eastAsia="仿宋" w:cs="仿宋"/>
          <w:spacing w:val="-3"/>
          <w:kern w:val="2"/>
          <w:sz w:val="30"/>
          <w:szCs w:val="30"/>
          <w:lang w:val="en-US" w:eastAsia="zh-CN" w:bidi="ar-SA"/>
        </w:rPr>
        <w:t>承诺单位(公章)：</w:t>
      </w:r>
    </w:p>
    <w:p w14:paraId="3862BAE2">
      <w:pPr>
        <w:pStyle w:val="9"/>
        <w:spacing w:before="97" w:line="354" w:lineRule="auto"/>
        <w:ind w:left="593" w:right="702" w:firstLine="602"/>
        <w:jc w:val="right"/>
        <w:rPr>
          <w:rFonts w:ascii="仿宋" w:hAnsi="仿宋" w:eastAsia="仿宋" w:cs="仿宋"/>
          <w:spacing w:val="-3"/>
          <w:kern w:val="2"/>
          <w:sz w:val="30"/>
          <w:szCs w:val="30"/>
          <w:lang w:val="en-US" w:eastAsia="zh-CN" w:bidi="ar-SA"/>
        </w:rPr>
      </w:pPr>
      <w:r>
        <w:rPr>
          <w:rFonts w:hint="eastAsia" w:ascii="仿宋" w:hAnsi="仿宋" w:eastAsia="仿宋" w:cs="仿宋"/>
          <w:spacing w:val="-3"/>
          <w:kern w:val="2"/>
          <w:sz w:val="30"/>
          <w:szCs w:val="30"/>
          <w:lang w:val="en-US" w:eastAsia="zh-CN" w:bidi="ar-SA"/>
        </w:rPr>
        <w:t>2025</w:t>
      </w:r>
      <w:r>
        <w:rPr>
          <w:rFonts w:ascii="仿宋" w:hAnsi="仿宋" w:eastAsia="仿宋" w:cs="仿宋"/>
          <w:spacing w:val="-3"/>
          <w:kern w:val="2"/>
          <w:sz w:val="30"/>
          <w:szCs w:val="30"/>
          <w:lang w:val="en-US" w:eastAsia="zh-CN" w:bidi="ar-SA"/>
        </w:rPr>
        <w:t>年</w:t>
      </w:r>
      <w:r>
        <w:rPr>
          <w:rFonts w:hint="eastAsia" w:ascii="仿宋" w:hAnsi="仿宋" w:eastAsia="仿宋" w:cs="仿宋"/>
          <w:spacing w:val="-3"/>
          <w:kern w:val="2"/>
          <w:sz w:val="30"/>
          <w:szCs w:val="30"/>
          <w:lang w:val="en-US" w:eastAsia="zh-CN" w:bidi="ar-SA"/>
        </w:rPr>
        <w:t>7</w:t>
      </w:r>
      <w:r>
        <w:rPr>
          <w:rFonts w:ascii="仿宋" w:hAnsi="仿宋" w:eastAsia="仿宋" w:cs="仿宋"/>
          <w:spacing w:val="-3"/>
          <w:kern w:val="2"/>
          <w:sz w:val="30"/>
          <w:szCs w:val="30"/>
          <w:lang w:val="en-US" w:eastAsia="zh-CN" w:bidi="ar-SA"/>
        </w:rPr>
        <w:t>月</w:t>
      </w:r>
      <w:r>
        <w:rPr>
          <w:rFonts w:hint="eastAsia" w:ascii="仿宋" w:hAnsi="仿宋" w:eastAsia="仿宋" w:cs="仿宋"/>
          <w:spacing w:val="-3"/>
          <w:kern w:val="2"/>
          <w:sz w:val="30"/>
          <w:szCs w:val="30"/>
          <w:lang w:val="en-US" w:eastAsia="zh-CN" w:bidi="ar-SA"/>
        </w:rPr>
        <w:t>10</w:t>
      </w:r>
      <w:r>
        <w:rPr>
          <w:rFonts w:ascii="仿宋" w:hAnsi="仿宋" w:eastAsia="仿宋" w:cs="仿宋"/>
          <w:spacing w:val="-3"/>
          <w:kern w:val="2"/>
          <w:sz w:val="30"/>
          <w:szCs w:val="30"/>
          <w:lang w:val="en-US" w:eastAsia="zh-CN" w:bidi="ar-SA"/>
        </w:rPr>
        <w:t>日</w:t>
      </w:r>
    </w:p>
    <w:p w14:paraId="00AB06CF">
      <w:pPr>
        <w:pStyle w:val="17"/>
        <w:jc w:val="center"/>
        <w:outlineLvl w:val="0"/>
        <w:rPr>
          <w:rFonts w:hint="eastAsia" w:ascii="黑体" w:hAnsi="黑体" w:eastAsia="黑体"/>
          <w:snapToGrid w:val="0"/>
          <w:sz w:val="30"/>
          <w:szCs w:val="30"/>
          <w:lang w:eastAsia="zh-CN"/>
        </w:rPr>
      </w:pPr>
    </w:p>
    <w:p w14:paraId="751B593B">
      <w:pPr>
        <w:adjustRightInd w:val="0"/>
        <w:spacing w:line="240" w:lineRule="auto"/>
        <w:ind w:firstLine="0"/>
        <w:jc w:val="center"/>
        <w:rPr>
          <w:rFonts w:hint="eastAsia" w:ascii="宋体" w:hAnsi="宋体" w:eastAsia="宋体"/>
          <w:b/>
          <w:sz w:val="38"/>
          <w:szCs w:val="38"/>
        </w:rPr>
      </w:pPr>
      <w:r>
        <w:rPr>
          <w:rFonts w:hint="eastAsia" w:ascii="宋体" w:hAnsi="宋体" w:eastAsia="宋体"/>
          <w:b/>
          <w:sz w:val="38"/>
          <w:szCs w:val="38"/>
        </w:rPr>
        <w:t>建设项目环境影响报告书（表）</w:t>
      </w:r>
    </w:p>
    <w:p w14:paraId="725000EE">
      <w:pPr>
        <w:adjustRightInd w:val="0"/>
        <w:spacing w:line="240" w:lineRule="auto"/>
        <w:ind w:firstLine="0"/>
        <w:jc w:val="center"/>
        <w:rPr>
          <w:rFonts w:hint="eastAsia" w:ascii="宋体" w:hAnsi="宋体" w:eastAsia="宋体"/>
          <w:b/>
          <w:sz w:val="38"/>
          <w:szCs w:val="38"/>
        </w:rPr>
      </w:pPr>
      <w:r>
        <w:rPr>
          <w:rFonts w:hint="eastAsia" w:ascii="宋体" w:hAnsi="宋体" w:eastAsia="宋体"/>
          <w:b/>
          <w:sz w:val="38"/>
          <w:szCs w:val="38"/>
        </w:rPr>
        <w:t>编制情况承诺书</w:t>
      </w:r>
    </w:p>
    <w:p w14:paraId="35D76594">
      <w:pPr>
        <w:adjustRightInd w:val="0"/>
        <w:spacing w:line="408" w:lineRule="auto"/>
        <w:ind w:firstLine="0"/>
        <w:jc w:val="left"/>
        <w:rPr>
          <w:rFonts w:hint="eastAsia" w:ascii="黑体" w:hAnsi="黑体" w:eastAsia="黑体"/>
          <w:szCs w:val="32"/>
        </w:rPr>
      </w:pPr>
    </w:p>
    <w:p w14:paraId="6B8760F3">
      <w:pPr>
        <w:adjustRightInd w:val="0"/>
        <w:spacing w:line="360" w:lineRule="auto"/>
        <w:ind w:left="195" w:leftChars="93" w:firstLine="600" w:firstLineChars="200"/>
        <w:rPr>
          <w:rFonts w:hint="eastAsia" w:ascii="仿宋" w:hAnsi="仿宋" w:eastAsia="仿宋"/>
          <w:sz w:val="30"/>
          <w:szCs w:val="30"/>
        </w:rPr>
      </w:pPr>
      <w:r>
        <w:rPr>
          <w:rFonts w:hint="eastAsia" w:ascii="仿宋" w:hAnsi="仿宋" w:eastAsia="仿宋"/>
          <w:sz w:val="30"/>
          <w:szCs w:val="30"/>
        </w:rPr>
        <w:t>本单位</w:t>
      </w:r>
      <w:r>
        <w:rPr>
          <w:rFonts w:hint="eastAsia" w:ascii="仿宋" w:hAnsi="仿宋" w:eastAsia="仿宋"/>
          <w:sz w:val="30"/>
          <w:szCs w:val="30"/>
          <w:u w:val="single"/>
        </w:rPr>
        <w:t xml:space="preserve">    重庆绿旗寰宇环保科技有限公司     </w:t>
      </w:r>
      <w:r>
        <w:rPr>
          <w:rFonts w:hint="eastAsia" w:ascii="仿宋" w:hAnsi="仿宋" w:eastAsia="仿宋"/>
          <w:sz w:val="30"/>
          <w:szCs w:val="30"/>
        </w:rPr>
        <w:t>（统一社会信用代码</w:t>
      </w:r>
      <w:r>
        <w:rPr>
          <w:rFonts w:hint="eastAsia" w:ascii="仿宋" w:hAnsi="仿宋" w:eastAsia="仿宋"/>
          <w:sz w:val="30"/>
          <w:szCs w:val="30"/>
          <w:u w:val="single"/>
        </w:rPr>
        <w:t xml:space="preserve">    91500112MA5UM9Q979     </w:t>
      </w:r>
      <w:r>
        <w:rPr>
          <w:rFonts w:hint="eastAsia" w:ascii="仿宋" w:hAnsi="仿宋" w:eastAsia="仿宋"/>
          <w:sz w:val="30"/>
          <w:szCs w:val="30"/>
        </w:rPr>
        <w:t>）郑重承诺：本单位符合《建设项目环境影响报告书（表）编制监督管理办法》第九条第一款规定，无该条第三款所列情形，</w:t>
      </w:r>
      <w:r>
        <w:rPr>
          <w:rFonts w:hint="eastAsia" w:ascii="仿宋" w:hAnsi="仿宋" w:eastAsia="仿宋"/>
          <w:sz w:val="30"/>
          <w:szCs w:val="30"/>
          <w:u w:val="single"/>
        </w:rPr>
        <w:t xml:space="preserve"> </w:t>
      </w:r>
      <w:r>
        <w:rPr>
          <w:rFonts w:hint="eastAsia" w:ascii="仿宋" w:hAnsi="仿宋" w:eastAsia="仿宋"/>
          <w:sz w:val="30"/>
          <w:szCs w:val="30"/>
          <w:u w:val="single"/>
          <w:lang w:val="en-US" w:eastAsia="zh-CN"/>
        </w:rPr>
        <w:t>不属于</w:t>
      </w:r>
      <w:r>
        <w:rPr>
          <w:rFonts w:hint="eastAsia" w:ascii="仿宋" w:hAnsi="仿宋" w:eastAsia="仿宋"/>
          <w:sz w:val="30"/>
          <w:szCs w:val="30"/>
          <w:u w:val="single"/>
        </w:rPr>
        <w:t xml:space="preserve"> </w:t>
      </w:r>
      <w:r>
        <w:rPr>
          <w:rFonts w:hint="eastAsia" w:ascii="仿宋" w:hAnsi="仿宋" w:eastAsia="仿宋"/>
          <w:sz w:val="30"/>
          <w:szCs w:val="30"/>
        </w:rPr>
        <w:t>（属于/不属于）该条第二款所列单位；本次在环境影响评价信用平台提交的由本单位主持编制的</w:t>
      </w:r>
      <w:r>
        <w:rPr>
          <w:rFonts w:hint="eastAsia" w:ascii="仿宋" w:hAnsi="仿宋" w:eastAsia="仿宋"/>
          <w:sz w:val="30"/>
          <w:szCs w:val="30"/>
          <w:u w:val="single"/>
        </w:rPr>
        <w:t xml:space="preserve">   璧山区贝康宠物医院建设项目     </w:t>
      </w:r>
      <w:r>
        <w:rPr>
          <w:rFonts w:hint="eastAsia" w:ascii="仿宋" w:hAnsi="仿宋" w:eastAsia="仿宋"/>
          <w:sz w:val="30"/>
          <w:szCs w:val="30"/>
        </w:rPr>
        <w:t>项目环境影响报告书（表）基本情况信息真实准确、完整有效，不涉及国家秘密；该项目环境影响报告书（表）的编制主持人为</w:t>
      </w:r>
      <w:r>
        <w:rPr>
          <w:rFonts w:hint="eastAsia" w:ascii="仿宋" w:hAnsi="仿宋" w:eastAsia="仿宋"/>
          <w:sz w:val="30"/>
          <w:szCs w:val="30"/>
          <w:u w:val="single"/>
        </w:rPr>
        <w:t xml:space="preserve">   田宏   </w:t>
      </w:r>
      <w:r>
        <w:rPr>
          <w:rFonts w:hint="eastAsia" w:ascii="仿宋" w:hAnsi="仿宋" w:eastAsia="仿宋"/>
          <w:sz w:val="30"/>
          <w:szCs w:val="30"/>
        </w:rPr>
        <w:t>（环境影响评价工程师职业资格证书管理号</w:t>
      </w:r>
      <w:r>
        <w:rPr>
          <w:rFonts w:hint="eastAsia" w:ascii="仿宋" w:hAnsi="仿宋" w:eastAsia="仿宋"/>
          <w:sz w:val="30"/>
          <w:szCs w:val="30"/>
          <w:u w:val="single"/>
        </w:rPr>
        <w:t xml:space="preserve">   05355543505550250    </w:t>
      </w:r>
      <w:r>
        <w:rPr>
          <w:rFonts w:hint="eastAsia" w:ascii="仿宋" w:hAnsi="仿宋" w:eastAsia="仿宋"/>
          <w:sz w:val="30"/>
          <w:szCs w:val="30"/>
        </w:rPr>
        <w:t>，信用编号</w:t>
      </w:r>
      <w:r>
        <w:rPr>
          <w:rFonts w:hint="eastAsia" w:ascii="仿宋" w:hAnsi="仿宋" w:eastAsia="仿宋"/>
          <w:sz w:val="30"/>
          <w:szCs w:val="30"/>
          <w:u w:val="single"/>
        </w:rPr>
        <w:t xml:space="preserve">    BH006802    </w:t>
      </w:r>
      <w:r>
        <w:rPr>
          <w:rFonts w:hint="eastAsia" w:ascii="仿宋" w:hAnsi="仿宋" w:eastAsia="仿宋"/>
          <w:sz w:val="30"/>
          <w:szCs w:val="30"/>
        </w:rPr>
        <w:t>），主要编制人员包括</w:t>
      </w:r>
      <w:r>
        <w:rPr>
          <w:rFonts w:hint="eastAsia" w:ascii="仿宋" w:hAnsi="仿宋" w:eastAsia="仿宋"/>
          <w:sz w:val="30"/>
          <w:szCs w:val="30"/>
          <w:u w:val="single"/>
        </w:rPr>
        <w:t xml:space="preserve">   田宏    </w:t>
      </w:r>
      <w:r>
        <w:rPr>
          <w:rFonts w:hint="eastAsia" w:ascii="仿宋" w:hAnsi="仿宋" w:eastAsia="仿宋"/>
          <w:sz w:val="30"/>
          <w:szCs w:val="30"/>
        </w:rPr>
        <w:t>（信用编号</w:t>
      </w:r>
      <w:r>
        <w:rPr>
          <w:rFonts w:hint="eastAsia" w:ascii="仿宋" w:hAnsi="仿宋" w:eastAsia="仿宋"/>
          <w:sz w:val="30"/>
          <w:szCs w:val="30"/>
          <w:u w:val="single"/>
        </w:rPr>
        <w:t xml:space="preserve">   BH006802   </w:t>
      </w:r>
      <w:r>
        <w:rPr>
          <w:rFonts w:hint="eastAsia" w:ascii="仿宋" w:hAnsi="仿宋" w:eastAsia="仿宋"/>
          <w:sz w:val="30"/>
          <w:szCs w:val="30"/>
        </w:rPr>
        <w:t>）、</w:t>
      </w:r>
      <w:r>
        <w:rPr>
          <w:rFonts w:hint="eastAsia" w:ascii="仿宋" w:hAnsi="仿宋" w:eastAsia="仿宋"/>
          <w:sz w:val="30"/>
          <w:szCs w:val="30"/>
          <w:u w:val="single"/>
        </w:rPr>
        <w:t xml:space="preserve">   董力玮    </w:t>
      </w:r>
      <w:r>
        <w:rPr>
          <w:rFonts w:hint="eastAsia" w:ascii="仿宋" w:hAnsi="仿宋" w:eastAsia="仿宋"/>
          <w:sz w:val="30"/>
          <w:szCs w:val="30"/>
        </w:rPr>
        <w:t>（信用编号</w:t>
      </w:r>
      <w:r>
        <w:rPr>
          <w:rFonts w:hint="eastAsia" w:ascii="仿宋" w:hAnsi="仿宋" w:eastAsia="仿宋"/>
          <w:sz w:val="30"/>
          <w:szCs w:val="30"/>
          <w:u w:val="single"/>
        </w:rPr>
        <w:t xml:space="preserve">   BH034149   </w:t>
      </w:r>
      <w:r>
        <w:rPr>
          <w:rFonts w:hint="eastAsia" w:ascii="仿宋" w:hAnsi="仿宋" w:eastAsia="仿宋"/>
          <w:sz w:val="30"/>
          <w:szCs w:val="30"/>
        </w:rPr>
        <w:t>）（依次全部列出）等</w:t>
      </w:r>
      <w:r>
        <w:rPr>
          <w:rFonts w:hint="eastAsia" w:ascii="仿宋" w:hAnsi="仿宋" w:eastAsia="仿宋"/>
          <w:sz w:val="30"/>
          <w:szCs w:val="30"/>
          <w:u w:val="single"/>
        </w:rPr>
        <w:t xml:space="preserve">  2  </w:t>
      </w:r>
      <w:r>
        <w:rPr>
          <w:rFonts w:hint="eastAsia" w:ascii="仿宋" w:hAnsi="仿宋" w:eastAsia="仿宋"/>
          <w:sz w:val="30"/>
          <w:szCs w:val="30"/>
        </w:rPr>
        <w:t>人，上述人员均为本单位全职人员；本单位和上述编制人员未被列入《建设项目环境影响报告书（表）编制监督管理办法》规定的限期整改名单、环境影响评价失信“黑名单”。</w:t>
      </w:r>
    </w:p>
    <w:p w14:paraId="47AFB804">
      <w:pPr>
        <w:adjustRightInd w:val="0"/>
        <w:spacing w:line="360" w:lineRule="auto"/>
        <w:ind w:left="195" w:leftChars="93" w:firstLine="600" w:firstLineChars="200"/>
        <w:rPr>
          <w:rFonts w:hint="eastAsia" w:ascii="仿宋" w:hAnsi="仿宋" w:eastAsia="仿宋"/>
          <w:sz w:val="30"/>
          <w:szCs w:val="30"/>
        </w:rPr>
      </w:pPr>
    </w:p>
    <w:p w14:paraId="77403D2C">
      <w:pPr>
        <w:wordWrap w:val="0"/>
        <w:adjustRightInd w:val="0"/>
        <w:spacing w:line="360" w:lineRule="auto"/>
        <w:ind w:firstLine="0"/>
        <w:jc w:val="right"/>
        <w:rPr>
          <w:rFonts w:hint="eastAsia" w:ascii="仿宋" w:hAnsi="仿宋" w:eastAsia="仿宋"/>
          <w:sz w:val="30"/>
          <w:szCs w:val="30"/>
        </w:rPr>
      </w:pPr>
      <w:r>
        <w:rPr>
          <w:rFonts w:hint="eastAsia" w:ascii="仿宋" w:hAnsi="仿宋" w:eastAsia="仿宋"/>
          <w:sz w:val="30"/>
          <w:szCs w:val="30"/>
        </w:rPr>
        <w:t xml:space="preserve"> 承诺单位(公章)：    </w:t>
      </w:r>
    </w:p>
    <w:p w14:paraId="53FEBAD2">
      <w:pPr>
        <w:jc w:val="right"/>
      </w:pPr>
      <w:r>
        <w:rPr>
          <w:rFonts w:hint="eastAsia" w:ascii="仿宋" w:hAnsi="仿宋" w:eastAsia="仿宋"/>
          <w:sz w:val="30"/>
          <w:szCs w:val="30"/>
        </w:rPr>
        <w:t xml:space="preserve">   </w:t>
      </w:r>
      <w:r>
        <w:rPr>
          <w:rFonts w:hint="eastAsia" w:ascii="仿宋" w:hAnsi="仿宋" w:eastAsia="仿宋"/>
          <w:sz w:val="30"/>
          <w:szCs w:val="30"/>
          <w:lang w:val="en-US" w:eastAsia="zh-CN"/>
        </w:rPr>
        <w:t>2025</w:t>
      </w:r>
      <w:r>
        <w:rPr>
          <w:rFonts w:hint="eastAsia" w:ascii="仿宋" w:hAnsi="仿宋" w:eastAsia="仿宋"/>
          <w:sz w:val="30"/>
          <w:szCs w:val="30"/>
        </w:rPr>
        <w:t xml:space="preserve">年  </w:t>
      </w:r>
      <w:r>
        <w:rPr>
          <w:rFonts w:hint="eastAsia" w:ascii="仿宋" w:hAnsi="仿宋" w:eastAsia="仿宋"/>
          <w:sz w:val="30"/>
          <w:szCs w:val="30"/>
          <w:lang w:val="en-US" w:eastAsia="zh-CN"/>
        </w:rPr>
        <w:t>7</w:t>
      </w:r>
      <w:r>
        <w:rPr>
          <w:rFonts w:hint="eastAsia" w:ascii="仿宋" w:hAnsi="仿宋" w:eastAsia="仿宋"/>
          <w:sz w:val="30"/>
          <w:szCs w:val="30"/>
        </w:rPr>
        <w:t xml:space="preserve">月 </w:t>
      </w:r>
      <w:r>
        <w:rPr>
          <w:rFonts w:hint="eastAsia" w:ascii="仿宋" w:hAnsi="仿宋" w:eastAsia="仿宋"/>
          <w:sz w:val="30"/>
          <w:szCs w:val="30"/>
          <w:lang w:val="en-US" w:eastAsia="zh-CN"/>
        </w:rPr>
        <w:t>10</w:t>
      </w:r>
      <w:r>
        <w:rPr>
          <w:rFonts w:hint="eastAsia" w:ascii="仿宋" w:hAnsi="仿宋" w:eastAsia="仿宋"/>
          <w:sz w:val="30"/>
          <w:szCs w:val="30"/>
        </w:rPr>
        <w:t>日</w:t>
      </w:r>
    </w:p>
    <w:p w14:paraId="34D03B90">
      <w:pPr>
        <w:pStyle w:val="17"/>
        <w:jc w:val="center"/>
        <w:outlineLvl w:val="0"/>
        <w:rPr>
          <w:rFonts w:hint="eastAsia" w:ascii="黑体" w:hAnsi="黑体" w:eastAsia="黑体"/>
          <w:snapToGrid w:val="0"/>
          <w:sz w:val="30"/>
          <w:szCs w:val="30"/>
          <w:lang w:eastAsia="zh-CN"/>
        </w:rPr>
      </w:pPr>
    </w:p>
    <w:p w14:paraId="6CAA420F">
      <w:pPr>
        <w:pStyle w:val="17"/>
        <w:jc w:val="center"/>
        <w:outlineLvl w:val="0"/>
        <w:rPr>
          <w:rFonts w:hint="eastAsia" w:ascii="黑体" w:hAnsi="黑体" w:eastAsia="黑体"/>
          <w:snapToGrid w:val="0"/>
          <w:sz w:val="30"/>
          <w:szCs w:val="30"/>
          <w:lang w:eastAsia="zh-CN"/>
        </w:rPr>
      </w:pPr>
    </w:p>
    <w:p w14:paraId="703BA7C9">
      <w:pPr>
        <w:spacing w:before="75" w:line="223" w:lineRule="auto"/>
        <w:ind w:left="2280"/>
        <w:outlineLvl w:val="0"/>
        <w:rPr>
          <w:rFonts w:ascii="宋体" w:hAnsi="宋体" w:eastAsia="宋体" w:cs="宋体"/>
          <w:sz w:val="37"/>
          <w:szCs w:val="37"/>
        </w:rPr>
      </w:pPr>
      <w:r>
        <w:rPr>
          <w:rFonts w:ascii="宋体" w:hAnsi="宋体" w:eastAsia="宋体" w:cs="宋体"/>
          <w:b/>
          <w:bCs/>
          <w:spacing w:val="-13"/>
          <w:sz w:val="37"/>
          <w:szCs w:val="37"/>
        </w:rPr>
        <w:t>编</w:t>
      </w:r>
      <w:r>
        <w:rPr>
          <w:rFonts w:ascii="宋体" w:hAnsi="宋体" w:eastAsia="宋体" w:cs="宋体"/>
          <w:spacing w:val="29"/>
          <w:sz w:val="37"/>
          <w:szCs w:val="37"/>
        </w:rPr>
        <w:t xml:space="preserve"> </w:t>
      </w:r>
      <w:r>
        <w:rPr>
          <w:rFonts w:ascii="宋体" w:hAnsi="宋体" w:eastAsia="宋体" w:cs="宋体"/>
          <w:b/>
          <w:bCs/>
          <w:spacing w:val="-13"/>
          <w:sz w:val="37"/>
          <w:szCs w:val="37"/>
        </w:rPr>
        <w:t>制</w:t>
      </w:r>
      <w:r>
        <w:rPr>
          <w:rFonts w:ascii="宋体" w:hAnsi="宋体" w:eastAsia="宋体" w:cs="宋体"/>
          <w:spacing w:val="27"/>
          <w:sz w:val="37"/>
          <w:szCs w:val="37"/>
        </w:rPr>
        <w:t xml:space="preserve"> </w:t>
      </w:r>
      <w:r>
        <w:rPr>
          <w:rFonts w:ascii="宋体" w:hAnsi="宋体" w:eastAsia="宋体" w:cs="宋体"/>
          <w:b/>
          <w:bCs/>
          <w:spacing w:val="-13"/>
          <w:sz w:val="37"/>
          <w:szCs w:val="37"/>
        </w:rPr>
        <w:t>人</w:t>
      </w:r>
      <w:r>
        <w:rPr>
          <w:rFonts w:ascii="宋体" w:hAnsi="宋体" w:eastAsia="宋体" w:cs="宋体"/>
          <w:spacing w:val="37"/>
          <w:sz w:val="37"/>
          <w:szCs w:val="37"/>
        </w:rPr>
        <w:t xml:space="preserve"> </w:t>
      </w:r>
      <w:r>
        <w:rPr>
          <w:rFonts w:ascii="宋体" w:hAnsi="宋体" w:eastAsia="宋体" w:cs="宋体"/>
          <w:b/>
          <w:bCs/>
          <w:spacing w:val="-13"/>
          <w:sz w:val="37"/>
          <w:szCs w:val="37"/>
        </w:rPr>
        <w:t>员</w:t>
      </w:r>
      <w:r>
        <w:rPr>
          <w:rFonts w:ascii="宋体" w:hAnsi="宋体" w:eastAsia="宋体" w:cs="宋体"/>
          <w:spacing w:val="22"/>
          <w:sz w:val="37"/>
          <w:szCs w:val="37"/>
        </w:rPr>
        <w:t xml:space="preserve"> </w:t>
      </w:r>
      <w:r>
        <w:rPr>
          <w:rFonts w:ascii="宋体" w:hAnsi="宋体" w:eastAsia="宋体" w:cs="宋体"/>
          <w:b/>
          <w:bCs/>
          <w:spacing w:val="-13"/>
          <w:sz w:val="37"/>
          <w:szCs w:val="37"/>
        </w:rPr>
        <w:t>承</w:t>
      </w:r>
      <w:r>
        <w:rPr>
          <w:rFonts w:ascii="宋体" w:hAnsi="宋体" w:eastAsia="宋体" w:cs="宋体"/>
          <w:spacing w:val="24"/>
          <w:sz w:val="37"/>
          <w:szCs w:val="37"/>
        </w:rPr>
        <w:t xml:space="preserve"> </w:t>
      </w:r>
      <w:r>
        <w:rPr>
          <w:rFonts w:ascii="宋体" w:hAnsi="宋体" w:eastAsia="宋体" w:cs="宋体"/>
          <w:b/>
          <w:bCs/>
          <w:spacing w:val="-13"/>
          <w:sz w:val="37"/>
          <w:szCs w:val="37"/>
        </w:rPr>
        <w:t>诺</w:t>
      </w:r>
      <w:r>
        <w:rPr>
          <w:rFonts w:ascii="宋体" w:hAnsi="宋体" w:eastAsia="宋体" w:cs="宋体"/>
          <w:spacing w:val="30"/>
          <w:sz w:val="37"/>
          <w:szCs w:val="37"/>
        </w:rPr>
        <w:t xml:space="preserve"> </w:t>
      </w:r>
      <w:r>
        <w:rPr>
          <w:rFonts w:ascii="宋体" w:hAnsi="宋体" w:eastAsia="宋体" w:cs="宋体"/>
          <w:b/>
          <w:bCs/>
          <w:spacing w:val="-13"/>
          <w:sz w:val="37"/>
          <w:szCs w:val="37"/>
        </w:rPr>
        <w:t>书</w:t>
      </w:r>
    </w:p>
    <w:p w14:paraId="2B85AEEB">
      <w:pPr>
        <w:spacing w:line="318" w:lineRule="auto"/>
        <w:rPr>
          <w:rFonts w:ascii="Arial"/>
          <w:sz w:val="21"/>
        </w:rPr>
      </w:pPr>
    </w:p>
    <w:p w14:paraId="428335CE">
      <w:pPr>
        <w:spacing w:line="318" w:lineRule="auto"/>
        <w:rPr>
          <w:rFonts w:ascii="Arial"/>
          <w:sz w:val="21"/>
        </w:rPr>
      </w:pPr>
    </w:p>
    <w:p w14:paraId="31ABCECC">
      <w:pPr>
        <w:pStyle w:val="9"/>
        <w:spacing w:before="98" w:line="352" w:lineRule="auto"/>
        <w:ind w:left="33" w:right="206" w:firstLine="602"/>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本人 董力玮 （身份证号码   320**********50358  ）郑重承诺： 本 人 在   重庆绿旗寰宇环保科技有限公司  单 位 （ 统 一 社 会 信 用 代 码 91500112MA5UM9Q979  ）全职工作，本次在环境影响评价信用平台 提交的下列第 6  项相关情况信息真实准确、完整有效。</w:t>
      </w:r>
    </w:p>
    <w:p w14:paraId="2864A667">
      <w:pPr>
        <w:spacing w:line="293" w:lineRule="auto"/>
        <w:rPr>
          <w:rFonts w:ascii="Arial"/>
          <w:sz w:val="21"/>
        </w:rPr>
      </w:pPr>
    </w:p>
    <w:p w14:paraId="597605BD">
      <w:pPr>
        <w:pStyle w:val="9"/>
        <w:spacing w:line="4968" w:lineRule="exact"/>
        <w:ind w:firstLine="6"/>
      </w:pPr>
      <w:r>
        <w:rPr>
          <w:position w:val="-99"/>
        </w:rPr>
        <mc:AlternateContent>
          <mc:Choice Requires="wpg">
            <w:drawing>
              <wp:inline distT="0" distB="0" distL="114300" distR="114300">
                <wp:extent cx="5410200" cy="3154680"/>
                <wp:effectExtent l="12700" t="0" r="25400" b="13970"/>
                <wp:docPr id="21" name="组合 21"/>
                <wp:cNvGraphicFramePr/>
                <a:graphic xmlns:a="http://schemas.openxmlformats.org/drawingml/2006/main">
                  <a:graphicData uri="http://schemas.microsoft.com/office/word/2010/wordprocessingGroup">
                    <wpg:wgp>
                      <wpg:cNvGrpSpPr/>
                      <wpg:grpSpPr>
                        <a:xfrm>
                          <a:off x="0" y="0"/>
                          <a:ext cx="5410200" cy="3154680"/>
                          <a:chOff x="0" y="0"/>
                          <a:chExt cx="8520" cy="4967"/>
                        </a:xfrm>
                      </wpg:grpSpPr>
                      <pic:pic xmlns:pic="http://schemas.openxmlformats.org/drawingml/2006/picture">
                        <pic:nvPicPr>
                          <pic:cNvPr id="19" name="图片 3"/>
                          <pic:cNvPicPr>
                            <a:picLocks noChangeAspect="1"/>
                          </pic:cNvPicPr>
                        </pic:nvPicPr>
                        <pic:blipFill>
                          <a:blip r:embed="rId10"/>
                          <a:stretch>
                            <a:fillRect/>
                          </a:stretch>
                        </pic:blipFill>
                        <pic:spPr>
                          <a:xfrm>
                            <a:off x="0" y="0"/>
                            <a:ext cx="8520" cy="4967"/>
                          </a:xfrm>
                          <a:prstGeom prst="rect">
                            <a:avLst/>
                          </a:prstGeom>
                          <a:noFill/>
                          <a:ln>
                            <a:noFill/>
                          </a:ln>
                        </pic:spPr>
                      </pic:pic>
                      <wps:wsp>
                        <wps:cNvPr id="20" name="文本框 20"/>
                        <wps:cNvSpPr txBox="1"/>
                        <wps:spPr>
                          <a:xfrm>
                            <a:off x="-20" y="-20"/>
                            <a:ext cx="8560" cy="5007"/>
                          </a:xfrm>
                          <a:prstGeom prst="rect">
                            <a:avLst/>
                          </a:prstGeom>
                          <a:noFill/>
                          <a:ln>
                            <a:noFill/>
                          </a:ln>
                        </wps:spPr>
                        <wps:txbx>
                          <w:txbxContent>
                            <w:p w14:paraId="3C09142A">
                              <w:pPr>
                                <w:spacing w:before="153" w:line="343" w:lineRule="auto"/>
                                <w:ind w:left="192" w:right="5081" w:firstLine="18"/>
                                <w:rPr>
                                  <w:rFonts w:ascii="仿宋" w:hAnsi="仿宋" w:eastAsia="仿宋" w:cs="仿宋"/>
                                  <w:sz w:val="30"/>
                                  <w:szCs w:val="30"/>
                                </w:rPr>
                              </w:pPr>
                              <w:r>
                                <w:rPr>
                                  <w:rFonts w:ascii="仿宋" w:hAnsi="仿宋" w:eastAsia="仿宋" w:cs="仿宋"/>
                                  <w:spacing w:val="-3"/>
                                  <w:sz w:val="30"/>
                                  <w:szCs w:val="30"/>
                                </w:rPr>
                                <w:t>1.首次提交基本情况信息</w:t>
                              </w:r>
                              <w:r>
                                <w:rPr>
                                  <w:rFonts w:ascii="仿宋" w:hAnsi="仿宋" w:eastAsia="仿宋" w:cs="仿宋"/>
                                  <w:spacing w:val="2"/>
                                  <w:sz w:val="30"/>
                                  <w:szCs w:val="30"/>
                                </w:rPr>
                                <w:t xml:space="preserve"> </w:t>
                              </w:r>
                              <w:r>
                                <w:rPr>
                                  <w:rFonts w:ascii="仿宋" w:hAnsi="仿宋" w:eastAsia="仿宋" w:cs="仿宋"/>
                                  <w:spacing w:val="-2"/>
                                  <w:sz w:val="30"/>
                                  <w:szCs w:val="30"/>
                                </w:rPr>
                                <w:t>2.从业单位变更的</w:t>
                              </w:r>
                            </w:p>
                            <w:p w14:paraId="08330603">
                              <w:pPr>
                                <w:spacing w:before="30" w:line="221" w:lineRule="auto"/>
                                <w:ind w:left="195"/>
                                <w:rPr>
                                  <w:rFonts w:ascii="仿宋" w:hAnsi="仿宋" w:eastAsia="仿宋" w:cs="仿宋"/>
                                  <w:sz w:val="30"/>
                                  <w:szCs w:val="30"/>
                                </w:rPr>
                              </w:pPr>
                              <w:r>
                                <w:rPr>
                                  <w:rFonts w:ascii="仿宋" w:hAnsi="仿宋" w:eastAsia="仿宋" w:cs="仿宋"/>
                                  <w:spacing w:val="-2"/>
                                  <w:sz w:val="30"/>
                                  <w:szCs w:val="30"/>
                                </w:rPr>
                                <w:t>3.调离从业单位的</w:t>
                              </w:r>
                            </w:p>
                            <w:p w14:paraId="3E846481">
                              <w:pPr>
                                <w:spacing w:before="205" w:line="333" w:lineRule="auto"/>
                                <w:ind w:left="194" w:right="581" w:hanging="7"/>
                                <w:rPr>
                                  <w:rFonts w:ascii="仿宋" w:hAnsi="仿宋" w:eastAsia="仿宋" w:cs="仿宋"/>
                                  <w:sz w:val="30"/>
                                  <w:szCs w:val="30"/>
                                </w:rPr>
                              </w:pPr>
                              <w:r>
                                <w:rPr>
                                  <w:rFonts w:ascii="仿宋" w:hAnsi="仿宋" w:eastAsia="仿宋" w:cs="仿宋"/>
                                  <w:spacing w:val="-1"/>
                                  <w:sz w:val="30"/>
                                  <w:szCs w:val="30"/>
                                </w:rPr>
                                <w:t>4.建立诚信档案后取得环境影响评价工程师职业资格证书的</w:t>
                              </w:r>
                              <w:r>
                                <w:rPr>
                                  <w:rFonts w:ascii="仿宋" w:hAnsi="仿宋" w:eastAsia="仿宋" w:cs="仿宋"/>
                                  <w:spacing w:val="16"/>
                                  <w:sz w:val="30"/>
                                  <w:szCs w:val="30"/>
                                </w:rPr>
                                <w:t xml:space="preserve"> </w:t>
                              </w:r>
                              <w:r>
                                <w:rPr>
                                  <w:rFonts w:ascii="仿宋" w:hAnsi="仿宋" w:eastAsia="仿宋" w:cs="仿宋"/>
                                  <w:spacing w:val="-2"/>
                                  <w:sz w:val="30"/>
                                  <w:szCs w:val="30"/>
                                </w:rPr>
                                <w:t>5.编制单位终止的</w:t>
                              </w:r>
                            </w:p>
                            <w:p w14:paraId="380566E3">
                              <w:pPr>
                                <w:spacing w:before="47" w:line="221" w:lineRule="auto"/>
                                <w:ind w:left="191"/>
                                <w:rPr>
                                  <w:rFonts w:ascii="仿宋" w:hAnsi="仿宋" w:eastAsia="仿宋" w:cs="仿宋"/>
                                  <w:sz w:val="30"/>
                                  <w:szCs w:val="30"/>
                                </w:rPr>
                              </w:pPr>
                              <w:r>
                                <w:rPr>
                                  <w:rFonts w:ascii="仿宋" w:hAnsi="仿宋" w:eastAsia="仿宋" w:cs="仿宋"/>
                                  <w:spacing w:val="-1"/>
                                  <w:sz w:val="30"/>
                                  <w:szCs w:val="30"/>
                                </w:rPr>
                                <w:t>6.被注销后从业单位变更的</w:t>
                              </w:r>
                            </w:p>
                            <w:p w14:paraId="0CF4192A">
                              <w:pPr>
                                <w:spacing w:before="205" w:line="332" w:lineRule="auto"/>
                                <w:ind w:left="190" w:right="4469" w:firstLine="6"/>
                                <w:rPr>
                                  <w:rFonts w:ascii="仿宋" w:hAnsi="仿宋" w:eastAsia="仿宋" w:cs="仿宋"/>
                                  <w:sz w:val="30"/>
                                  <w:szCs w:val="30"/>
                                </w:rPr>
                              </w:pPr>
                              <w:r>
                                <w:rPr>
                                  <w:rFonts w:ascii="仿宋" w:hAnsi="仿宋" w:eastAsia="仿宋" w:cs="仿宋"/>
                                  <w:spacing w:val="-1"/>
                                  <w:sz w:val="30"/>
                                  <w:szCs w:val="30"/>
                                </w:rPr>
                                <w:t>7.被注销后调回原从业单位的</w:t>
                              </w:r>
                              <w:r>
                                <w:rPr>
                                  <w:rFonts w:ascii="仿宋" w:hAnsi="仿宋" w:eastAsia="仿宋" w:cs="仿宋"/>
                                  <w:spacing w:val="7"/>
                                  <w:sz w:val="30"/>
                                  <w:szCs w:val="30"/>
                                </w:rPr>
                                <w:t xml:space="preserve"> </w:t>
                              </w:r>
                              <w:r>
                                <w:rPr>
                                  <w:rFonts w:ascii="仿宋" w:hAnsi="仿宋" w:eastAsia="仿宋" w:cs="仿宋"/>
                                  <w:sz w:val="30"/>
                                  <w:szCs w:val="30"/>
                                </w:rPr>
                                <w:t>8.补正基本情况信息</w:t>
                              </w:r>
                            </w:p>
                          </w:txbxContent>
                        </wps:txbx>
                        <wps:bodyPr lIns="0" tIns="0" rIns="0" bIns="0" upright="1"/>
                      </wps:wsp>
                    </wpg:wgp>
                  </a:graphicData>
                </a:graphic>
              </wp:inline>
            </w:drawing>
          </mc:Choice>
          <mc:Fallback>
            <w:pict>
              <v:group id="_x0000_s1026" o:spid="_x0000_s1026" o:spt="203" style="height:248.4pt;width:426pt;" coordsize="8520,4967" o:gfxdata="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&#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">
                <o:lock v:ext="edit" aspectratio="f"/>
                <v:shape id="图片 3" o:spid="_x0000_s1026" o:spt="75" type="#_x0000_t75" style="position:absolute;left:0;top:0;height:4967;width:8520;" filled="f" o:preferrelative="t" stroked="f" coordsize="21600,21600" o:gfxdata="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DH4Q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202" type="#_x0000_t202" style="position:absolute;left:-20;top:-20;height:5007;width:8560;"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C09142A">
                        <w:pPr>
                          <w:spacing w:before="153" w:line="343" w:lineRule="auto"/>
                          <w:ind w:left="192" w:right="5081" w:firstLine="18"/>
                          <w:rPr>
                            <w:rFonts w:ascii="仿宋" w:hAnsi="仿宋" w:eastAsia="仿宋" w:cs="仿宋"/>
                            <w:sz w:val="30"/>
                            <w:szCs w:val="30"/>
                          </w:rPr>
                        </w:pPr>
                        <w:r>
                          <w:rPr>
                            <w:rFonts w:ascii="仿宋" w:hAnsi="仿宋" w:eastAsia="仿宋" w:cs="仿宋"/>
                            <w:spacing w:val="-3"/>
                            <w:sz w:val="30"/>
                            <w:szCs w:val="30"/>
                          </w:rPr>
                          <w:t>1.首次提交基本情况信息</w:t>
                        </w:r>
                        <w:r>
                          <w:rPr>
                            <w:rFonts w:ascii="仿宋" w:hAnsi="仿宋" w:eastAsia="仿宋" w:cs="仿宋"/>
                            <w:spacing w:val="2"/>
                            <w:sz w:val="30"/>
                            <w:szCs w:val="30"/>
                          </w:rPr>
                          <w:t xml:space="preserve"> </w:t>
                        </w:r>
                        <w:r>
                          <w:rPr>
                            <w:rFonts w:ascii="仿宋" w:hAnsi="仿宋" w:eastAsia="仿宋" w:cs="仿宋"/>
                            <w:spacing w:val="-2"/>
                            <w:sz w:val="30"/>
                            <w:szCs w:val="30"/>
                          </w:rPr>
                          <w:t>2.从业单位变更的</w:t>
                        </w:r>
                      </w:p>
                      <w:p w14:paraId="08330603">
                        <w:pPr>
                          <w:spacing w:before="30" w:line="221" w:lineRule="auto"/>
                          <w:ind w:left="195"/>
                          <w:rPr>
                            <w:rFonts w:ascii="仿宋" w:hAnsi="仿宋" w:eastAsia="仿宋" w:cs="仿宋"/>
                            <w:sz w:val="30"/>
                            <w:szCs w:val="30"/>
                          </w:rPr>
                        </w:pPr>
                        <w:r>
                          <w:rPr>
                            <w:rFonts w:ascii="仿宋" w:hAnsi="仿宋" w:eastAsia="仿宋" w:cs="仿宋"/>
                            <w:spacing w:val="-2"/>
                            <w:sz w:val="30"/>
                            <w:szCs w:val="30"/>
                          </w:rPr>
                          <w:t>3.调离从业单位的</w:t>
                        </w:r>
                      </w:p>
                      <w:p w14:paraId="3E846481">
                        <w:pPr>
                          <w:spacing w:before="205" w:line="333" w:lineRule="auto"/>
                          <w:ind w:left="194" w:right="581" w:hanging="7"/>
                          <w:rPr>
                            <w:rFonts w:ascii="仿宋" w:hAnsi="仿宋" w:eastAsia="仿宋" w:cs="仿宋"/>
                            <w:sz w:val="30"/>
                            <w:szCs w:val="30"/>
                          </w:rPr>
                        </w:pPr>
                        <w:r>
                          <w:rPr>
                            <w:rFonts w:ascii="仿宋" w:hAnsi="仿宋" w:eastAsia="仿宋" w:cs="仿宋"/>
                            <w:spacing w:val="-1"/>
                            <w:sz w:val="30"/>
                            <w:szCs w:val="30"/>
                          </w:rPr>
                          <w:t>4.建立诚信档案后取得环境影响评价工程师职业资格证书的</w:t>
                        </w:r>
                        <w:r>
                          <w:rPr>
                            <w:rFonts w:ascii="仿宋" w:hAnsi="仿宋" w:eastAsia="仿宋" w:cs="仿宋"/>
                            <w:spacing w:val="16"/>
                            <w:sz w:val="30"/>
                            <w:szCs w:val="30"/>
                          </w:rPr>
                          <w:t xml:space="preserve"> </w:t>
                        </w:r>
                        <w:r>
                          <w:rPr>
                            <w:rFonts w:ascii="仿宋" w:hAnsi="仿宋" w:eastAsia="仿宋" w:cs="仿宋"/>
                            <w:spacing w:val="-2"/>
                            <w:sz w:val="30"/>
                            <w:szCs w:val="30"/>
                          </w:rPr>
                          <w:t>5.编制单位终止的</w:t>
                        </w:r>
                      </w:p>
                      <w:p w14:paraId="380566E3">
                        <w:pPr>
                          <w:spacing w:before="47" w:line="221" w:lineRule="auto"/>
                          <w:ind w:left="191"/>
                          <w:rPr>
                            <w:rFonts w:ascii="仿宋" w:hAnsi="仿宋" w:eastAsia="仿宋" w:cs="仿宋"/>
                            <w:sz w:val="30"/>
                            <w:szCs w:val="30"/>
                          </w:rPr>
                        </w:pPr>
                        <w:r>
                          <w:rPr>
                            <w:rFonts w:ascii="仿宋" w:hAnsi="仿宋" w:eastAsia="仿宋" w:cs="仿宋"/>
                            <w:spacing w:val="-1"/>
                            <w:sz w:val="30"/>
                            <w:szCs w:val="30"/>
                          </w:rPr>
                          <w:t>6.被注销后从业单位变更的</w:t>
                        </w:r>
                      </w:p>
                      <w:p w14:paraId="0CF4192A">
                        <w:pPr>
                          <w:spacing w:before="205" w:line="332" w:lineRule="auto"/>
                          <w:ind w:left="190" w:right="4469" w:firstLine="6"/>
                          <w:rPr>
                            <w:rFonts w:ascii="仿宋" w:hAnsi="仿宋" w:eastAsia="仿宋" w:cs="仿宋"/>
                            <w:sz w:val="30"/>
                            <w:szCs w:val="30"/>
                          </w:rPr>
                        </w:pPr>
                        <w:r>
                          <w:rPr>
                            <w:rFonts w:ascii="仿宋" w:hAnsi="仿宋" w:eastAsia="仿宋" w:cs="仿宋"/>
                            <w:spacing w:val="-1"/>
                            <w:sz w:val="30"/>
                            <w:szCs w:val="30"/>
                          </w:rPr>
                          <w:t>7.被注销后调回原从业单位的</w:t>
                        </w:r>
                        <w:r>
                          <w:rPr>
                            <w:rFonts w:ascii="仿宋" w:hAnsi="仿宋" w:eastAsia="仿宋" w:cs="仿宋"/>
                            <w:spacing w:val="7"/>
                            <w:sz w:val="30"/>
                            <w:szCs w:val="30"/>
                          </w:rPr>
                          <w:t xml:space="preserve"> </w:t>
                        </w:r>
                        <w:r>
                          <w:rPr>
                            <w:rFonts w:ascii="仿宋" w:hAnsi="仿宋" w:eastAsia="仿宋" w:cs="仿宋"/>
                            <w:sz w:val="30"/>
                            <w:szCs w:val="30"/>
                          </w:rPr>
                          <w:t>8.补正基本情况信息</w:t>
                        </w:r>
                      </w:p>
                    </w:txbxContent>
                  </v:textbox>
                </v:shape>
                <w10:wrap type="none"/>
                <w10:anchorlock/>
              </v:group>
            </w:pict>
          </mc:Fallback>
        </mc:AlternateContent>
      </w:r>
    </w:p>
    <w:p w14:paraId="5761C28A">
      <w:pPr>
        <w:spacing w:line="285" w:lineRule="auto"/>
        <w:rPr>
          <w:rFonts w:ascii="Arial"/>
          <w:sz w:val="21"/>
        </w:rPr>
      </w:pPr>
    </w:p>
    <w:p w14:paraId="538A9CE3">
      <w:pPr>
        <w:spacing w:line="285" w:lineRule="auto"/>
        <w:rPr>
          <w:rFonts w:ascii="Arial"/>
          <w:sz w:val="21"/>
        </w:rPr>
      </w:pPr>
    </w:p>
    <w:p w14:paraId="6A1ED0AA">
      <w:pPr>
        <w:spacing w:line="285" w:lineRule="auto"/>
        <w:rPr>
          <w:rFonts w:ascii="Arial"/>
          <w:sz w:val="21"/>
        </w:rPr>
      </w:pPr>
    </w:p>
    <w:p w14:paraId="4A31A160">
      <w:pPr>
        <w:spacing w:line="285" w:lineRule="auto"/>
        <w:rPr>
          <w:rFonts w:ascii="Arial"/>
          <w:sz w:val="21"/>
        </w:rPr>
      </w:pPr>
    </w:p>
    <w:p w14:paraId="35E5F41E">
      <w:pPr>
        <w:pStyle w:val="9"/>
        <w:spacing w:before="98" w:line="352" w:lineRule="auto"/>
        <w:ind w:left="33" w:right="206" w:firstLine="602"/>
        <w:jc w:val="right"/>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承诺人(签字)：</w:t>
      </w:r>
    </w:p>
    <w:p w14:paraId="5A3216F0">
      <w:pPr>
        <w:pStyle w:val="17"/>
        <w:jc w:val="right"/>
        <w:outlineLvl w:val="0"/>
        <w:rPr>
          <w:rFonts w:hint="eastAsia" w:ascii="黑体" w:hAnsi="黑体" w:eastAsia="黑体"/>
          <w:snapToGrid w:val="0"/>
          <w:sz w:val="30"/>
          <w:szCs w:val="30"/>
          <w:lang w:eastAsia="zh-CN"/>
        </w:rPr>
      </w:pPr>
      <w:r>
        <w:rPr>
          <w:rFonts w:hint="eastAsia" w:ascii="仿宋" w:hAnsi="仿宋" w:eastAsia="仿宋" w:cs="Times New Roman"/>
          <w:kern w:val="2"/>
          <w:sz w:val="30"/>
          <w:szCs w:val="30"/>
          <w:lang w:val="en-US" w:eastAsia="zh-CN" w:bidi="ar-SA"/>
        </w:rPr>
        <w:t>2025年7月10日</w:t>
      </w:r>
    </w:p>
    <w:p w14:paraId="405F23B8">
      <w:pPr>
        <w:pStyle w:val="17"/>
        <w:jc w:val="center"/>
        <w:outlineLvl w:val="0"/>
        <w:rPr>
          <w:rFonts w:hint="eastAsia" w:ascii="黑体" w:hAnsi="黑体" w:eastAsia="黑体"/>
          <w:snapToGrid w:val="0"/>
          <w:sz w:val="30"/>
          <w:szCs w:val="30"/>
          <w:lang w:eastAsia="zh-CN"/>
        </w:rPr>
      </w:pPr>
    </w:p>
    <w:p w14:paraId="30A6D253">
      <w:pPr>
        <w:spacing w:before="75" w:line="223" w:lineRule="auto"/>
        <w:ind w:left="2280"/>
        <w:outlineLvl w:val="0"/>
        <w:rPr>
          <w:rFonts w:ascii="宋体" w:hAnsi="宋体" w:eastAsia="宋体" w:cs="宋体"/>
          <w:sz w:val="37"/>
          <w:szCs w:val="37"/>
        </w:rPr>
      </w:pPr>
      <w:r>
        <w:rPr>
          <w:rFonts w:ascii="宋体" w:hAnsi="宋体" w:eastAsia="宋体" w:cs="宋体"/>
          <w:b/>
          <w:bCs/>
          <w:spacing w:val="-13"/>
          <w:sz w:val="37"/>
          <w:szCs w:val="37"/>
        </w:rPr>
        <w:t>编</w:t>
      </w:r>
      <w:r>
        <w:rPr>
          <w:rFonts w:ascii="宋体" w:hAnsi="宋体" w:eastAsia="宋体" w:cs="宋体"/>
          <w:spacing w:val="29"/>
          <w:sz w:val="37"/>
          <w:szCs w:val="37"/>
        </w:rPr>
        <w:t xml:space="preserve"> </w:t>
      </w:r>
      <w:r>
        <w:rPr>
          <w:rFonts w:ascii="宋体" w:hAnsi="宋体" w:eastAsia="宋体" w:cs="宋体"/>
          <w:b/>
          <w:bCs/>
          <w:spacing w:val="-13"/>
          <w:sz w:val="37"/>
          <w:szCs w:val="37"/>
        </w:rPr>
        <w:t>制</w:t>
      </w:r>
      <w:r>
        <w:rPr>
          <w:rFonts w:ascii="宋体" w:hAnsi="宋体" w:eastAsia="宋体" w:cs="宋体"/>
          <w:spacing w:val="27"/>
          <w:sz w:val="37"/>
          <w:szCs w:val="37"/>
        </w:rPr>
        <w:t xml:space="preserve"> </w:t>
      </w:r>
      <w:r>
        <w:rPr>
          <w:rFonts w:ascii="宋体" w:hAnsi="宋体" w:eastAsia="宋体" w:cs="宋体"/>
          <w:b/>
          <w:bCs/>
          <w:spacing w:val="-13"/>
          <w:sz w:val="37"/>
          <w:szCs w:val="37"/>
        </w:rPr>
        <w:t>人</w:t>
      </w:r>
      <w:r>
        <w:rPr>
          <w:rFonts w:ascii="宋体" w:hAnsi="宋体" w:eastAsia="宋体" w:cs="宋体"/>
          <w:spacing w:val="37"/>
          <w:sz w:val="37"/>
          <w:szCs w:val="37"/>
        </w:rPr>
        <w:t xml:space="preserve"> </w:t>
      </w:r>
      <w:r>
        <w:rPr>
          <w:rFonts w:ascii="宋体" w:hAnsi="宋体" w:eastAsia="宋体" w:cs="宋体"/>
          <w:b/>
          <w:bCs/>
          <w:spacing w:val="-13"/>
          <w:sz w:val="37"/>
          <w:szCs w:val="37"/>
        </w:rPr>
        <w:t>员</w:t>
      </w:r>
      <w:r>
        <w:rPr>
          <w:rFonts w:ascii="宋体" w:hAnsi="宋体" w:eastAsia="宋体" w:cs="宋体"/>
          <w:spacing w:val="22"/>
          <w:sz w:val="37"/>
          <w:szCs w:val="37"/>
        </w:rPr>
        <w:t xml:space="preserve"> </w:t>
      </w:r>
      <w:r>
        <w:rPr>
          <w:rFonts w:ascii="宋体" w:hAnsi="宋体" w:eastAsia="宋体" w:cs="宋体"/>
          <w:b/>
          <w:bCs/>
          <w:spacing w:val="-13"/>
          <w:sz w:val="37"/>
          <w:szCs w:val="37"/>
        </w:rPr>
        <w:t>承</w:t>
      </w:r>
      <w:r>
        <w:rPr>
          <w:rFonts w:ascii="宋体" w:hAnsi="宋体" w:eastAsia="宋体" w:cs="宋体"/>
          <w:spacing w:val="24"/>
          <w:sz w:val="37"/>
          <w:szCs w:val="37"/>
        </w:rPr>
        <w:t xml:space="preserve"> </w:t>
      </w:r>
      <w:r>
        <w:rPr>
          <w:rFonts w:ascii="宋体" w:hAnsi="宋体" w:eastAsia="宋体" w:cs="宋体"/>
          <w:b/>
          <w:bCs/>
          <w:spacing w:val="-13"/>
          <w:sz w:val="37"/>
          <w:szCs w:val="37"/>
        </w:rPr>
        <w:t>诺</w:t>
      </w:r>
      <w:r>
        <w:rPr>
          <w:rFonts w:ascii="宋体" w:hAnsi="宋体" w:eastAsia="宋体" w:cs="宋体"/>
          <w:spacing w:val="30"/>
          <w:sz w:val="37"/>
          <w:szCs w:val="37"/>
        </w:rPr>
        <w:t xml:space="preserve"> </w:t>
      </w:r>
      <w:r>
        <w:rPr>
          <w:rFonts w:ascii="宋体" w:hAnsi="宋体" w:eastAsia="宋体" w:cs="宋体"/>
          <w:b/>
          <w:bCs/>
          <w:spacing w:val="-13"/>
          <w:sz w:val="37"/>
          <w:szCs w:val="37"/>
        </w:rPr>
        <w:t>书</w:t>
      </w:r>
    </w:p>
    <w:p w14:paraId="03A18009">
      <w:pPr>
        <w:spacing w:line="318" w:lineRule="auto"/>
        <w:rPr>
          <w:rFonts w:ascii="Arial"/>
          <w:sz w:val="21"/>
        </w:rPr>
      </w:pPr>
    </w:p>
    <w:p w14:paraId="475856C5">
      <w:pPr>
        <w:spacing w:line="318" w:lineRule="auto"/>
        <w:rPr>
          <w:rFonts w:ascii="Arial"/>
          <w:sz w:val="21"/>
        </w:rPr>
      </w:pPr>
    </w:p>
    <w:p w14:paraId="2FF21197">
      <w:pPr>
        <w:pStyle w:val="9"/>
        <w:spacing w:before="98" w:line="352" w:lineRule="auto"/>
        <w:ind w:left="33" w:right="206" w:firstLine="602"/>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本人 田宏 （身份证</w:t>
      </w:r>
      <w:bookmarkStart w:id="3" w:name="_GoBack"/>
      <w:bookmarkEnd w:id="3"/>
      <w:r>
        <w:rPr>
          <w:rFonts w:hint="eastAsia" w:ascii="仿宋" w:hAnsi="仿宋" w:eastAsia="仿宋" w:cs="Times New Roman"/>
          <w:kern w:val="2"/>
          <w:sz w:val="30"/>
          <w:szCs w:val="30"/>
          <w:lang w:val="en-US" w:eastAsia="zh-CN" w:bidi="ar-SA"/>
        </w:rPr>
        <w:t>号码   510**********61441  ）郑重承诺： 本 人 在   重庆绿旗寰宇环保科技有限公司  单 位 （ 统 一 社 会 信 用 代 码 91500112MA5UM9Q979  ）全职工作，本次在环境影响评价信用平台 提交的下列第 3  项相关情况信息真实准确、完整有效。</w:t>
      </w:r>
    </w:p>
    <w:p w14:paraId="5F829F6F">
      <w:pPr>
        <w:spacing w:line="293" w:lineRule="auto"/>
        <w:rPr>
          <w:rFonts w:ascii="Arial"/>
          <w:sz w:val="21"/>
        </w:rPr>
      </w:pPr>
    </w:p>
    <w:p w14:paraId="0DCE7FDB">
      <w:pPr>
        <w:pStyle w:val="9"/>
        <w:spacing w:line="4968" w:lineRule="exact"/>
        <w:ind w:firstLine="6"/>
      </w:pPr>
      <w:r>
        <w:rPr>
          <w:position w:val="-99"/>
        </w:rPr>
        <mc:AlternateContent>
          <mc:Choice Requires="wpg">
            <w:drawing>
              <wp:inline distT="0" distB="0" distL="114300" distR="114300">
                <wp:extent cx="5410200" cy="3154680"/>
                <wp:effectExtent l="12700" t="0" r="25400" b="13970"/>
                <wp:docPr id="27" name="组合 27"/>
                <wp:cNvGraphicFramePr/>
                <a:graphic xmlns:a="http://schemas.openxmlformats.org/drawingml/2006/main">
                  <a:graphicData uri="http://schemas.microsoft.com/office/word/2010/wordprocessingGroup">
                    <wpg:wgp>
                      <wpg:cNvGrpSpPr/>
                      <wpg:grpSpPr>
                        <a:xfrm>
                          <a:off x="0" y="0"/>
                          <a:ext cx="5410200" cy="3154680"/>
                          <a:chOff x="0" y="0"/>
                          <a:chExt cx="8520" cy="4967"/>
                        </a:xfrm>
                      </wpg:grpSpPr>
                      <pic:pic xmlns:pic="http://schemas.openxmlformats.org/drawingml/2006/picture">
                        <pic:nvPicPr>
                          <pic:cNvPr id="25" name="图片 6"/>
                          <pic:cNvPicPr>
                            <a:picLocks noChangeAspect="1"/>
                          </pic:cNvPicPr>
                        </pic:nvPicPr>
                        <pic:blipFill>
                          <a:blip r:embed="rId10"/>
                          <a:stretch>
                            <a:fillRect/>
                          </a:stretch>
                        </pic:blipFill>
                        <pic:spPr>
                          <a:xfrm>
                            <a:off x="0" y="0"/>
                            <a:ext cx="8520" cy="4967"/>
                          </a:xfrm>
                          <a:prstGeom prst="rect">
                            <a:avLst/>
                          </a:prstGeom>
                          <a:noFill/>
                          <a:ln>
                            <a:noFill/>
                          </a:ln>
                        </pic:spPr>
                      </pic:pic>
                      <wps:wsp>
                        <wps:cNvPr id="26" name="文本框 26"/>
                        <wps:cNvSpPr txBox="1"/>
                        <wps:spPr>
                          <a:xfrm>
                            <a:off x="-20" y="-20"/>
                            <a:ext cx="8560" cy="5007"/>
                          </a:xfrm>
                          <a:prstGeom prst="rect">
                            <a:avLst/>
                          </a:prstGeom>
                          <a:noFill/>
                          <a:ln>
                            <a:noFill/>
                          </a:ln>
                        </wps:spPr>
                        <wps:txbx>
                          <w:txbxContent>
                            <w:p w14:paraId="3BEB12F9">
                              <w:pPr>
                                <w:spacing w:before="153" w:line="343" w:lineRule="auto"/>
                                <w:ind w:left="192" w:right="5081" w:firstLine="18"/>
                                <w:rPr>
                                  <w:rFonts w:ascii="仿宋" w:hAnsi="仿宋" w:eastAsia="仿宋" w:cs="仿宋"/>
                                  <w:sz w:val="30"/>
                                  <w:szCs w:val="30"/>
                                </w:rPr>
                              </w:pPr>
                              <w:r>
                                <w:rPr>
                                  <w:rFonts w:ascii="仿宋" w:hAnsi="仿宋" w:eastAsia="仿宋" w:cs="仿宋"/>
                                  <w:spacing w:val="-3"/>
                                  <w:sz w:val="30"/>
                                  <w:szCs w:val="30"/>
                                </w:rPr>
                                <w:t>1.首次提交基本情况信息</w:t>
                              </w:r>
                              <w:r>
                                <w:rPr>
                                  <w:rFonts w:ascii="仿宋" w:hAnsi="仿宋" w:eastAsia="仿宋" w:cs="仿宋"/>
                                  <w:spacing w:val="2"/>
                                  <w:sz w:val="30"/>
                                  <w:szCs w:val="30"/>
                                </w:rPr>
                                <w:t xml:space="preserve"> </w:t>
                              </w:r>
                              <w:r>
                                <w:rPr>
                                  <w:rFonts w:ascii="仿宋" w:hAnsi="仿宋" w:eastAsia="仿宋" w:cs="仿宋"/>
                                  <w:spacing w:val="-2"/>
                                  <w:sz w:val="30"/>
                                  <w:szCs w:val="30"/>
                                </w:rPr>
                                <w:t>2.从业单位变更的</w:t>
                              </w:r>
                            </w:p>
                            <w:p w14:paraId="2377D862">
                              <w:pPr>
                                <w:spacing w:before="30" w:line="221" w:lineRule="auto"/>
                                <w:ind w:left="195"/>
                                <w:rPr>
                                  <w:rFonts w:ascii="仿宋" w:hAnsi="仿宋" w:eastAsia="仿宋" w:cs="仿宋"/>
                                  <w:sz w:val="30"/>
                                  <w:szCs w:val="30"/>
                                </w:rPr>
                              </w:pPr>
                              <w:r>
                                <w:rPr>
                                  <w:rFonts w:ascii="仿宋" w:hAnsi="仿宋" w:eastAsia="仿宋" w:cs="仿宋"/>
                                  <w:spacing w:val="-2"/>
                                  <w:sz w:val="30"/>
                                  <w:szCs w:val="30"/>
                                </w:rPr>
                                <w:t>3.调离从业单位的</w:t>
                              </w:r>
                            </w:p>
                            <w:p w14:paraId="586C0E0A">
                              <w:pPr>
                                <w:spacing w:before="205" w:line="333" w:lineRule="auto"/>
                                <w:ind w:left="194" w:right="581" w:hanging="7"/>
                                <w:rPr>
                                  <w:rFonts w:ascii="仿宋" w:hAnsi="仿宋" w:eastAsia="仿宋" w:cs="仿宋"/>
                                  <w:sz w:val="30"/>
                                  <w:szCs w:val="30"/>
                                </w:rPr>
                              </w:pPr>
                              <w:r>
                                <w:rPr>
                                  <w:rFonts w:ascii="仿宋" w:hAnsi="仿宋" w:eastAsia="仿宋" w:cs="仿宋"/>
                                  <w:spacing w:val="-1"/>
                                  <w:sz w:val="30"/>
                                  <w:szCs w:val="30"/>
                                </w:rPr>
                                <w:t>4.建立诚信档案后取得环境影响评价工程师职业资格证书的</w:t>
                              </w:r>
                              <w:r>
                                <w:rPr>
                                  <w:rFonts w:ascii="仿宋" w:hAnsi="仿宋" w:eastAsia="仿宋" w:cs="仿宋"/>
                                  <w:spacing w:val="16"/>
                                  <w:sz w:val="30"/>
                                  <w:szCs w:val="30"/>
                                </w:rPr>
                                <w:t xml:space="preserve"> </w:t>
                              </w:r>
                              <w:r>
                                <w:rPr>
                                  <w:rFonts w:ascii="仿宋" w:hAnsi="仿宋" w:eastAsia="仿宋" w:cs="仿宋"/>
                                  <w:spacing w:val="-2"/>
                                  <w:sz w:val="30"/>
                                  <w:szCs w:val="30"/>
                                </w:rPr>
                                <w:t>5.编制单位终止的</w:t>
                              </w:r>
                            </w:p>
                            <w:p w14:paraId="4E7BA7A6">
                              <w:pPr>
                                <w:spacing w:before="47" w:line="221" w:lineRule="auto"/>
                                <w:ind w:left="191"/>
                                <w:rPr>
                                  <w:rFonts w:ascii="仿宋" w:hAnsi="仿宋" w:eastAsia="仿宋" w:cs="仿宋"/>
                                  <w:sz w:val="30"/>
                                  <w:szCs w:val="30"/>
                                </w:rPr>
                              </w:pPr>
                              <w:r>
                                <w:rPr>
                                  <w:rFonts w:ascii="仿宋" w:hAnsi="仿宋" w:eastAsia="仿宋" w:cs="仿宋"/>
                                  <w:spacing w:val="-1"/>
                                  <w:sz w:val="30"/>
                                  <w:szCs w:val="30"/>
                                </w:rPr>
                                <w:t>6.被注销后从业单位变更的</w:t>
                              </w:r>
                            </w:p>
                            <w:p w14:paraId="7791E75E">
                              <w:pPr>
                                <w:spacing w:before="205" w:line="332" w:lineRule="auto"/>
                                <w:ind w:left="190" w:right="4469" w:firstLine="6"/>
                                <w:rPr>
                                  <w:rFonts w:ascii="仿宋" w:hAnsi="仿宋" w:eastAsia="仿宋" w:cs="仿宋"/>
                                  <w:sz w:val="30"/>
                                  <w:szCs w:val="30"/>
                                </w:rPr>
                              </w:pPr>
                              <w:r>
                                <w:rPr>
                                  <w:rFonts w:ascii="仿宋" w:hAnsi="仿宋" w:eastAsia="仿宋" w:cs="仿宋"/>
                                  <w:spacing w:val="-1"/>
                                  <w:sz w:val="30"/>
                                  <w:szCs w:val="30"/>
                                </w:rPr>
                                <w:t>7.被注销后调回原从业单位的</w:t>
                              </w:r>
                              <w:r>
                                <w:rPr>
                                  <w:rFonts w:ascii="仿宋" w:hAnsi="仿宋" w:eastAsia="仿宋" w:cs="仿宋"/>
                                  <w:spacing w:val="7"/>
                                  <w:sz w:val="30"/>
                                  <w:szCs w:val="30"/>
                                </w:rPr>
                                <w:t xml:space="preserve"> </w:t>
                              </w:r>
                              <w:r>
                                <w:rPr>
                                  <w:rFonts w:ascii="仿宋" w:hAnsi="仿宋" w:eastAsia="仿宋" w:cs="仿宋"/>
                                  <w:sz w:val="30"/>
                                  <w:szCs w:val="30"/>
                                </w:rPr>
                                <w:t>8.补正基本情况信息</w:t>
                              </w:r>
                            </w:p>
                          </w:txbxContent>
                        </wps:txbx>
                        <wps:bodyPr lIns="0" tIns="0" rIns="0" bIns="0" upright="1"/>
                      </wps:wsp>
                    </wpg:wgp>
                  </a:graphicData>
                </a:graphic>
              </wp:inline>
            </w:drawing>
          </mc:Choice>
          <mc:Fallback>
            <w:pict>
              <v:group id="_x0000_s1026" o:spid="_x0000_s1026" o:spt="203" style="height:248.4pt;width:426pt;" coordsize="8520,4967" o:gfxdata="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">
                <o:lock v:ext="edit" aspectratio="f"/>
                <v:shape id="图片 6" o:spid="_x0000_s1026" o:spt="75" type="#_x0000_t75" style="position:absolute;left:0;top:0;height:4967;width:8520;" filled="f" o:preferrelative="t" stroked="f" coordsize="21600,21600" o:gfxdata="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Lb6o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202" type="#_x0000_t202" style="position:absolute;left:-20;top:-20;height:5007;width:8560;"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BEB12F9">
                        <w:pPr>
                          <w:spacing w:before="153" w:line="343" w:lineRule="auto"/>
                          <w:ind w:left="192" w:right="5081" w:firstLine="18"/>
                          <w:rPr>
                            <w:rFonts w:ascii="仿宋" w:hAnsi="仿宋" w:eastAsia="仿宋" w:cs="仿宋"/>
                            <w:sz w:val="30"/>
                            <w:szCs w:val="30"/>
                          </w:rPr>
                        </w:pPr>
                        <w:r>
                          <w:rPr>
                            <w:rFonts w:ascii="仿宋" w:hAnsi="仿宋" w:eastAsia="仿宋" w:cs="仿宋"/>
                            <w:spacing w:val="-3"/>
                            <w:sz w:val="30"/>
                            <w:szCs w:val="30"/>
                          </w:rPr>
                          <w:t>1.首次提交基本情况信息</w:t>
                        </w:r>
                        <w:r>
                          <w:rPr>
                            <w:rFonts w:ascii="仿宋" w:hAnsi="仿宋" w:eastAsia="仿宋" w:cs="仿宋"/>
                            <w:spacing w:val="2"/>
                            <w:sz w:val="30"/>
                            <w:szCs w:val="30"/>
                          </w:rPr>
                          <w:t xml:space="preserve"> </w:t>
                        </w:r>
                        <w:r>
                          <w:rPr>
                            <w:rFonts w:ascii="仿宋" w:hAnsi="仿宋" w:eastAsia="仿宋" w:cs="仿宋"/>
                            <w:spacing w:val="-2"/>
                            <w:sz w:val="30"/>
                            <w:szCs w:val="30"/>
                          </w:rPr>
                          <w:t>2.从业单位变更的</w:t>
                        </w:r>
                      </w:p>
                      <w:p w14:paraId="2377D862">
                        <w:pPr>
                          <w:spacing w:before="30" w:line="221" w:lineRule="auto"/>
                          <w:ind w:left="195"/>
                          <w:rPr>
                            <w:rFonts w:ascii="仿宋" w:hAnsi="仿宋" w:eastAsia="仿宋" w:cs="仿宋"/>
                            <w:sz w:val="30"/>
                            <w:szCs w:val="30"/>
                          </w:rPr>
                        </w:pPr>
                        <w:r>
                          <w:rPr>
                            <w:rFonts w:ascii="仿宋" w:hAnsi="仿宋" w:eastAsia="仿宋" w:cs="仿宋"/>
                            <w:spacing w:val="-2"/>
                            <w:sz w:val="30"/>
                            <w:szCs w:val="30"/>
                          </w:rPr>
                          <w:t>3.调离从业单位的</w:t>
                        </w:r>
                      </w:p>
                      <w:p w14:paraId="586C0E0A">
                        <w:pPr>
                          <w:spacing w:before="205" w:line="333" w:lineRule="auto"/>
                          <w:ind w:left="194" w:right="581" w:hanging="7"/>
                          <w:rPr>
                            <w:rFonts w:ascii="仿宋" w:hAnsi="仿宋" w:eastAsia="仿宋" w:cs="仿宋"/>
                            <w:sz w:val="30"/>
                            <w:szCs w:val="30"/>
                          </w:rPr>
                        </w:pPr>
                        <w:r>
                          <w:rPr>
                            <w:rFonts w:ascii="仿宋" w:hAnsi="仿宋" w:eastAsia="仿宋" w:cs="仿宋"/>
                            <w:spacing w:val="-1"/>
                            <w:sz w:val="30"/>
                            <w:szCs w:val="30"/>
                          </w:rPr>
                          <w:t>4.建立诚信档案后取得环境影响评价工程师职业资格证书的</w:t>
                        </w:r>
                        <w:r>
                          <w:rPr>
                            <w:rFonts w:ascii="仿宋" w:hAnsi="仿宋" w:eastAsia="仿宋" w:cs="仿宋"/>
                            <w:spacing w:val="16"/>
                            <w:sz w:val="30"/>
                            <w:szCs w:val="30"/>
                          </w:rPr>
                          <w:t xml:space="preserve"> </w:t>
                        </w:r>
                        <w:r>
                          <w:rPr>
                            <w:rFonts w:ascii="仿宋" w:hAnsi="仿宋" w:eastAsia="仿宋" w:cs="仿宋"/>
                            <w:spacing w:val="-2"/>
                            <w:sz w:val="30"/>
                            <w:szCs w:val="30"/>
                          </w:rPr>
                          <w:t>5.编制单位终止的</w:t>
                        </w:r>
                      </w:p>
                      <w:p w14:paraId="4E7BA7A6">
                        <w:pPr>
                          <w:spacing w:before="47" w:line="221" w:lineRule="auto"/>
                          <w:ind w:left="191"/>
                          <w:rPr>
                            <w:rFonts w:ascii="仿宋" w:hAnsi="仿宋" w:eastAsia="仿宋" w:cs="仿宋"/>
                            <w:sz w:val="30"/>
                            <w:szCs w:val="30"/>
                          </w:rPr>
                        </w:pPr>
                        <w:r>
                          <w:rPr>
                            <w:rFonts w:ascii="仿宋" w:hAnsi="仿宋" w:eastAsia="仿宋" w:cs="仿宋"/>
                            <w:spacing w:val="-1"/>
                            <w:sz w:val="30"/>
                            <w:szCs w:val="30"/>
                          </w:rPr>
                          <w:t>6.被注销后从业单位变更的</w:t>
                        </w:r>
                      </w:p>
                      <w:p w14:paraId="7791E75E">
                        <w:pPr>
                          <w:spacing w:before="205" w:line="332" w:lineRule="auto"/>
                          <w:ind w:left="190" w:right="4469" w:firstLine="6"/>
                          <w:rPr>
                            <w:rFonts w:ascii="仿宋" w:hAnsi="仿宋" w:eastAsia="仿宋" w:cs="仿宋"/>
                            <w:sz w:val="30"/>
                            <w:szCs w:val="30"/>
                          </w:rPr>
                        </w:pPr>
                        <w:r>
                          <w:rPr>
                            <w:rFonts w:ascii="仿宋" w:hAnsi="仿宋" w:eastAsia="仿宋" w:cs="仿宋"/>
                            <w:spacing w:val="-1"/>
                            <w:sz w:val="30"/>
                            <w:szCs w:val="30"/>
                          </w:rPr>
                          <w:t>7.被注销后调回原从业单位的</w:t>
                        </w:r>
                        <w:r>
                          <w:rPr>
                            <w:rFonts w:ascii="仿宋" w:hAnsi="仿宋" w:eastAsia="仿宋" w:cs="仿宋"/>
                            <w:spacing w:val="7"/>
                            <w:sz w:val="30"/>
                            <w:szCs w:val="30"/>
                          </w:rPr>
                          <w:t xml:space="preserve"> </w:t>
                        </w:r>
                        <w:r>
                          <w:rPr>
                            <w:rFonts w:ascii="仿宋" w:hAnsi="仿宋" w:eastAsia="仿宋" w:cs="仿宋"/>
                            <w:sz w:val="30"/>
                            <w:szCs w:val="30"/>
                          </w:rPr>
                          <w:t>8.补正基本情况信息</w:t>
                        </w:r>
                      </w:p>
                    </w:txbxContent>
                  </v:textbox>
                </v:shape>
                <w10:wrap type="none"/>
                <w10:anchorlock/>
              </v:group>
            </w:pict>
          </mc:Fallback>
        </mc:AlternateContent>
      </w:r>
    </w:p>
    <w:p w14:paraId="2D2630ED">
      <w:pPr>
        <w:spacing w:line="285" w:lineRule="auto"/>
        <w:rPr>
          <w:rFonts w:ascii="Arial"/>
          <w:sz w:val="21"/>
        </w:rPr>
      </w:pPr>
    </w:p>
    <w:p w14:paraId="3D00A6E0">
      <w:pPr>
        <w:pStyle w:val="9"/>
        <w:spacing w:before="98" w:line="352" w:lineRule="auto"/>
        <w:ind w:left="33" w:right="206" w:firstLine="602"/>
        <w:jc w:val="right"/>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承诺人(签字)：</w:t>
      </w:r>
    </w:p>
    <w:p w14:paraId="0E885331">
      <w:pPr>
        <w:pStyle w:val="9"/>
        <w:spacing w:before="98" w:line="352" w:lineRule="auto"/>
        <w:ind w:left="33" w:right="206" w:firstLine="602"/>
        <w:jc w:val="right"/>
        <w:rPr>
          <w:rFonts w:hint="eastAsia"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2025年   7月  10日</w:t>
      </w:r>
    </w:p>
    <w:p w14:paraId="0FE1A27C">
      <w:pPr>
        <w:pStyle w:val="17"/>
        <w:jc w:val="center"/>
        <w:outlineLvl w:val="0"/>
        <w:rPr>
          <w:rFonts w:hint="eastAsia" w:ascii="黑体" w:hAnsi="黑体" w:eastAsia="黑体"/>
          <w:snapToGrid w:val="0"/>
          <w:sz w:val="30"/>
          <w:szCs w:val="30"/>
          <w:lang w:eastAsia="zh-CN"/>
        </w:rPr>
      </w:pPr>
    </w:p>
    <w:p w14:paraId="0998BF29">
      <w:pPr>
        <w:pStyle w:val="17"/>
        <w:jc w:val="center"/>
        <w:outlineLvl w:val="0"/>
        <w:rPr>
          <w:rFonts w:hint="eastAsia" w:ascii="黑体" w:hAnsi="黑体" w:eastAsia="黑体"/>
          <w:snapToGrid w:val="0"/>
          <w:sz w:val="30"/>
          <w:szCs w:val="30"/>
          <w:lang w:eastAsia="zh-CN"/>
        </w:rPr>
      </w:pPr>
    </w:p>
    <w:p w14:paraId="33F04088">
      <w:pPr>
        <w:pStyle w:val="17"/>
        <w:jc w:val="center"/>
        <w:outlineLvl w:val="0"/>
        <w:rPr>
          <w:rFonts w:hint="eastAsia" w:ascii="黑体" w:hAnsi="黑体" w:eastAsia="黑体"/>
          <w:snapToGrid w:val="0"/>
          <w:sz w:val="30"/>
          <w:szCs w:val="30"/>
          <w:lang w:eastAsia="zh-CN"/>
        </w:rPr>
      </w:pPr>
    </w:p>
    <w:p w14:paraId="46050EB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outlineLvl w:val="0"/>
        <w:rPr>
          <w:rFonts w:hint="eastAsia" w:ascii="宋体" w:hAnsi="宋体" w:eastAsia="宋体" w:cs="宋体"/>
          <w:b/>
          <w:bCs/>
          <w:spacing w:val="-13"/>
          <w:sz w:val="37"/>
          <w:szCs w:val="37"/>
        </w:rPr>
      </w:pPr>
      <w:r>
        <w:rPr>
          <w:rFonts w:hint="eastAsia" w:ascii="宋体" w:hAnsi="宋体" w:eastAsia="宋体" w:cs="宋体"/>
          <w:b/>
          <w:bCs/>
          <w:spacing w:val="-13"/>
          <w:sz w:val="37"/>
          <w:szCs w:val="37"/>
        </w:rPr>
        <w:t>建设单位承诺书</w:t>
      </w:r>
    </w:p>
    <w:p w14:paraId="356710BE">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黑体" w:hAnsi="黑体" w:eastAsia="黑体"/>
          <w:snapToGrid w:val="0"/>
          <w:sz w:val="30"/>
          <w:szCs w:val="30"/>
        </w:rPr>
        <w:t xml:space="preserve">    </w:t>
      </w:r>
      <w:r>
        <w:rPr>
          <w:rFonts w:hint="eastAsia" w:ascii="仿宋" w:hAnsi="仿宋" w:eastAsia="仿宋" w:cs="Times New Roman"/>
          <w:kern w:val="2"/>
          <w:sz w:val="30"/>
          <w:szCs w:val="30"/>
          <w:u w:val="none"/>
          <w:lang w:val="en-US" w:eastAsia="zh-CN" w:bidi="ar-SA"/>
        </w:rPr>
        <w:t>（一）已经知晓行政许可实施机关告知的全部内容；</w:t>
      </w:r>
    </w:p>
    <w:p w14:paraId="59279829">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（二）保证申请资料和相关数据的合法性、真实性、准确性，保证电子文件和纸质资料的一致性；</w:t>
      </w:r>
    </w:p>
    <w:p w14:paraId="19FFD64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（三）自认满足行政许可实施机关告知的条件、标准和技术要求，本项目不存在“未批先建”等环境违法行为；</w:t>
      </w:r>
    </w:p>
    <w:p w14:paraId="2806597A">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（四）能够在约定期限内，提交行政许可实施机关告知的相关材料；</w:t>
      </w:r>
    </w:p>
    <w:p w14:paraId="383C6180">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五）严格遵守相关环保法律法规，自觉履行环境保护义务，承担环境保护主体责任，落实“三同时”制度，按照本项目环评文件载明的项目性质、规模、地点、采用的生产工艺以及拟采取的环境保护措施进行项目建设和生产经营。重信守诺，维护良好的信用记录，并主动接受政府、行业组织、社会公众、新闻舆论的监督，积极履行社会责任；</w:t>
      </w:r>
    </w:p>
    <w:p w14:paraId="0847C6DF">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（六）愿意承担不实承诺、违反承诺的法律责任及由此造成的损失；</w:t>
      </w:r>
    </w:p>
    <w:p w14:paraId="37E1A7F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（七）本承诺书在“信用重庆”等网站上公开；</w:t>
      </w:r>
    </w:p>
    <w:p w14:paraId="122F0B11">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八）本单位已对环评机构编制的环评文件进行审查，提交的环评文件公示版不涉及国家秘密、商业秘密等内容，并认可环评文件中的环境影响评价结论。因环评文件存在重大质量问题，导致行政许可被撤销的，本单位承担相关法律责任和经济损失；</w:t>
      </w:r>
    </w:p>
    <w:p w14:paraId="38B348E6">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（九）（勾选“告知承诺制”的）本单位自愿选择告知承诺制审批，并知晓相关规定内容，承诺履行主体责任，承担未履行承诺或其他法律法规要求而产生的一切后果（包括撤销环评批复、恢复原状等）；</w:t>
      </w:r>
    </w:p>
    <w:p w14:paraId="24E95C27">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十）（勾选“告知承诺制”的）本单位已知晓受理即领取的批准文书在法定公示期（10个工作日）结束后生效；本单位已知晓，公示期满如果收到反对意见，生态环境行政主管部门将组织开展反馈意见的甄别核实工作，5个工作日内核实不能批复，生态环境行政主管部门出具《不予行政许可决定书》，本单位承诺按要求退回批准文书，承担撤销环评批复产生的一切后果。在甄别核实意见期间，本单位承诺主动参与核实工作，不组织施工建设；</w:t>
      </w:r>
    </w:p>
    <w:p w14:paraId="24AD1F9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600"/>
        <w:jc w:val="lef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（十一）上述陈述是申请人的真实意思表示。</w:t>
      </w:r>
    </w:p>
    <w:p w14:paraId="6E87F529">
      <w:pPr>
        <w:pStyle w:val="17"/>
        <w:keepNext w:val="0"/>
        <w:keepLines w:val="0"/>
        <w:pageBreakBefore w:val="0"/>
        <w:widowControl/>
        <w:kinsoku/>
        <w:wordWrap/>
        <w:overflowPunct/>
        <w:topLinePunct w:val="0"/>
        <w:autoSpaceDE/>
        <w:autoSpaceDN/>
        <w:bidi w:val="0"/>
        <w:adjustRightInd/>
        <w:snapToGrid/>
        <w:spacing w:before="0" w:beforeAutospacing="0" w:after="0" w:afterAutospacing="0"/>
        <w:ind w:firstLine="600"/>
        <w:jc w:val="righ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建设单位（盖章）：  璧山区贝康宠物医院 </w:t>
      </w:r>
    </w:p>
    <w:p w14:paraId="2900B0C9">
      <w:pPr>
        <w:pStyle w:val="17"/>
        <w:jc w:val="right"/>
        <w:outlineLvl w:val="0"/>
        <w:rPr>
          <w:rFonts w:hint="eastAsia" w:ascii="黑体" w:hAnsi="黑体" w:eastAsia="黑体"/>
          <w:snapToGrid w:val="0"/>
          <w:sz w:val="30"/>
          <w:szCs w:val="30"/>
          <w:lang w:eastAsia="zh-CN"/>
        </w:rPr>
      </w:pPr>
      <w:r>
        <w:rPr>
          <w:rFonts w:hint="eastAsia" w:ascii="仿宋" w:hAnsi="仿宋" w:eastAsia="仿宋" w:cs="Times New Roman"/>
          <w:kern w:val="2"/>
          <w:sz w:val="30"/>
          <w:szCs w:val="30"/>
          <w:u w:val="none"/>
          <w:lang w:val="en-US" w:eastAsia="zh-CN" w:bidi="ar-SA"/>
        </w:rPr>
        <w:t>日期：2025年7月10日</w:t>
      </w:r>
    </w:p>
    <w:p w14:paraId="7E1BF758">
      <w:pPr>
        <w:pStyle w:val="17"/>
        <w:jc w:val="center"/>
        <w:outlineLvl w:val="0"/>
        <w:rPr>
          <w:rFonts w:hint="eastAsia" w:ascii="黑体" w:hAnsi="黑体" w:eastAsia="黑体"/>
          <w:snapToGrid w:val="0"/>
          <w:sz w:val="30"/>
          <w:szCs w:val="30"/>
          <w:lang w:eastAsia="zh-CN"/>
        </w:rPr>
      </w:pPr>
    </w:p>
    <w:p w14:paraId="1BD4EF27">
      <w:pPr>
        <w:pStyle w:val="17"/>
        <w:jc w:val="center"/>
        <w:outlineLvl w:val="0"/>
        <w:rPr>
          <w:rFonts w:hint="eastAsia" w:ascii="黑体" w:hAnsi="黑体" w:eastAsia="黑体"/>
          <w:snapToGrid w:val="0"/>
          <w:sz w:val="30"/>
          <w:szCs w:val="30"/>
          <w:lang w:eastAsia="zh-CN"/>
        </w:rPr>
      </w:pPr>
    </w:p>
    <w:p w14:paraId="3F39DF24">
      <w:pPr>
        <w:pStyle w:val="17"/>
        <w:jc w:val="center"/>
        <w:outlineLvl w:val="0"/>
        <w:rPr>
          <w:rFonts w:hint="eastAsia" w:ascii="黑体" w:hAnsi="黑体" w:eastAsia="黑体"/>
          <w:snapToGrid w:val="0"/>
          <w:sz w:val="30"/>
          <w:szCs w:val="30"/>
          <w:lang w:eastAsia="zh-CN"/>
        </w:rPr>
      </w:pPr>
    </w:p>
    <w:p w14:paraId="7A0D25D2">
      <w:pPr>
        <w:pStyle w:val="17"/>
        <w:jc w:val="center"/>
        <w:outlineLvl w:val="0"/>
        <w:rPr>
          <w:rFonts w:hint="eastAsia" w:ascii="黑体" w:hAnsi="黑体" w:eastAsia="黑体"/>
          <w:snapToGrid w:val="0"/>
          <w:sz w:val="30"/>
          <w:szCs w:val="30"/>
          <w:lang w:eastAsia="zh-CN"/>
        </w:rPr>
      </w:pPr>
    </w:p>
    <w:p w14:paraId="0144F5FB">
      <w:pPr>
        <w:pStyle w:val="17"/>
        <w:jc w:val="center"/>
        <w:outlineLvl w:val="0"/>
        <w:rPr>
          <w:rFonts w:hint="eastAsia" w:ascii="黑体" w:hAnsi="黑体" w:eastAsia="黑体"/>
          <w:snapToGrid w:val="0"/>
          <w:sz w:val="30"/>
          <w:szCs w:val="30"/>
          <w:lang w:eastAsia="zh-CN"/>
        </w:rPr>
      </w:pPr>
    </w:p>
    <w:p w14:paraId="44E1F231">
      <w:pPr>
        <w:pStyle w:val="17"/>
        <w:jc w:val="center"/>
        <w:outlineLvl w:val="0"/>
        <w:rPr>
          <w:rFonts w:hint="eastAsia" w:ascii="黑体" w:hAnsi="黑体" w:eastAsia="黑体"/>
          <w:snapToGrid w:val="0"/>
          <w:sz w:val="30"/>
          <w:szCs w:val="30"/>
          <w:lang w:eastAsia="zh-CN"/>
        </w:rPr>
      </w:pPr>
    </w:p>
    <w:p w14:paraId="70E35C97">
      <w:pPr>
        <w:pStyle w:val="17"/>
        <w:jc w:val="center"/>
        <w:outlineLvl w:val="0"/>
        <w:rPr>
          <w:rFonts w:hint="eastAsia" w:ascii="黑体" w:hAnsi="黑体" w:eastAsia="黑体"/>
          <w:snapToGrid w:val="0"/>
          <w:sz w:val="30"/>
          <w:szCs w:val="30"/>
          <w:lang w:eastAsia="zh-CN"/>
        </w:rPr>
      </w:pPr>
    </w:p>
    <w:p w14:paraId="59ADA03A">
      <w:pPr>
        <w:pStyle w:val="17"/>
        <w:jc w:val="center"/>
        <w:outlineLvl w:val="0"/>
        <w:rPr>
          <w:rFonts w:hint="eastAsia" w:ascii="黑体" w:hAnsi="黑体" w:eastAsia="黑体"/>
          <w:snapToGrid w:val="0"/>
          <w:sz w:val="30"/>
          <w:szCs w:val="30"/>
          <w:lang w:eastAsia="zh-CN"/>
        </w:rPr>
      </w:pPr>
    </w:p>
    <w:p w14:paraId="3535D3E3">
      <w:pPr>
        <w:pStyle w:val="17"/>
        <w:jc w:val="center"/>
        <w:outlineLvl w:val="0"/>
        <w:rPr>
          <w:rFonts w:hint="eastAsia" w:ascii="黑体" w:hAnsi="黑体" w:eastAsia="黑体"/>
          <w:snapToGrid w:val="0"/>
          <w:sz w:val="30"/>
          <w:szCs w:val="30"/>
          <w:lang w:eastAsia="zh-CN"/>
        </w:rPr>
      </w:pPr>
    </w:p>
    <w:p w14:paraId="2762120A">
      <w:pPr>
        <w:pStyle w:val="17"/>
        <w:jc w:val="center"/>
        <w:outlineLvl w:val="0"/>
        <w:rPr>
          <w:rFonts w:hint="eastAsia" w:ascii="黑体" w:hAnsi="黑体" w:eastAsia="黑体"/>
          <w:snapToGrid w:val="0"/>
          <w:sz w:val="30"/>
          <w:szCs w:val="30"/>
        </w:rPr>
      </w:pPr>
      <w:r>
        <w:rPr>
          <w:rFonts w:hint="eastAsia" w:ascii="黑体" w:hAnsi="黑体" w:eastAsia="黑体"/>
          <w:snapToGrid w:val="0"/>
          <w:sz w:val="30"/>
          <w:szCs w:val="30"/>
        </w:rPr>
        <w:t>环评机构承诺书</w:t>
      </w:r>
    </w:p>
    <w:p w14:paraId="61186520">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1200" w:firstLineChars="400"/>
        <w:jc w:val="both"/>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（一）本单位严格按照各项法律、法规和技术导则规定，接受建设单位委托，依法开展环境影响评价工作，并编制项目环评文件。</w:t>
      </w:r>
    </w:p>
    <w:p w14:paraId="63F84D10">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（二）本单位基于独立、专业、客观、公正的工作原则，对建设项目可能造成的环境影响进行科学分析，并提出切实可行的环境保护对策和措施建议，对环评文件所得出的环境影响评价结论负责。</w:t>
      </w:r>
    </w:p>
    <w:p w14:paraId="5AF5428A">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        （三）本单位对该环评文件负责，不存在复制、抄袭以及资质盗用、借用等行为，同意生态环境行政主管部门按照《建设项目环境影响报告书（表）编制监督管理办法》（生态环境部令第9号）对本次环境影响评价工作进行监督，将该环评文件纳入社会信用考核范畴。若存在失信行为，依法接受信用惩戒。</w:t>
      </w:r>
    </w:p>
    <w:p w14:paraId="6DA34D5A">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righ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环评机构（盖章）： </w:t>
      </w:r>
    </w:p>
    <w:p w14:paraId="3CA37BB9">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right"/>
        <w:textAlignment w:val="auto"/>
        <w:outlineLvl w:val="0"/>
        <w:rPr>
          <w:rFonts w:hint="eastAsia" w:ascii="仿宋" w:hAnsi="仿宋" w:eastAsia="仿宋" w:cs="Times New Roman"/>
          <w:kern w:val="2"/>
          <w:sz w:val="30"/>
          <w:szCs w:val="30"/>
          <w:u w:val="none"/>
          <w:lang w:val="en-US" w:eastAsia="zh-CN" w:bidi="ar-SA"/>
        </w:rPr>
      </w:pPr>
      <w:r>
        <w:rPr>
          <w:rFonts w:hint="eastAsia" w:ascii="仿宋" w:hAnsi="仿宋" w:eastAsia="仿宋" w:cs="Times New Roman"/>
          <w:kern w:val="2"/>
          <w:sz w:val="30"/>
          <w:szCs w:val="30"/>
          <w:u w:val="none"/>
          <w:lang w:val="en-US" w:eastAsia="zh-CN" w:bidi="ar-SA"/>
        </w:rPr>
        <w:t xml:space="preserve">编制主持人（签字）： </w:t>
      </w:r>
    </w:p>
    <w:p w14:paraId="11734C5E">
      <w:pPr>
        <w:pStyle w:val="17"/>
        <w:jc w:val="right"/>
        <w:outlineLvl w:val="0"/>
        <w:rPr>
          <w:rFonts w:hint="eastAsia" w:ascii="黑体" w:hAnsi="黑体" w:eastAsia="黑体"/>
          <w:snapToGrid w:val="0"/>
          <w:sz w:val="30"/>
          <w:szCs w:val="30"/>
          <w:lang w:eastAsia="zh-CN"/>
        </w:rPr>
      </w:pPr>
      <w:r>
        <w:rPr>
          <w:rFonts w:hint="eastAsia" w:ascii="仿宋" w:hAnsi="仿宋" w:eastAsia="仿宋" w:cs="Times New Roman"/>
          <w:kern w:val="2"/>
          <w:sz w:val="30"/>
          <w:szCs w:val="30"/>
          <w:u w:val="none"/>
          <w:lang w:val="en-US" w:eastAsia="zh-CN" w:bidi="ar-SA"/>
        </w:rPr>
        <w:t>日期：2025年7月10日</w:t>
      </w:r>
    </w:p>
    <w:p w14:paraId="0CB0EFCF">
      <w:pPr>
        <w:pStyle w:val="17"/>
        <w:jc w:val="center"/>
        <w:outlineLvl w:val="0"/>
        <w:rPr>
          <w:rFonts w:hint="eastAsia" w:ascii="黑体" w:hAnsi="黑体" w:eastAsia="黑体"/>
          <w:snapToGrid w:val="0"/>
          <w:sz w:val="30"/>
          <w:szCs w:val="30"/>
          <w:lang w:eastAsia="zh-CN"/>
        </w:rPr>
      </w:pPr>
    </w:p>
    <w:p w14:paraId="21855199">
      <w:pPr>
        <w:pStyle w:val="17"/>
        <w:jc w:val="center"/>
        <w:outlineLvl w:val="0"/>
        <w:rPr>
          <w:rFonts w:hint="eastAsia" w:ascii="黑体" w:hAnsi="黑体" w:eastAsia="黑体"/>
          <w:snapToGrid w:val="0"/>
          <w:sz w:val="30"/>
          <w:szCs w:val="30"/>
          <w:lang w:eastAsia="zh-CN"/>
        </w:rPr>
      </w:pPr>
    </w:p>
    <w:p w14:paraId="0DCD228F">
      <w:pPr>
        <w:pStyle w:val="17"/>
        <w:jc w:val="center"/>
        <w:outlineLvl w:val="0"/>
        <w:rPr>
          <w:rFonts w:hint="eastAsia" w:ascii="黑体" w:hAnsi="黑体" w:eastAsia="黑体"/>
          <w:snapToGrid w:val="0"/>
          <w:sz w:val="30"/>
          <w:szCs w:val="30"/>
          <w:lang w:eastAsia="zh-CN"/>
        </w:rPr>
      </w:pPr>
    </w:p>
    <w:p w14:paraId="31474DAD">
      <w:pPr>
        <w:pStyle w:val="17"/>
        <w:jc w:val="center"/>
        <w:outlineLvl w:val="0"/>
        <w:rPr>
          <w:rFonts w:hint="eastAsia" w:ascii="黑体" w:hAnsi="黑体" w:eastAsia="黑体"/>
          <w:snapToGrid w:val="0"/>
          <w:sz w:val="30"/>
          <w:szCs w:val="30"/>
          <w:lang w:eastAsia="zh-CN"/>
        </w:rPr>
      </w:pPr>
    </w:p>
    <w:p w14:paraId="6D2AF297">
      <w:pPr>
        <w:pStyle w:val="17"/>
        <w:jc w:val="center"/>
        <w:outlineLvl w:val="0"/>
        <w:rPr>
          <w:rFonts w:hint="eastAsia" w:ascii="黑体" w:hAnsi="黑体" w:eastAsia="黑体"/>
          <w:snapToGrid w:val="0"/>
          <w:sz w:val="30"/>
          <w:szCs w:val="30"/>
          <w:lang w:eastAsia="zh-CN"/>
        </w:rPr>
      </w:pPr>
    </w:p>
    <w:p w14:paraId="14B916CE">
      <w:pPr>
        <w:jc w:val="center"/>
        <w:rPr>
          <w:rFonts w:hint="eastAsia" w:eastAsiaTheme="minorEastAsia"/>
          <w:b/>
          <w:bCs/>
          <w:sz w:val="32"/>
          <w:szCs w:val="32"/>
          <w:lang w:eastAsia="zh-CN"/>
        </w:rPr>
      </w:pPr>
      <w:r>
        <w:rPr>
          <w:rFonts w:hint="eastAsia"/>
          <w:b/>
          <w:bCs/>
          <w:sz w:val="32"/>
          <w:szCs w:val="32"/>
          <w:lang w:eastAsia="zh-CN"/>
        </w:rPr>
        <w:t>璧山区贝康宠物医院</w:t>
      </w:r>
    </w:p>
    <w:p w14:paraId="520C0874">
      <w:pPr>
        <w:jc w:val="center"/>
        <w:rPr>
          <w:rFonts w:hint="eastAsia"/>
          <w:b/>
          <w:bCs/>
          <w:sz w:val="32"/>
          <w:szCs w:val="32"/>
        </w:rPr>
      </w:pPr>
      <w:r>
        <w:rPr>
          <w:rFonts w:hint="eastAsia"/>
          <w:b/>
          <w:bCs/>
          <w:sz w:val="32"/>
          <w:szCs w:val="32"/>
        </w:rPr>
        <w:t>关于同意对《</w:t>
      </w:r>
      <w:r>
        <w:rPr>
          <w:rFonts w:hint="eastAsia"/>
          <w:b/>
          <w:bCs/>
          <w:sz w:val="32"/>
          <w:szCs w:val="32"/>
          <w:lang w:eastAsia="zh-CN"/>
        </w:rPr>
        <w:t>璧山区贝康宠物医院璧山区贝康宠物医院</w:t>
      </w:r>
      <w:r>
        <w:rPr>
          <w:rFonts w:hint="eastAsia"/>
          <w:b/>
          <w:bCs/>
          <w:sz w:val="32"/>
          <w:szCs w:val="32"/>
          <w:lang w:val="en-US" w:eastAsia="zh-CN"/>
        </w:rPr>
        <w:t>建设</w:t>
      </w:r>
      <w:r>
        <w:rPr>
          <w:rFonts w:hint="eastAsia"/>
          <w:b/>
          <w:bCs/>
          <w:sz w:val="32"/>
          <w:szCs w:val="32"/>
        </w:rPr>
        <w:t>项目环境影响报告表》(公示版)进行公示的说明</w:t>
      </w:r>
    </w:p>
    <w:p w14:paraId="6B462944">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b w:val="0"/>
          <w:bCs w:val="0"/>
          <w:sz w:val="28"/>
          <w:szCs w:val="28"/>
        </w:rPr>
      </w:pPr>
    </w:p>
    <w:p w14:paraId="4CC31890">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b w:val="0"/>
          <w:bCs w:val="0"/>
          <w:sz w:val="28"/>
          <w:szCs w:val="28"/>
        </w:rPr>
      </w:pPr>
      <w:r>
        <w:rPr>
          <w:rFonts w:hint="eastAsia"/>
          <w:b/>
          <w:bCs/>
          <w:sz w:val="28"/>
          <w:szCs w:val="28"/>
          <w:lang w:eastAsia="zh-CN"/>
        </w:rPr>
        <w:t>重庆市璧山区生态环境局</w:t>
      </w:r>
      <w:r>
        <w:rPr>
          <w:rFonts w:hint="eastAsia"/>
          <w:b w:val="0"/>
          <w:bCs w:val="0"/>
          <w:sz w:val="28"/>
          <w:szCs w:val="28"/>
        </w:rPr>
        <w:t>:</w:t>
      </w:r>
    </w:p>
    <w:p w14:paraId="636A0096">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b w:val="0"/>
          <w:bCs w:val="0"/>
          <w:sz w:val="28"/>
          <w:szCs w:val="28"/>
        </w:rPr>
      </w:pPr>
      <w:r>
        <w:rPr>
          <w:rFonts w:hint="eastAsia"/>
          <w:b w:val="0"/>
          <w:bCs w:val="0"/>
          <w:sz w:val="28"/>
          <w:szCs w:val="28"/>
        </w:rPr>
        <w:t>根据《中华人民共和国环境保护法》</w:t>
      </w:r>
      <w:r>
        <w:rPr>
          <w:rFonts w:hint="eastAsia"/>
          <w:b w:val="0"/>
          <w:bCs w:val="0"/>
          <w:sz w:val="28"/>
          <w:szCs w:val="28"/>
          <w:lang w:eastAsia="zh-CN"/>
        </w:rPr>
        <w:t>、</w:t>
      </w:r>
      <w:r>
        <w:rPr>
          <w:rFonts w:hint="eastAsia"/>
          <w:b w:val="0"/>
          <w:bCs w:val="0"/>
          <w:sz w:val="28"/>
          <w:szCs w:val="28"/>
        </w:rPr>
        <w:t>《中华人民共和国环境影响评价法》和《建设项目环境保护管理条例》等有关规定，我司委托重庆绿旗寰宇环保科技有限公司编制了《</w:t>
      </w:r>
      <w:r>
        <w:rPr>
          <w:rFonts w:hint="eastAsia"/>
          <w:b w:val="0"/>
          <w:bCs w:val="0"/>
          <w:sz w:val="28"/>
          <w:szCs w:val="28"/>
          <w:lang w:eastAsia="zh-CN"/>
        </w:rPr>
        <w:t>璧山区贝康宠物医院璧山区贝康宠物医院建设项目</w:t>
      </w:r>
      <w:r>
        <w:rPr>
          <w:rFonts w:hint="eastAsia"/>
          <w:b w:val="0"/>
          <w:bCs w:val="0"/>
          <w:sz w:val="28"/>
          <w:szCs w:val="28"/>
          <w:lang w:val="en-US" w:eastAsia="zh-CN"/>
        </w:rPr>
        <w:t>环境影响报告表</w:t>
      </w:r>
      <w:r>
        <w:rPr>
          <w:rFonts w:hint="eastAsia"/>
          <w:b w:val="0"/>
          <w:bCs w:val="0"/>
          <w:sz w:val="28"/>
          <w:szCs w:val="28"/>
        </w:rPr>
        <w:t>》，报告表内容及附图附件等资料均真实有效，我公司作为环境保护主体责任，愿意承担相应的责任。报告表(公示版)已删除了涉及技术和商业秘密的章节(删除内容主要包括:相关附图附件)。我司同意对报告表(公示版)进行公示。</w:t>
      </w:r>
    </w:p>
    <w:p w14:paraId="6932FB84">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b w:val="0"/>
          <w:bCs w:val="0"/>
          <w:sz w:val="28"/>
          <w:szCs w:val="28"/>
        </w:rPr>
      </w:pPr>
      <w:r>
        <w:rPr>
          <w:rFonts w:hint="eastAsia"/>
          <w:b w:val="0"/>
          <w:bCs w:val="0"/>
          <w:sz w:val="28"/>
          <w:szCs w:val="28"/>
        </w:rPr>
        <w:t>特此说明。</w:t>
      </w:r>
    </w:p>
    <w:p w14:paraId="53BEEDA9">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璧山区贝康宠物医院</w:t>
      </w:r>
    </w:p>
    <w:p w14:paraId="27BB26F1">
      <w:pPr>
        <w:keepNext w:val="0"/>
        <w:keepLines w:val="0"/>
        <w:pageBreakBefore w:val="0"/>
        <w:widowControl w:val="0"/>
        <w:kinsoku/>
        <w:wordWrap w:val="0"/>
        <w:overflowPunct/>
        <w:topLinePunct w:val="0"/>
        <w:autoSpaceDE/>
        <w:autoSpaceDN/>
        <w:bidi w:val="0"/>
        <w:adjustRightInd/>
        <w:snapToGrid/>
        <w:ind w:firstLine="560" w:firstLineChars="200"/>
        <w:jc w:val="right"/>
        <w:textAlignment w:val="auto"/>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2025年 7月 10日</w:t>
      </w:r>
    </w:p>
    <w:p w14:paraId="3C32136D">
      <w:pPr>
        <w:pStyle w:val="17"/>
        <w:jc w:val="center"/>
        <w:outlineLvl w:val="0"/>
        <w:rPr>
          <w:rFonts w:hint="eastAsia" w:ascii="黑体" w:hAnsi="黑体" w:eastAsia="黑体"/>
          <w:snapToGrid w:val="0"/>
          <w:sz w:val="30"/>
          <w:szCs w:val="30"/>
          <w:lang w:eastAsia="zh-CN"/>
        </w:rPr>
      </w:pPr>
    </w:p>
    <w:p w14:paraId="6D382B0D">
      <w:pPr>
        <w:pStyle w:val="17"/>
        <w:jc w:val="center"/>
        <w:outlineLvl w:val="0"/>
        <w:rPr>
          <w:rFonts w:hint="eastAsia" w:ascii="黑体" w:hAnsi="黑体" w:eastAsia="黑体"/>
          <w:snapToGrid w:val="0"/>
          <w:sz w:val="30"/>
          <w:szCs w:val="30"/>
          <w:lang w:eastAsia="zh-CN"/>
        </w:rPr>
      </w:pPr>
    </w:p>
    <w:p w14:paraId="346F9527">
      <w:pPr>
        <w:pStyle w:val="17"/>
        <w:jc w:val="center"/>
        <w:outlineLvl w:val="0"/>
        <w:rPr>
          <w:rFonts w:hint="eastAsia" w:ascii="黑体" w:hAnsi="黑体" w:eastAsia="黑体"/>
          <w:snapToGrid w:val="0"/>
          <w:sz w:val="30"/>
          <w:szCs w:val="30"/>
          <w:lang w:eastAsia="zh-CN"/>
        </w:rPr>
      </w:pPr>
    </w:p>
    <w:p w14:paraId="2009D01A">
      <w:pPr>
        <w:pStyle w:val="17"/>
        <w:jc w:val="center"/>
        <w:outlineLvl w:val="0"/>
        <w:rPr>
          <w:rFonts w:hint="eastAsia" w:ascii="黑体" w:hAnsi="黑体" w:eastAsia="黑体"/>
          <w:snapToGrid w:val="0"/>
          <w:sz w:val="30"/>
          <w:szCs w:val="30"/>
          <w:lang w:eastAsia="zh-CN"/>
        </w:rPr>
      </w:pPr>
    </w:p>
    <w:p w14:paraId="01535965">
      <w:pPr>
        <w:pStyle w:val="17"/>
        <w:jc w:val="center"/>
        <w:outlineLvl w:val="0"/>
        <w:rPr>
          <w:rFonts w:hint="eastAsia" w:ascii="黑体" w:hAnsi="黑体" w:eastAsia="黑体"/>
          <w:snapToGrid w:val="0"/>
          <w:sz w:val="30"/>
          <w:szCs w:val="30"/>
          <w:lang w:eastAsia="zh-CN"/>
        </w:rPr>
      </w:pPr>
    </w:p>
    <w:p w14:paraId="0857D77C">
      <w:pPr>
        <w:pStyle w:val="17"/>
        <w:jc w:val="center"/>
        <w:outlineLvl w:val="0"/>
        <w:rPr>
          <w:rFonts w:hint="eastAsia" w:ascii="黑体" w:hAnsi="黑体" w:eastAsia="黑体"/>
          <w:snapToGrid w:val="0"/>
          <w:sz w:val="30"/>
          <w:szCs w:val="30"/>
          <w:lang w:eastAsia="zh-CN"/>
        </w:rPr>
      </w:pPr>
    </w:p>
    <w:p w14:paraId="4D02CABC">
      <w:pPr>
        <w:pStyle w:val="17"/>
        <w:jc w:val="center"/>
        <w:outlineLvl w:val="0"/>
        <w:rPr>
          <w:rFonts w:hint="eastAsia" w:ascii="黑体" w:hAnsi="黑体" w:eastAsia="黑体"/>
          <w:snapToGrid w:val="0"/>
          <w:sz w:val="30"/>
          <w:szCs w:val="30"/>
          <w:lang w:eastAsia="zh-CN"/>
        </w:rPr>
      </w:pPr>
    </w:p>
    <w:p w14:paraId="3ED544E5">
      <w:pPr>
        <w:pStyle w:val="17"/>
        <w:jc w:val="center"/>
        <w:outlineLvl w:val="0"/>
        <w:rPr>
          <w:rFonts w:hint="eastAsia" w:ascii="黑体" w:hAnsi="黑体" w:eastAsia="黑体"/>
          <w:snapToGrid w:val="0"/>
          <w:sz w:val="30"/>
          <w:szCs w:val="30"/>
          <w:lang w:eastAsia="zh-CN"/>
        </w:rPr>
      </w:pPr>
    </w:p>
    <w:p w14:paraId="7C326A3D">
      <w:pPr>
        <w:pStyle w:val="17"/>
        <w:jc w:val="center"/>
        <w:outlineLvl w:val="0"/>
        <w:rPr>
          <w:rFonts w:hint="eastAsia" w:ascii="黑体" w:hAnsi="黑体" w:eastAsia="黑体"/>
          <w:snapToGrid w:val="0"/>
          <w:sz w:val="30"/>
          <w:szCs w:val="30"/>
          <w:lang w:eastAsia="zh-CN"/>
        </w:rPr>
      </w:pPr>
    </w:p>
    <w:p w14:paraId="662E878B">
      <w:pPr>
        <w:pStyle w:val="17"/>
        <w:jc w:val="center"/>
        <w:outlineLvl w:val="0"/>
        <w:rPr>
          <w:rFonts w:hint="eastAsia" w:ascii="黑体" w:hAnsi="黑体" w:eastAsia="黑体"/>
          <w:snapToGrid w:val="0"/>
          <w:sz w:val="30"/>
          <w:szCs w:val="30"/>
          <w:lang w:eastAsia="zh-CN"/>
        </w:rPr>
      </w:pPr>
    </w:p>
    <w:p w14:paraId="368298A9">
      <w:pPr>
        <w:pStyle w:val="17"/>
        <w:jc w:val="center"/>
        <w:outlineLvl w:val="0"/>
        <w:rPr>
          <w:rFonts w:hint="eastAsia" w:ascii="黑体" w:hAnsi="黑体" w:eastAsia="黑体"/>
          <w:snapToGrid w:val="0"/>
          <w:sz w:val="30"/>
          <w:szCs w:val="30"/>
          <w:lang w:eastAsia="zh-CN"/>
        </w:rPr>
      </w:pPr>
    </w:p>
    <w:p w14:paraId="2ADC639F">
      <w:pPr>
        <w:pStyle w:val="17"/>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7"/>
        <w:gridCol w:w="621"/>
        <w:gridCol w:w="1214"/>
        <w:gridCol w:w="1637"/>
        <w:gridCol w:w="2212"/>
        <w:gridCol w:w="2639"/>
      </w:tblGrid>
      <w:tr w14:paraId="007D6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5476D757">
            <w:pPr>
              <w:adjustRightInd w:val="0"/>
              <w:snapToGrid w:val="0"/>
              <w:jc w:val="center"/>
              <w:rPr>
                <w:rFonts w:ascii="宋体" w:hAnsi="宋体" w:cs="宋体"/>
                <w:szCs w:val="21"/>
              </w:rPr>
            </w:pPr>
            <w:r>
              <w:rPr>
                <w:rFonts w:hint="eastAsia" w:ascii="宋体" w:hAnsi="宋体" w:cs="宋体"/>
                <w:szCs w:val="21"/>
              </w:rPr>
              <w:t>建设项目名称</w:t>
            </w:r>
          </w:p>
        </w:tc>
        <w:tc>
          <w:tcPr>
            <w:tcW w:w="6488" w:type="dxa"/>
            <w:gridSpan w:val="3"/>
            <w:noWrap w:val="0"/>
            <w:vAlign w:val="center"/>
          </w:tcPr>
          <w:p w14:paraId="47347E9B">
            <w:pPr>
              <w:adjustRightInd w:val="0"/>
              <w:snapToGrid w:val="0"/>
              <w:jc w:val="center"/>
              <w:rPr>
                <w:rFonts w:ascii="宋体" w:hAnsi="宋体" w:cs="宋体"/>
                <w:szCs w:val="21"/>
              </w:rPr>
            </w:pPr>
            <w:r>
              <w:rPr>
                <w:rFonts w:hint="eastAsia"/>
                <w:lang w:eastAsia="zh-CN"/>
              </w:rPr>
              <w:t>璧山区贝康宠物医院</w:t>
            </w:r>
            <w:r>
              <w:rPr>
                <w:rFonts w:hint="eastAsia"/>
              </w:rPr>
              <w:t>建设项目</w:t>
            </w:r>
          </w:p>
        </w:tc>
      </w:tr>
      <w:tr w14:paraId="01A49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251FD5E3">
            <w:pPr>
              <w:adjustRightInd w:val="0"/>
              <w:snapToGrid w:val="0"/>
              <w:jc w:val="center"/>
              <w:rPr>
                <w:rFonts w:ascii="宋体" w:hAnsi="宋体" w:cs="宋体"/>
                <w:szCs w:val="21"/>
              </w:rPr>
            </w:pPr>
            <w:r>
              <w:rPr>
                <w:rFonts w:hint="eastAsia" w:ascii="宋体" w:hAnsi="宋体" w:cs="宋体"/>
                <w:szCs w:val="21"/>
              </w:rPr>
              <w:t>项目代码</w:t>
            </w:r>
          </w:p>
        </w:tc>
        <w:tc>
          <w:tcPr>
            <w:tcW w:w="6488" w:type="dxa"/>
            <w:gridSpan w:val="3"/>
            <w:noWrap w:val="0"/>
            <w:vAlign w:val="center"/>
          </w:tcPr>
          <w:p w14:paraId="349A28D0">
            <w:pPr>
              <w:adjustRightInd w:val="0"/>
              <w:snapToGrid w:val="0"/>
              <w:jc w:val="center"/>
              <w:rPr>
                <w:rFonts w:ascii="宋体" w:hAnsi="宋体" w:cs="宋体"/>
                <w:szCs w:val="21"/>
              </w:rPr>
            </w:pPr>
            <w:r>
              <w:rPr>
                <w:rFonts w:hint="eastAsia" w:ascii="宋体" w:hAnsi="宋体" w:cs="宋体"/>
                <w:szCs w:val="21"/>
                <w:lang w:val="en-US" w:eastAsia="zh-CN"/>
              </w:rPr>
              <w:t>0000</w:t>
            </w:r>
            <w:r>
              <w:rPr>
                <w:rFonts w:hint="eastAsia" w:ascii="宋体" w:hAnsi="宋体" w:cs="宋体"/>
                <w:szCs w:val="21"/>
              </w:rPr>
              <w:t>-</w:t>
            </w:r>
            <w:r>
              <w:rPr>
                <w:rFonts w:hint="eastAsia" w:ascii="宋体" w:hAnsi="宋体" w:cs="宋体"/>
                <w:szCs w:val="21"/>
                <w:lang w:val="en-US" w:eastAsia="zh-CN"/>
              </w:rPr>
              <w:t>0</w:t>
            </w:r>
            <w:r>
              <w:rPr>
                <w:rFonts w:hint="eastAsia" w:ascii="宋体" w:hAnsi="宋体" w:cs="宋体"/>
                <w:szCs w:val="21"/>
              </w:rPr>
              <w:t>00</w:t>
            </w:r>
            <w:r>
              <w:rPr>
                <w:rFonts w:hint="eastAsia" w:ascii="宋体" w:hAnsi="宋体" w:cs="宋体"/>
                <w:szCs w:val="21"/>
                <w:lang w:val="en-US" w:eastAsia="zh-CN"/>
              </w:rPr>
              <w:t>00</w:t>
            </w:r>
            <w:r>
              <w:rPr>
                <w:rFonts w:hint="eastAsia" w:ascii="宋体" w:hAnsi="宋体" w:cs="宋体"/>
                <w:szCs w:val="21"/>
              </w:rPr>
              <w:t>0-0</w:t>
            </w:r>
            <w:r>
              <w:rPr>
                <w:rFonts w:hint="eastAsia" w:ascii="宋体" w:hAnsi="宋体" w:cs="宋体"/>
                <w:szCs w:val="21"/>
                <w:lang w:val="en-US" w:eastAsia="zh-CN"/>
              </w:rPr>
              <w:t>0</w:t>
            </w:r>
            <w:r>
              <w:rPr>
                <w:rFonts w:hint="eastAsia" w:ascii="宋体" w:hAnsi="宋体" w:cs="宋体"/>
                <w:szCs w:val="21"/>
              </w:rPr>
              <w:t>-0</w:t>
            </w:r>
            <w:r>
              <w:rPr>
                <w:rFonts w:hint="eastAsia" w:ascii="宋体" w:hAnsi="宋体" w:cs="宋体"/>
                <w:szCs w:val="21"/>
                <w:lang w:val="en-US" w:eastAsia="zh-CN"/>
              </w:rPr>
              <w:t>0</w:t>
            </w:r>
            <w:r>
              <w:rPr>
                <w:rFonts w:hint="eastAsia" w:ascii="宋体" w:hAnsi="宋体" w:cs="宋体"/>
                <w:szCs w:val="21"/>
              </w:rPr>
              <w:t>-</w:t>
            </w:r>
            <w:r>
              <w:rPr>
                <w:rFonts w:hint="eastAsia" w:ascii="宋体" w:hAnsi="宋体" w:cs="宋体"/>
                <w:szCs w:val="21"/>
                <w:lang w:val="en-US" w:eastAsia="zh-CN"/>
              </w:rPr>
              <w:t>00000</w:t>
            </w:r>
            <w:r>
              <w:rPr>
                <w:rFonts w:hint="eastAsia" w:ascii="宋体" w:hAnsi="宋体" w:cs="宋体"/>
                <w:szCs w:val="21"/>
              </w:rPr>
              <w:t>0</w:t>
            </w:r>
          </w:p>
        </w:tc>
      </w:tr>
      <w:tr w14:paraId="74FC5B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4402D77E">
            <w:pPr>
              <w:adjustRightInd w:val="0"/>
              <w:snapToGrid w:val="0"/>
              <w:jc w:val="center"/>
              <w:rPr>
                <w:rFonts w:hint="eastAsia" w:ascii="宋体" w:hAnsi="宋体" w:cs="宋体"/>
                <w:szCs w:val="21"/>
              </w:rPr>
            </w:pPr>
            <w:r>
              <w:rPr>
                <w:rFonts w:hint="eastAsia" w:ascii="宋体" w:hAnsi="宋体" w:cs="宋体"/>
                <w:szCs w:val="21"/>
              </w:rPr>
              <w:t>建设单位联系人</w:t>
            </w:r>
          </w:p>
        </w:tc>
        <w:tc>
          <w:tcPr>
            <w:tcW w:w="1637" w:type="dxa"/>
            <w:noWrap w:val="0"/>
            <w:vAlign w:val="center"/>
          </w:tcPr>
          <w:p w14:paraId="0CC9CD04">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w:t>
            </w:r>
          </w:p>
        </w:tc>
        <w:tc>
          <w:tcPr>
            <w:tcW w:w="2212" w:type="dxa"/>
            <w:noWrap w:val="0"/>
            <w:vAlign w:val="center"/>
          </w:tcPr>
          <w:p w14:paraId="13C817C6">
            <w:pPr>
              <w:adjustRightInd w:val="0"/>
              <w:snapToGrid w:val="0"/>
              <w:jc w:val="center"/>
              <w:rPr>
                <w:rFonts w:ascii="宋体" w:hAnsi="宋体" w:cs="宋体"/>
                <w:szCs w:val="21"/>
              </w:rPr>
            </w:pPr>
            <w:r>
              <w:rPr>
                <w:rFonts w:hint="eastAsia" w:ascii="宋体" w:hAnsi="宋体" w:cs="宋体"/>
                <w:szCs w:val="21"/>
              </w:rPr>
              <w:t>联系方式</w:t>
            </w:r>
          </w:p>
        </w:tc>
        <w:tc>
          <w:tcPr>
            <w:tcW w:w="2639" w:type="dxa"/>
            <w:noWrap w:val="0"/>
            <w:vAlign w:val="center"/>
          </w:tcPr>
          <w:p w14:paraId="7AE604A7">
            <w:pPr>
              <w:adjustRightInd w:val="0"/>
              <w:snapToGrid w:val="0"/>
              <w:jc w:val="center"/>
              <w:rPr>
                <w:rFonts w:hint="default" w:ascii="宋体" w:hAnsi="宋体" w:cs="宋体"/>
                <w:szCs w:val="21"/>
                <w:lang w:val="en-US"/>
              </w:rPr>
            </w:pPr>
            <w:r>
              <w:rPr>
                <w:rFonts w:hint="eastAsia" w:ascii="宋体" w:hAnsi="宋体" w:cs="宋体"/>
                <w:szCs w:val="21"/>
                <w:lang w:val="en-US" w:eastAsia="zh-CN"/>
              </w:rPr>
              <w:t>***********</w:t>
            </w:r>
          </w:p>
        </w:tc>
      </w:tr>
      <w:tr w14:paraId="1B34E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25ADD660">
            <w:pPr>
              <w:adjustRightInd w:val="0"/>
              <w:snapToGrid w:val="0"/>
              <w:jc w:val="center"/>
              <w:rPr>
                <w:rFonts w:ascii="宋体" w:hAnsi="宋体" w:cs="宋体"/>
                <w:szCs w:val="21"/>
              </w:rPr>
            </w:pPr>
            <w:r>
              <w:rPr>
                <w:rFonts w:hint="eastAsia" w:ascii="宋体" w:hAnsi="宋体" w:cs="宋体"/>
                <w:szCs w:val="21"/>
              </w:rPr>
              <w:t>建设地点</w:t>
            </w:r>
          </w:p>
        </w:tc>
        <w:tc>
          <w:tcPr>
            <w:tcW w:w="6488" w:type="dxa"/>
            <w:gridSpan w:val="3"/>
            <w:noWrap w:val="0"/>
            <w:vAlign w:val="center"/>
          </w:tcPr>
          <w:p w14:paraId="58E0A576">
            <w:pPr>
              <w:adjustRightInd w:val="0"/>
              <w:snapToGrid w:val="0"/>
              <w:jc w:val="center"/>
              <w:rPr>
                <w:rFonts w:ascii="宋体" w:hAnsi="宋体" w:cs="宋体"/>
                <w:szCs w:val="21"/>
              </w:rPr>
            </w:pPr>
            <w:r>
              <w:rPr>
                <w:rFonts w:hint="eastAsia" w:ascii="宋体" w:hAnsi="宋体" w:cs="宋体"/>
                <w:szCs w:val="21"/>
              </w:rPr>
              <w:t>重庆市璧山区璧泉街道东林大道67号4幢附3</w:t>
            </w:r>
            <w:r>
              <w:rPr>
                <w:rFonts w:hint="eastAsia" w:ascii="宋体" w:hAnsi="宋体" w:cs="宋体"/>
                <w:szCs w:val="21"/>
                <w:lang w:val="en-US" w:eastAsia="zh-CN"/>
              </w:rPr>
              <w:t>7</w:t>
            </w:r>
            <w:r>
              <w:rPr>
                <w:rFonts w:hint="eastAsia" w:ascii="宋体" w:hAnsi="宋体" w:cs="宋体"/>
                <w:szCs w:val="21"/>
              </w:rPr>
              <w:t>号</w:t>
            </w:r>
          </w:p>
        </w:tc>
      </w:tr>
      <w:tr w14:paraId="5B615C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3F6C527A">
            <w:pPr>
              <w:adjustRightInd w:val="0"/>
              <w:snapToGrid w:val="0"/>
              <w:jc w:val="center"/>
              <w:rPr>
                <w:rFonts w:ascii="宋体" w:hAnsi="宋体" w:cs="宋体"/>
                <w:szCs w:val="21"/>
              </w:rPr>
            </w:pPr>
            <w:r>
              <w:rPr>
                <w:rFonts w:hint="eastAsia" w:ascii="宋体" w:hAnsi="宋体" w:cs="宋体"/>
                <w:szCs w:val="21"/>
              </w:rPr>
              <w:t>地理坐标</w:t>
            </w:r>
          </w:p>
        </w:tc>
        <w:tc>
          <w:tcPr>
            <w:tcW w:w="6488" w:type="dxa"/>
            <w:gridSpan w:val="3"/>
            <w:noWrap w:val="0"/>
            <w:vAlign w:val="center"/>
          </w:tcPr>
          <w:p w14:paraId="2C133DAC">
            <w:pPr>
              <w:jc w:val="center"/>
              <w:rPr>
                <w:rFonts w:hint="eastAsia" w:ascii="宋体" w:hAnsi="宋体" w:cs="宋体"/>
                <w:szCs w:val="21"/>
              </w:rPr>
            </w:pPr>
            <w:r>
              <w:rPr>
                <w:rFonts w:hint="eastAsia" w:ascii="宋体" w:hAnsi="宋体" w:cs="宋体"/>
                <w:szCs w:val="21"/>
              </w:rPr>
              <w:t>（</w:t>
            </w:r>
            <w:r>
              <w:rPr>
                <w:rFonts w:hint="eastAsia" w:ascii="宋体" w:hAnsi="宋体" w:cs="宋体"/>
                <w:szCs w:val="21"/>
                <w:u w:val="single"/>
                <w:lang w:val="en-US" w:eastAsia="zh-CN"/>
              </w:rPr>
              <w:t>106</w:t>
            </w:r>
            <w:r>
              <w:rPr>
                <w:rFonts w:hint="eastAsia" w:ascii="宋体" w:hAnsi="宋体" w:cs="宋体"/>
                <w:szCs w:val="21"/>
              </w:rPr>
              <w:t>度</w:t>
            </w:r>
            <w:r>
              <w:rPr>
                <w:rFonts w:hint="eastAsia" w:ascii="宋体" w:hAnsi="宋体" w:cs="宋体"/>
                <w:szCs w:val="21"/>
                <w:u w:val="single"/>
                <w:lang w:val="en-US" w:eastAsia="zh-CN"/>
              </w:rPr>
              <w:t>13</w:t>
            </w:r>
            <w:r>
              <w:rPr>
                <w:rFonts w:hint="eastAsia" w:ascii="宋体" w:hAnsi="宋体" w:cs="宋体"/>
                <w:szCs w:val="21"/>
              </w:rPr>
              <w:t>分</w:t>
            </w:r>
            <w:r>
              <w:rPr>
                <w:rFonts w:hint="eastAsia" w:ascii="宋体" w:hAnsi="宋体" w:cs="宋体"/>
                <w:szCs w:val="21"/>
                <w:u w:val="single"/>
                <w:lang w:val="en-US" w:eastAsia="zh-CN"/>
              </w:rPr>
              <w:t>14.78996</w:t>
            </w:r>
            <w:r>
              <w:rPr>
                <w:rFonts w:hint="eastAsia" w:ascii="宋体" w:hAnsi="宋体" w:cs="宋体"/>
                <w:szCs w:val="21"/>
              </w:rPr>
              <w:t>秒，</w:t>
            </w:r>
            <w:r>
              <w:rPr>
                <w:rFonts w:hint="eastAsia" w:ascii="宋体" w:hAnsi="宋体" w:cs="宋体"/>
                <w:szCs w:val="21"/>
                <w:u w:val="single"/>
                <w:lang w:val="en-US" w:eastAsia="zh-CN"/>
              </w:rPr>
              <w:t>29</w:t>
            </w:r>
            <w:r>
              <w:rPr>
                <w:rFonts w:hint="eastAsia" w:ascii="宋体" w:hAnsi="宋体" w:cs="宋体"/>
                <w:szCs w:val="21"/>
              </w:rPr>
              <w:t>度</w:t>
            </w:r>
            <w:r>
              <w:rPr>
                <w:rFonts w:hint="eastAsia" w:ascii="宋体" w:hAnsi="宋体" w:cs="宋体"/>
                <w:szCs w:val="21"/>
                <w:u w:val="single"/>
                <w:lang w:val="en-US" w:eastAsia="zh-CN"/>
              </w:rPr>
              <w:t>34</w:t>
            </w:r>
            <w:r>
              <w:rPr>
                <w:rFonts w:hint="eastAsia" w:ascii="宋体" w:hAnsi="宋体" w:cs="宋体"/>
                <w:szCs w:val="21"/>
              </w:rPr>
              <w:t>分</w:t>
            </w:r>
            <w:r>
              <w:rPr>
                <w:rFonts w:hint="eastAsia" w:ascii="宋体" w:hAnsi="宋体" w:cs="宋体"/>
                <w:szCs w:val="21"/>
                <w:u w:val="single"/>
                <w:lang w:val="en-US" w:eastAsia="zh-CN"/>
              </w:rPr>
              <w:t>51.01054</w:t>
            </w:r>
            <w:r>
              <w:rPr>
                <w:rFonts w:hint="eastAsia" w:ascii="宋体" w:hAnsi="宋体" w:cs="宋体"/>
                <w:szCs w:val="21"/>
              </w:rPr>
              <w:t>秒）</w:t>
            </w:r>
          </w:p>
        </w:tc>
      </w:tr>
      <w:tr w14:paraId="63344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gridSpan w:val="3"/>
            <w:noWrap w:val="0"/>
            <w:tcMar>
              <w:top w:w="16" w:type="dxa"/>
              <w:left w:w="16" w:type="dxa"/>
              <w:right w:w="16" w:type="dxa"/>
            </w:tcMar>
            <w:vAlign w:val="center"/>
          </w:tcPr>
          <w:p w14:paraId="65BE0B3D">
            <w:pPr>
              <w:adjustRightInd w:val="0"/>
              <w:snapToGrid w:val="0"/>
              <w:jc w:val="center"/>
              <w:rPr>
                <w:rFonts w:hint="eastAsia" w:ascii="宋体" w:hAnsi="宋体" w:cs="宋体"/>
                <w:szCs w:val="21"/>
              </w:rPr>
            </w:pPr>
            <w:r>
              <w:rPr>
                <w:rFonts w:hint="eastAsia" w:ascii="宋体" w:hAnsi="宋体" w:cs="宋体"/>
                <w:szCs w:val="21"/>
              </w:rPr>
              <w:t>国民经济</w:t>
            </w:r>
          </w:p>
          <w:p w14:paraId="67FF21AF">
            <w:pPr>
              <w:adjustRightInd w:val="0"/>
              <w:snapToGrid w:val="0"/>
              <w:jc w:val="center"/>
              <w:rPr>
                <w:rFonts w:ascii="宋体" w:hAnsi="宋体" w:cs="宋体"/>
                <w:szCs w:val="21"/>
              </w:rPr>
            </w:pPr>
            <w:r>
              <w:rPr>
                <w:rFonts w:hint="eastAsia" w:ascii="宋体" w:hAnsi="宋体" w:cs="宋体"/>
                <w:szCs w:val="21"/>
              </w:rPr>
              <w:t>行业类别</w:t>
            </w:r>
          </w:p>
        </w:tc>
        <w:tc>
          <w:tcPr>
            <w:tcW w:w="1637" w:type="dxa"/>
            <w:noWrap w:val="0"/>
            <w:vAlign w:val="center"/>
          </w:tcPr>
          <w:p w14:paraId="08C524B3">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O8222 宠物医院服务</w:t>
            </w:r>
          </w:p>
        </w:tc>
        <w:tc>
          <w:tcPr>
            <w:tcW w:w="2212" w:type="dxa"/>
            <w:noWrap w:val="0"/>
            <w:vAlign w:val="center"/>
          </w:tcPr>
          <w:p w14:paraId="1EDB2E98">
            <w:pPr>
              <w:adjustRightInd w:val="0"/>
              <w:snapToGrid w:val="0"/>
              <w:jc w:val="center"/>
              <w:rPr>
                <w:rFonts w:ascii="宋体" w:hAnsi="宋体" w:cs="宋体"/>
                <w:szCs w:val="21"/>
              </w:rPr>
            </w:pPr>
            <w:bookmarkStart w:id="1" w:name="_Hlk49843745"/>
            <w:r>
              <w:rPr>
                <w:rFonts w:hint="eastAsia" w:ascii="宋体" w:hAnsi="宋体" w:cs="宋体"/>
                <w:szCs w:val="21"/>
              </w:rPr>
              <w:t>建设项目</w:t>
            </w:r>
          </w:p>
          <w:p w14:paraId="796A3310">
            <w:pPr>
              <w:adjustRightInd w:val="0"/>
              <w:snapToGrid w:val="0"/>
              <w:jc w:val="center"/>
              <w:rPr>
                <w:rFonts w:ascii="宋体" w:hAnsi="宋体" w:cs="宋体"/>
                <w:szCs w:val="21"/>
              </w:rPr>
            </w:pPr>
            <w:r>
              <w:rPr>
                <w:rFonts w:hint="eastAsia" w:ascii="宋体" w:hAnsi="宋体" w:cs="宋体"/>
                <w:szCs w:val="21"/>
              </w:rPr>
              <w:t>行业类别</w:t>
            </w:r>
            <w:bookmarkEnd w:id="1"/>
          </w:p>
        </w:tc>
        <w:tc>
          <w:tcPr>
            <w:tcW w:w="2639" w:type="dxa"/>
            <w:noWrap w:val="0"/>
            <w:vAlign w:val="center"/>
          </w:tcPr>
          <w:p w14:paraId="4354C6CC">
            <w:pPr>
              <w:adjustRightInd w:val="0"/>
              <w:snapToGrid w:val="0"/>
              <w:rPr>
                <w:rFonts w:hint="default" w:ascii="宋体" w:hAnsi="宋体" w:eastAsia="宋体" w:cs="宋体"/>
                <w:szCs w:val="21"/>
                <w:lang w:val="en-US" w:eastAsia="zh-CN"/>
              </w:rPr>
            </w:pPr>
            <w:r>
              <w:rPr>
                <w:rFonts w:hint="eastAsia" w:ascii="宋体" w:hAnsi="宋体" w:cs="宋体"/>
                <w:szCs w:val="21"/>
                <w:lang w:val="en-US" w:eastAsia="zh-CN"/>
              </w:rPr>
              <w:t>五十、社会事业与服务业 123.动物医院</w:t>
            </w:r>
          </w:p>
        </w:tc>
      </w:tr>
      <w:tr w14:paraId="418D7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gridSpan w:val="3"/>
            <w:noWrap w:val="0"/>
            <w:tcMar>
              <w:top w:w="16" w:type="dxa"/>
              <w:left w:w="16" w:type="dxa"/>
              <w:right w:w="16" w:type="dxa"/>
            </w:tcMar>
            <w:vAlign w:val="center"/>
          </w:tcPr>
          <w:p w14:paraId="77CE6C45">
            <w:pPr>
              <w:adjustRightInd w:val="0"/>
              <w:snapToGrid w:val="0"/>
              <w:jc w:val="center"/>
              <w:rPr>
                <w:rFonts w:ascii="宋体" w:hAnsi="宋体" w:cs="宋体"/>
                <w:szCs w:val="21"/>
              </w:rPr>
            </w:pPr>
            <w:r>
              <w:rPr>
                <w:rFonts w:hint="eastAsia" w:ascii="宋体" w:hAnsi="宋体" w:cs="宋体"/>
                <w:szCs w:val="21"/>
              </w:rPr>
              <w:t>建设性质</w:t>
            </w:r>
          </w:p>
        </w:tc>
        <w:tc>
          <w:tcPr>
            <w:tcW w:w="1637" w:type="dxa"/>
            <w:noWrap w:val="0"/>
            <w:vAlign w:val="center"/>
          </w:tcPr>
          <w:p w14:paraId="38F464D6">
            <w:pPr>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新建（迁建）</w:t>
            </w:r>
          </w:p>
          <w:p w14:paraId="1B96DFAA">
            <w:pPr>
              <w:jc w:val="left"/>
              <w:rPr>
                <w:rFonts w:hint="eastAsia" w:ascii="宋体" w:hAnsi="宋体" w:cs="宋体"/>
                <w:szCs w:val="21"/>
              </w:rPr>
            </w:pPr>
            <w:r>
              <w:rPr>
                <w:rFonts w:hint="eastAsia" w:ascii="宋体" w:hAnsi="宋体" w:cs="宋体"/>
                <w:szCs w:val="21"/>
              </w:rPr>
              <w:t>□改建</w:t>
            </w:r>
          </w:p>
          <w:p w14:paraId="02D77E59">
            <w:pPr>
              <w:jc w:val="left"/>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扩建</w:t>
            </w:r>
          </w:p>
          <w:p w14:paraId="24A89D8B">
            <w:pPr>
              <w:jc w:val="left"/>
              <w:rPr>
                <w:rFonts w:ascii="宋体" w:hAnsi="宋体" w:cs="宋体"/>
                <w:szCs w:val="21"/>
              </w:rPr>
            </w:pPr>
            <w:r>
              <w:rPr>
                <w:rFonts w:hint="eastAsia" w:ascii="宋体" w:hAnsi="宋体" w:cs="宋体"/>
                <w:szCs w:val="21"/>
              </w:rPr>
              <w:t>□技术改造</w:t>
            </w:r>
          </w:p>
        </w:tc>
        <w:tc>
          <w:tcPr>
            <w:tcW w:w="2212" w:type="dxa"/>
            <w:noWrap w:val="0"/>
            <w:vAlign w:val="center"/>
          </w:tcPr>
          <w:p w14:paraId="3947E343">
            <w:pPr>
              <w:adjustRightInd w:val="0"/>
              <w:snapToGrid w:val="0"/>
              <w:jc w:val="center"/>
              <w:rPr>
                <w:rFonts w:hint="eastAsia" w:ascii="宋体" w:hAnsi="宋体" w:cs="宋体"/>
                <w:szCs w:val="21"/>
              </w:rPr>
            </w:pPr>
            <w:r>
              <w:rPr>
                <w:rFonts w:hint="eastAsia" w:ascii="宋体" w:hAnsi="宋体" w:cs="宋体"/>
                <w:szCs w:val="21"/>
              </w:rPr>
              <w:t>建设项目</w:t>
            </w:r>
          </w:p>
          <w:p w14:paraId="3AFA3BA0">
            <w:pPr>
              <w:adjustRightInd w:val="0"/>
              <w:snapToGrid w:val="0"/>
              <w:jc w:val="center"/>
              <w:rPr>
                <w:rFonts w:ascii="宋体" w:hAnsi="宋体" w:cs="宋体"/>
                <w:szCs w:val="21"/>
              </w:rPr>
            </w:pPr>
            <w:r>
              <w:rPr>
                <w:rFonts w:hint="eastAsia" w:ascii="宋体" w:hAnsi="宋体" w:cs="宋体"/>
                <w:szCs w:val="21"/>
              </w:rPr>
              <w:t>申报情形</w:t>
            </w:r>
          </w:p>
        </w:tc>
        <w:tc>
          <w:tcPr>
            <w:tcW w:w="2639" w:type="dxa"/>
            <w:noWrap w:val="0"/>
            <w:vAlign w:val="center"/>
          </w:tcPr>
          <w:p w14:paraId="771E5736">
            <w:pPr>
              <w:jc w:val="left"/>
              <w:rPr>
                <w:rFonts w:ascii="宋体" w:hAnsi="宋体" w:cs="宋体"/>
                <w:szCs w:val="21"/>
              </w:rPr>
            </w:pPr>
            <w:r>
              <w:rPr>
                <w:rFonts w:hint="eastAsia" w:ascii="宋体" w:hAnsi="宋体" w:cs="宋体"/>
                <w:szCs w:val="21"/>
              </w:rPr>
              <w:sym w:font="Wingdings 2" w:char="0052"/>
            </w:r>
            <w:r>
              <w:rPr>
                <w:rFonts w:hint="eastAsia" w:ascii="宋体" w:hAnsi="宋体" w:cs="宋体"/>
                <w:szCs w:val="21"/>
              </w:rPr>
              <w:t>首次申报项目</w:t>
            </w:r>
            <w:r>
              <w:rPr>
                <w:rFonts w:ascii="宋体" w:hAnsi="宋体" w:cs="宋体"/>
                <w:szCs w:val="21"/>
              </w:rPr>
              <w:t xml:space="preserve">             </w:t>
            </w:r>
          </w:p>
          <w:p w14:paraId="1B0C7798">
            <w:pPr>
              <w:jc w:val="left"/>
              <w:rPr>
                <w:rFonts w:ascii="宋体" w:hAnsi="宋体" w:cs="宋体"/>
                <w:szCs w:val="21"/>
              </w:rPr>
            </w:pPr>
            <w:r>
              <w:rPr>
                <w:rFonts w:hint="eastAsia" w:ascii="宋体" w:hAnsi="宋体" w:cs="宋体"/>
                <w:szCs w:val="21"/>
              </w:rPr>
              <w:t>□不予批准后再次申报项目</w:t>
            </w:r>
          </w:p>
          <w:p w14:paraId="14B435FE">
            <w:pPr>
              <w:jc w:val="left"/>
              <w:rPr>
                <w:rFonts w:ascii="宋体" w:hAnsi="宋体" w:cs="宋体"/>
                <w:szCs w:val="21"/>
              </w:rPr>
            </w:pPr>
            <w:r>
              <w:rPr>
                <w:rFonts w:hint="eastAsia" w:ascii="宋体" w:hAnsi="宋体" w:cs="宋体"/>
                <w:szCs w:val="21"/>
              </w:rPr>
              <w:sym w:font="Wingdings 2" w:char="00A3"/>
            </w:r>
            <w:r>
              <w:rPr>
                <w:rFonts w:hint="eastAsia" w:ascii="宋体" w:hAnsi="宋体" w:cs="宋体"/>
                <w:szCs w:val="21"/>
              </w:rPr>
              <w:t>超五年重新审核项目</w:t>
            </w:r>
            <w:r>
              <w:rPr>
                <w:rFonts w:ascii="宋体" w:hAnsi="宋体" w:cs="宋体"/>
                <w:szCs w:val="21"/>
              </w:rPr>
              <w:t xml:space="preserve">     </w:t>
            </w:r>
          </w:p>
          <w:p w14:paraId="404F49BB">
            <w:pPr>
              <w:jc w:val="left"/>
              <w:rPr>
                <w:rFonts w:ascii="宋体" w:hAnsi="宋体" w:cs="宋体"/>
                <w:szCs w:val="21"/>
              </w:rPr>
            </w:pPr>
            <w:r>
              <w:rPr>
                <w:rFonts w:hint="eastAsia" w:ascii="宋体" w:hAnsi="宋体" w:cs="宋体"/>
                <w:szCs w:val="21"/>
              </w:rPr>
              <w:t>□重大变动重新报批项目</w:t>
            </w:r>
          </w:p>
        </w:tc>
      </w:tr>
      <w:tr w14:paraId="152A2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gridSpan w:val="3"/>
            <w:noWrap w:val="0"/>
            <w:tcMar>
              <w:top w:w="16" w:type="dxa"/>
              <w:left w:w="16" w:type="dxa"/>
              <w:right w:w="16" w:type="dxa"/>
            </w:tcMar>
            <w:vAlign w:val="center"/>
          </w:tcPr>
          <w:p w14:paraId="6A3AEB3A">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4E790CEE">
            <w:pPr>
              <w:adjustRightInd w:val="0"/>
              <w:snapToGrid w:val="0"/>
              <w:jc w:val="center"/>
              <w:rPr>
                <w:rFonts w:ascii="宋体" w:hAnsi="宋体" w:cs="宋体"/>
                <w:szCs w:val="21"/>
              </w:rPr>
            </w:pPr>
            <w:r>
              <w:rPr>
                <w:rFonts w:hint="eastAsia" w:ascii="宋体" w:hAnsi="宋体" w:cs="宋体"/>
                <w:szCs w:val="21"/>
              </w:rPr>
              <w:t>备案）部门（选填）</w:t>
            </w:r>
          </w:p>
        </w:tc>
        <w:tc>
          <w:tcPr>
            <w:tcW w:w="1637" w:type="dxa"/>
            <w:noWrap w:val="0"/>
            <w:vAlign w:val="center"/>
          </w:tcPr>
          <w:p w14:paraId="720542E2">
            <w:pPr>
              <w:adjustRightInd w:val="0"/>
              <w:snapToGrid w:val="0"/>
              <w:jc w:val="center"/>
              <w:rPr>
                <w:rFonts w:ascii="宋体" w:hAnsi="宋体" w:cs="宋体"/>
                <w:szCs w:val="21"/>
              </w:rPr>
            </w:pPr>
            <w:r>
              <w:rPr>
                <w:rFonts w:hint="eastAsia" w:ascii="宋体" w:hAnsi="宋体" w:cs="宋体"/>
                <w:szCs w:val="21"/>
                <w:lang w:val="en-US" w:eastAsia="zh-CN"/>
              </w:rPr>
              <w:t>/</w:t>
            </w:r>
          </w:p>
        </w:tc>
        <w:tc>
          <w:tcPr>
            <w:tcW w:w="2212" w:type="dxa"/>
            <w:noWrap w:val="0"/>
            <w:vAlign w:val="center"/>
          </w:tcPr>
          <w:p w14:paraId="3D74A125">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07F77D74">
            <w:pPr>
              <w:adjustRightInd w:val="0"/>
              <w:snapToGrid w:val="0"/>
              <w:jc w:val="center"/>
              <w:rPr>
                <w:rFonts w:hint="eastAsia" w:ascii="宋体" w:hAnsi="宋体" w:cs="宋体"/>
                <w:szCs w:val="21"/>
              </w:rPr>
            </w:pPr>
            <w:r>
              <w:rPr>
                <w:rFonts w:hint="eastAsia" w:ascii="宋体" w:hAnsi="宋体" w:cs="宋体"/>
                <w:szCs w:val="21"/>
              </w:rPr>
              <w:t>备案）文号（选填）</w:t>
            </w:r>
          </w:p>
        </w:tc>
        <w:tc>
          <w:tcPr>
            <w:tcW w:w="2639" w:type="dxa"/>
            <w:noWrap w:val="0"/>
            <w:vAlign w:val="center"/>
          </w:tcPr>
          <w:p w14:paraId="08DEF864">
            <w:pPr>
              <w:adjustRightInd w:val="0"/>
              <w:snapToGrid w:val="0"/>
              <w:jc w:val="center"/>
              <w:rPr>
                <w:rFonts w:ascii="宋体" w:hAnsi="宋体" w:cs="宋体"/>
                <w:szCs w:val="21"/>
              </w:rPr>
            </w:pPr>
            <w:r>
              <w:rPr>
                <w:rFonts w:hint="eastAsia" w:ascii="宋体" w:hAnsi="宋体" w:cs="宋体"/>
                <w:szCs w:val="21"/>
                <w:lang w:val="en-US" w:eastAsia="zh-CN"/>
              </w:rPr>
              <w:t>0000</w:t>
            </w:r>
            <w:r>
              <w:rPr>
                <w:rFonts w:hint="eastAsia" w:ascii="宋体" w:hAnsi="宋体" w:cs="宋体"/>
                <w:szCs w:val="21"/>
              </w:rPr>
              <w:t>-</w:t>
            </w:r>
            <w:r>
              <w:rPr>
                <w:rFonts w:hint="eastAsia" w:ascii="宋体" w:hAnsi="宋体" w:cs="宋体"/>
                <w:szCs w:val="21"/>
                <w:lang w:val="en-US" w:eastAsia="zh-CN"/>
              </w:rPr>
              <w:t>0</w:t>
            </w:r>
            <w:r>
              <w:rPr>
                <w:rFonts w:hint="eastAsia" w:ascii="宋体" w:hAnsi="宋体" w:cs="宋体"/>
                <w:szCs w:val="21"/>
              </w:rPr>
              <w:t>00</w:t>
            </w:r>
            <w:r>
              <w:rPr>
                <w:rFonts w:hint="eastAsia" w:ascii="宋体" w:hAnsi="宋体" w:cs="宋体"/>
                <w:szCs w:val="21"/>
                <w:lang w:val="en-US" w:eastAsia="zh-CN"/>
              </w:rPr>
              <w:t>00</w:t>
            </w:r>
            <w:r>
              <w:rPr>
                <w:rFonts w:hint="eastAsia" w:ascii="宋体" w:hAnsi="宋体" w:cs="宋体"/>
                <w:szCs w:val="21"/>
              </w:rPr>
              <w:t>0-0</w:t>
            </w:r>
            <w:r>
              <w:rPr>
                <w:rFonts w:hint="eastAsia" w:ascii="宋体" w:hAnsi="宋体" w:cs="宋体"/>
                <w:szCs w:val="21"/>
                <w:lang w:val="en-US" w:eastAsia="zh-CN"/>
              </w:rPr>
              <w:t>0</w:t>
            </w:r>
            <w:r>
              <w:rPr>
                <w:rFonts w:hint="eastAsia" w:ascii="宋体" w:hAnsi="宋体" w:cs="宋体"/>
                <w:szCs w:val="21"/>
              </w:rPr>
              <w:t>-0</w:t>
            </w:r>
            <w:r>
              <w:rPr>
                <w:rFonts w:hint="eastAsia" w:ascii="宋体" w:hAnsi="宋体" w:cs="宋体"/>
                <w:szCs w:val="21"/>
                <w:lang w:val="en-US" w:eastAsia="zh-CN"/>
              </w:rPr>
              <w:t>0</w:t>
            </w:r>
            <w:r>
              <w:rPr>
                <w:rFonts w:hint="eastAsia" w:ascii="宋体" w:hAnsi="宋体" w:cs="宋体"/>
                <w:szCs w:val="21"/>
              </w:rPr>
              <w:t>-</w:t>
            </w:r>
            <w:r>
              <w:rPr>
                <w:rFonts w:hint="eastAsia" w:ascii="宋体" w:hAnsi="宋体" w:cs="宋体"/>
                <w:szCs w:val="21"/>
                <w:lang w:val="en-US" w:eastAsia="zh-CN"/>
              </w:rPr>
              <w:t>00000</w:t>
            </w:r>
            <w:r>
              <w:rPr>
                <w:rFonts w:hint="eastAsia" w:ascii="宋体" w:hAnsi="宋体" w:cs="宋体"/>
                <w:szCs w:val="21"/>
              </w:rPr>
              <w:t>0</w:t>
            </w:r>
          </w:p>
        </w:tc>
      </w:tr>
      <w:tr w14:paraId="2B42A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6CAB1A8A">
            <w:pPr>
              <w:adjustRightInd w:val="0"/>
              <w:snapToGrid w:val="0"/>
              <w:jc w:val="center"/>
              <w:rPr>
                <w:rFonts w:ascii="宋体" w:hAnsi="宋体" w:cs="宋体"/>
                <w:szCs w:val="21"/>
              </w:rPr>
            </w:pPr>
            <w:r>
              <w:rPr>
                <w:rFonts w:hint="eastAsia" w:ascii="宋体" w:hAnsi="宋体" w:cs="宋体"/>
                <w:szCs w:val="21"/>
              </w:rPr>
              <w:t>总投资（万元）</w:t>
            </w:r>
          </w:p>
        </w:tc>
        <w:tc>
          <w:tcPr>
            <w:tcW w:w="1637" w:type="dxa"/>
            <w:noWrap w:val="0"/>
            <w:vAlign w:val="center"/>
          </w:tcPr>
          <w:p w14:paraId="7FFC1FCD">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25</w:t>
            </w:r>
          </w:p>
        </w:tc>
        <w:tc>
          <w:tcPr>
            <w:tcW w:w="2212" w:type="dxa"/>
            <w:noWrap w:val="0"/>
            <w:tcMar>
              <w:top w:w="16" w:type="dxa"/>
              <w:left w:w="16" w:type="dxa"/>
              <w:right w:w="16" w:type="dxa"/>
            </w:tcMar>
            <w:vAlign w:val="center"/>
          </w:tcPr>
          <w:p w14:paraId="6FEBAB8B">
            <w:pPr>
              <w:adjustRightInd w:val="0"/>
              <w:snapToGrid w:val="0"/>
              <w:jc w:val="center"/>
              <w:rPr>
                <w:rFonts w:ascii="宋体" w:hAnsi="宋体" w:cs="宋体"/>
                <w:szCs w:val="21"/>
              </w:rPr>
            </w:pPr>
            <w:r>
              <w:rPr>
                <w:rFonts w:hint="eastAsia" w:ascii="宋体" w:hAnsi="宋体" w:cs="宋体"/>
                <w:szCs w:val="21"/>
              </w:rPr>
              <w:t>环保投资（万元）</w:t>
            </w:r>
          </w:p>
        </w:tc>
        <w:tc>
          <w:tcPr>
            <w:tcW w:w="2639" w:type="dxa"/>
            <w:noWrap w:val="0"/>
            <w:vAlign w:val="center"/>
          </w:tcPr>
          <w:p w14:paraId="5DBCA5B0">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0.5</w:t>
            </w:r>
          </w:p>
        </w:tc>
      </w:tr>
      <w:tr w14:paraId="2317D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0FC077F2">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1637" w:type="dxa"/>
            <w:noWrap w:val="0"/>
            <w:vAlign w:val="center"/>
          </w:tcPr>
          <w:p w14:paraId="2E71ACF3">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w:t>
            </w:r>
          </w:p>
        </w:tc>
        <w:tc>
          <w:tcPr>
            <w:tcW w:w="2212" w:type="dxa"/>
            <w:noWrap w:val="0"/>
            <w:tcMar>
              <w:top w:w="16" w:type="dxa"/>
              <w:left w:w="16" w:type="dxa"/>
              <w:right w:w="16" w:type="dxa"/>
            </w:tcMar>
            <w:vAlign w:val="center"/>
          </w:tcPr>
          <w:p w14:paraId="192F1F3E">
            <w:pPr>
              <w:adjustRightInd w:val="0"/>
              <w:snapToGrid w:val="0"/>
              <w:jc w:val="center"/>
              <w:rPr>
                <w:rFonts w:ascii="宋体" w:hAnsi="宋体" w:cs="宋体"/>
                <w:szCs w:val="21"/>
              </w:rPr>
            </w:pPr>
            <w:r>
              <w:rPr>
                <w:rFonts w:hint="eastAsia" w:ascii="宋体" w:hAnsi="宋体" w:cs="宋体"/>
                <w:szCs w:val="21"/>
              </w:rPr>
              <w:t>施工工期</w:t>
            </w:r>
          </w:p>
        </w:tc>
        <w:tc>
          <w:tcPr>
            <w:tcW w:w="2639" w:type="dxa"/>
            <w:noWrap w:val="0"/>
            <w:vAlign w:val="center"/>
          </w:tcPr>
          <w:p w14:paraId="2A07F930">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2月</w:t>
            </w:r>
          </w:p>
        </w:tc>
      </w:tr>
      <w:tr w14:paraId="5964B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gridSpan w:val="3"/>
            <w:noWrap w:val="0"/>
            <w:tcMar>
              <w:top w:w="16" w:type="dxa"/>
              <w:left w:w="16" w:type="dxa"/>
              <w:right w:w="16" w:type="dxa"/>
            </w:tcMar>
            <w:vAlign w:val="center"/>
          </w:tcPr>
          <w:p w14:paraId="400EE3AE">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1637" w:type="dxa"/>
            <w:noWrap w:val="0"/>
            <w:vAlign w:val="center"/>
          </w:tcPr>
          <w:p w14:paraId="5A82443A">
            <w:pPr>
              <w:adjustRightInd w:val="0"/>
              <w:snapToGrid w:val="0"/>
              <w:rPr>
                <w:rFonts w:ascii="宋体" w:hAnsi="宋体" w:cs="宋体"/>
                <w:szCs w:val="21"/>
              </w:rPr>
            </w:pPr>
            <w:r>
              <w:rPr>
                <w:rFonts w:hint="eastAsia" w:ascii="宋体" w:hAnsi="宋体" w:cs="宋体"/>
                <w:szCs w:val="21"/>
              </w:rPr>
              <w:sym w:font="Wingdings 2" w:char="0052"/>
            </w:r>
            <w:r>
              <w:rPr>
                <w:rFonts w:hint="eastAsia" w:ascii="宋体" w:hAnsi="宋体" w:cs="宋体"/>
                <w:szCs w:val="21"/>
              </w:rPr>
              <w:t>否</w:t>
            </w:r>
          </w:p>
          <w:p w14:paraId="5E1495D8">
            <w:pPr>
              <w:adjustRightInd w:val="0"/>
              <w:snapToGrid w:val="0"/>
              <w:rPr>
                <w:rFonts w:ascii="宋体" w:hAnsi="宋体" w:cs="宋体"/>
                <w:szCs w:val="21"/>
              </w:rPr>
            </w:pPr>
            <w:r>
              <w:rPr>
                <w:rFonts w:hint="eastAsia" w:ascii="宋体" w:hAnsi="宋体" w:cs="宋体"/>
                <w:szCs w:val="21"/>
              </w:rPr>
              <w:sym w:font="Wingdings 2" w:char="00A3"/>
            </w:r>
            <w:r>
              <w:rPr>
                <w:rFonts w:hint="eastAsia" w:ascii="宋体" w:hAnsi="宋体" w:cs="宋体"/>
                <w:szCs w:val="21"/>
              </w:rPr>
              <w:t>是</w:t>
            </w:r>
          </w:p>
        </w:tc>
        <w:tc>
          <w:tcPr>
            <w:tcW w:w="2212" w:type="dxa"/>
            <w:noWrap w:val="0"/>
            <w:tcMar>
              <w:top w:w="16" w:type="dxa"/>
              <w:left w:w="16" w:type="dxa"/>
              <w:right w:w="16" w:type="dxa"/>
            </w:tcMar>
            <w:vAlign w:val="center"/>
          </w:tcPr>
          <w:p w14:paraId="1EADB960">
            <w:pPr>
              <w:adjustRightInd w:val="0"/>
              <w:snapToGrid w:val="0"/>
              <w:jc w:val="center"/>
              <w:rPr>
                <w:rFonts w:ascii="宋体" w:hAnsi="宋体" w:cs="宋体"/>
                <w:spacing w:val="-6"/>
                <w:szCs w:val="21"/>
              </w:rPr>
            </w:pPr>
            <w:r>
              <w:rPr>
                <w:rFonts w:hint="eastAsia" w:ascii="宋体" w:hAnsi="宋体" w:cs="宋体"/>
                <w:spacing w:val="-6"/>
                <w:szCs w:val="21"/>
              </w:rPr>
              <w:t>用地（用海）</w:t>
            </w:r>
          </w:p>
          <w:p w14:paraId="59F37D89">
            <w:pPr>
              <w:adjustRightInd w:val="0"/>
              <w:snapToGrid w:val="0"/>
              <w:jc w:val="center"/>
              <w:rPr>
                <w:rFonts w:hint="eastAsia" w:ascii="宋体" w:hAnsi="宋体" w:cs="宋体"/>
                <w:szCs w:val="21"/>
              </w:rPr>
            </w:pPr>
            <w:r>
              <w:rPr>
                <w:rFonts w:hint="eastAsia" w:ascii="宋体" w:hAnsi="宋体" w:cs="宋体"/>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hint="eastAsia" w:ascii="宋体" w:hAnsi="宋体" w:cs="宋体"/>
                <w:spacing w:val="-6"/>
                <w:szCs w:val="21"/>
              </w:rPr>
              <w:t>）</w:t>
            </w:r>
          </w:p>
        </w:tc>
        <w:tc>
          <w:tcPr>
            <w:tcW w:w="2639" w:type="dxa"/>
            <w:noWrap w:val="0"/>
            <w:vAlign w:val="center"/>
          </w:tcPr>
          <w:p w14:paraId="44E564B1">
            <w:pPr>
              <w:adjustRightInd w:val="0"/>
              <w:snapToGrid w:val="0"/>
              <w:jc w:val="center"/>
              <w:rPr>
                <w:rFonts w:hint="default" w:ascii="宋体" w:hAnsi="宋体" w:eastAsia="宋体" w:cs="宋体"/>
                <w:szCs w:val="21"/>
                <w:lang w:val="en-US" w:eastAsia="zh-CN"/>
              </w:rPr>
            </w:pPr>
            <w:r>
              <w:rPr>
                <w:rFonts w:hint="eastAsia" w:ascii="宋体" w:hAnsi="宋体" w:cs="宋体"/>
                <w:szCs w:val="21"/>
                <w:lang w:val="en-US" w:eastAsia="zh-CN"/>
              </w:rPr>
              <w:t>144</w:t>
            </w:r>
          </w:p>
        </w:tc>
      </w:tr>
      <w:tr w14:paraId="16395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8" w:type="dxa"/>
            <w:gridSpan w:val="2"/>
            <w:noWrap w:val="0"/>
            <w:vAlign w:val="center"/>
          </w:tcPr>
          <w:p w14:paraId="1A4C0065">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7702" w:type="dxa"/>
            <w:gridSpan w:val="4"/>
            <w:noWrap w:val="0"/>
            <w:vAlign w:val="center"/>
          </w:tcPr>
          <w:p w14:paraId="1400CEA9">
            <w:pPr>
              <w:autoSpaceDE w:val="0"/>
              <w:autoSpaceDN w:val="0"/>
              <w:adjustRightInd w:val="0"/>
              <w:snapToGrid w:val="0"/>
              <w:jc w:val="center"/>
              <w:rPr>
                <w:rFonts w:ascii="宋体" w:hAnsi="宋体" w:cs="宋体"/>
                <w:kern w:val="0"/>
                <w:szCs w:val="21"/>
                <w:vertAlign w:val="baseline"/>
              </w:rPr>
            </w:pPr>
            <w:r>
              <w:rPr>
                <w:rFonts w:hint="default" w:ascii="Times New Roman" w:hAnsi="Times New Roman" w:cs="Times New Roman"/>
                <w:kern w:val="0"/>
                <w:szCs w:val="21"/>
              </w:rPr>
              <w:t>表</w:t>
            </w:r>
            <w:r>
              <w:rPr>
                <w:rFonts w:hint="eastAsia" w:ascii="Times New Roman" w:hAnsi="Times New Roman" w:cs="Times New Roman"/>
                <w:kern w:val="0"/>
                <w:szCs w:val="21"/>
                <w:lang w:val="en-US" w:eastAsia="zh-CN"/>
              </w:rPr>
              <w:t xml:space="preserve"> </w:t>
            </w:r>
            <w:r>
              <w:rPr>
                <w:rFonts w:hint="default" w:ascii="Times New Roman" w:hAnsi="Times New Roman" w:cs="Times New Roman"/>
                <w:kern w:val="0"/>
                <w:szCs w:val="21"/>
              </w:rPr>
              <w:t>专项评价设置原则表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3618"/>
              <w:gridCol w:w="2681"/>
            </w:tblGrid>
            <w:tr w14:paraId="3D302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6617F4AB">
                  <w:pPr>
                    <w:autoSpaceDE w:val="0"/>
                    <w:autoSpaceDN w:val="0"/>
                    <w:adjustRightInd w:val="0"/>
                    <w:snapToGrid w:val="0"/>
                    <w:jc w:val="center"/>
                    <w:rPr>
                      <w:rFonts w:hint="default" w:ascii="Times New Roman" w:hAnsi="Times New Roman" w:eastAsia="宋体" w:cs="Times New Roman"/>
                      <w:kern w:val="0"/>
                      <w:szCs w:val="21"/>
                      <w:vertAlign w:val="baseline"/>
                      <w:lang w:val="en-US" w:eastAsia="zh-CN"/>
                    </w:rPr>
                  </w:pPr>
                  <w:r>
                    <w:rPr>
                      <w:rFonts w:hint="default" w:ascii="Times New Roman" w:hAnsi="Times New Roman" w:cs="Times New Roman"/>
                      <w:kern w:val="0"/>
                      <w:szCs w:val="21"/>
                      <w:vertAlign w:val="baseline"/>
                      <w:lang w:val="en-US" w:eastAsia="zh-CN"/>
                    </w:rPr>
                    <w:t>专项评价类别</w:t>
                  </w:r>
                </w:p>
              </w:tc>
              <w:tc>
                <w:tcPr>
                  <w:tcW w:w="2427" w:type="pct"/>
                  <w:tcBorders>
                    <w:tl2br w:val="nil"/>
                    <w:tr2bl w:val="nil"/>
                  </w:tcBorders>
                  <w:noWrap w:val="0"/>
                  <w:vAlign w:val="center"/>
                </w:tcPr>
                <w:p w14:paraId="2F623705">
                  <w:pPr>
                    <w:autoSpaceDE w:val="0"/>
                    <w:autoSpaceDN w:val="0"/>
                    <w:adjustRightInd w:val="0"/>
                    <w:snapToGrid w:val="0"/>
                    <w:jc w:val="center"/>
                    <w:rPr>
                      <w:rFonts w:hint="default" w:ascii="Times New Roman" w:hAnsi="Times New Roman" w:eastAsia="宋体" w:cs="Times New Roman"/>
                      <w:kern w:val="0"/>
                      <w:szCs w:val="21"/>
                      <w:vertAlign w:val="baseline"/>
                      <w:lang w:val="en-US" w:eastAsia="zh-CN"/>
                    </w:rPr>
                  </w:pPr>
                  <w:r>
                    <w:rPr>
                      <w:rFonts w:hint="default" w:ascii="Times New Roman" w:hAnsi="Times New Roman" w:cs="Times New Roman"/>
                      <w:kern w:val="0"/>
                      <w:szCs w:val="21"/>
                      <w:vertAlign w:val="baseline"/>
                      <w:lang w:val="en-US" w:eastAsia="zh-CN"/>
                    </w:rPr>
                    <w:t>设置原则</w:t>
                  </w:r>
                </w:p>
              </w:tc>
              <w:tc>
                <w:tcPr>
                  <w:tcW w:w="1798" w:type="pct"/>
                  <w:tcBorders>
                    <w:tl2br w:val="nil"/>
                    <w:tr2bl w:val="nil"/>
                  </w:tcBorders>
                  <w:noWrap w:val="0"/>
                  <w:vAlign w:val="center"/>
                </w:tcPr>
                <w:p w14:paraId="1C864283">
                  <w:pPr>
                    <w:autoSpaceDE w:val="0"/>
                    <w:autoSpaceDN w:val="0"/>
                    <w:adjustRightInd w:val="0"/>
                    <w:snapToGrid w:val="0"/>
                    <w:jc w:val="center"/>
                    <w:rPr>
                      <w:rFonts w:hint="default" w:ascii="Times New Roman" w:hAnsi="Times New Roman" w:eastAsia="宋体" w:cs="Times New Roman"/>
                      <w:kern w:val="0"/>
                      <w:szCs w:val="21"/>
                      <w:vertAlign w:val="baseline"/>
                      <w:lang w:val="en-US" w:eastAsia="zh-CN"/>
                    </w:rPr>
                  </w:pPr>
                  <w:r>
                    <w:rPr>
                      <w:rFonts w:hint="default" w:ascii="Times New Roman" w:hAnsi="Times New Roman" w:cs="Times New Roman"/>
                      <w:kern w:val="0"/>
                      <w:szCs w:val="21"/>
                      <w:vertAlign w:val="baseline"/>
                      <w:lang w:val="en-US" w:eastAsia="zh-CN"/>
                    </w:rPr>
                    <w:t>本项目专项评价设置情况</w:t>
                  </w:r>
                </w:p>
              </w:tc>
            </w:tr>
            <w:tr w14:paraId="04299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2F462366">
                  <w:pPr>
                    <w:autoSpaceDE w:val="0"/>
                    <w:autoSpaceDN w:val="0"/>
                    <w:adjustRightInd w:val="0"/>
                    <w:snapToGrid w:val="0"/>
                    <w:jc w:val="center"/>
                    <w:rPr>
                      <w:rFonts w:hint="default" w:ascii="Times New Roman" w:hAnsi="Times New Roman" w:eastAsia="宋体" w:cs="Times New Roman"/>
                      <w:kern w:val="0"/>
                      <w:szCs w:val="21"/>
                      <w:vertAlign w:val="baseline"/>
                      <w:lang w:val="en-US" w:eastAsia="zh-CN"/>
                    </w:rPr>
                  </w:pPr>
                  <w:r>
                    <w:rPr>
                      <w:rFonts w:hint="default" w:ascii="Times New Roman" w:hAnsi="Times New Roman" w:cs="Times New Roman"/>
                      <w:kern w:val="0"/>
                      <w:szCs w:val="21"/>
                      <w:vertAlign w:val="baseline"/>
                      <w:lang w:val="en-US" w:eastAsia="zh-CN"/>
                    </w:rPr>
                    <w:t>大气</w:t>
                  </w:r>
                </w:p>
              </w:tc>
              <w:tc>
                <w:tcPr>
                  <w:tcW w:w="2427" w:type="pct"/>
                  <w:tcBorders>
                    <w:tl2br w:val="nil"/>
                    <w:tr2bl w:val="nil"/>
                  </w:tcBorders>
                  <w:noWrap w:val="0"/>
                  <w:vAlign w:val="center"/>
                </w:tcPr>
                <w:p w14:paraId="4E907846">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排放废气含有毒有害污染物、二噁英、苯并</w:t>
                  </w:r>
                  <w:r>
                    <w:rPr>
                      <w:rFonts w:hint="eastAsia" w:cs="Times New Roman"/>
                      <w:kern w:val="0"/>
                      <w:szCs w:val="21"/>
                      <w:vertAlign w:val="baseline"/>
                      <w:lang w:eastAsia="zh-CN"/>
                    </w:rPr>
                    <w:t>【</w:t>
                  </w:r>
                  <w:r>
                    <w:rPr>
                      <w:rFonts w:hint="default" w:ascii="Times New Roman" w:hAnsi="Times New Roman" w:cs="Times New Roman"/>
                      <w:kern w:val="0"/>
                      <w:szCs w:val="21"/>
                      <w:vertAlign w:val="baseline"/>
                    </w:rPr>
                    <w:t>a</w:t>
                  </w:r>
                  <w:r>
                    <w:rPr>
                      <w:rFonts w:hint="eastAsia" w:cs="Times New Roman"/>
                      <w:kern w:val="0"/>
                      <w:szCs w:val="21"/>
                      <w:vertAlign w:val="baseline"/>
                      <w:lang w:eastAsia="zh-CN"/>
                    </w:rPr>
                    <w:t>】</w:t>
                  </w:r>
                  <w:r>
                    <w:rPr>
                      <w:rFonts w:hint="default" w:ascii="Times New Roman" w:hAnsi="Times New Roman" w:cs="Times New Roman"/>
                      <w:kern w:val="0"/>
                      <w:szCs w:val="21"/>
                      <w:vertAlign w:val="baseline"/>
                    </w:rPr>
                    <w:t>芘、氰化物、氯气且厂界外 500m范围内有环境空气保护目标的建设项目</w:t>
                  </w:r>
                </w:p>
              </w:tc>
              <w:tc>
                <w:tcPr>
                  <w:tcW w:w="1798" w:type="pct"/>
                  <w:tcBorders>
                    <w:tl2br w:val="nil"/>
                    <w:tr2bl w:val="nil"/>
                  </w:tcBorders>
                  <w:noWrap w:val="0"/>
                  <w:vAlign w:val="center"/>
                </w:tcPr>
                <w:p w14:paraId="4EAA4238">
                  <w:pPr>
                    <w:autoSpaceDE w:val="0"/>
                    <w:autoSpaceDN w:val="0"/>
                    <w:adjustRightInd w:val="0"/>
                    <w:snapToGrid w:val="0"/>
                    <w:jc w:val="center"/>
                    <w:rPr>
                      <w:rFonts w:hint="default" w:ascii="Times New Roman" w:hAnsi="Times New Roman" w:eastAsia="宋体" w:cs="Times New Roman"/>
                      <w:kern w:val="0"/>
                      <w:szCs w:val="21"/>
                      <w:vertAlign w:val="baseline"/>
                      <w:lang w:val="en-US" w:eastAsia="zh-CN"/>
                    </w:rPr>
                  </w:pPr>
                  <w:r>
                    <w:rPr>
                      <w:rFonts w:hint="default" w:ascii="Times New Roman" w:hAnsi="Times New Roman" w:cs="Times New Roman"/>
                      <w:kern w:val="0"/>
                      <w:szCs w:val="21"/>
                      <w:vertAlign w:val="baseline"/>
                    </w:rPr>
                    <w:t>本项目排放的废气不涉及有毒有害污染物、二噁英、苯并</w:t>
                  </w:r>
                  <w:r>
                    <w:rPr>
                      <w:rFonts w:hint="eastAsia" w:cs="Times New Roman"/>
                      <w:kern w:val="0"/>
                      <w:szCs w:val="21"/>
                      <w:vertAlign w:val="baseline"/>
                      <w:lang w:eastAsia="zh-CN"/>
                    </w:rPr>
                    <w:t>【</w:t>
                  </w:r>
                  <w:r>
                    <w:rPr>
                      <w:rFonts w:hint="default" w:ascii="Times New Roman" w:hAnsi="Times New Roman" w:cs="Times New Roman"/>
                      <w:kern w:val="0"/>
                      <w:szCs w:val="21"/>
                      <w:vertAlign w:val="baseline"/>
                    </w:rPr>
                    <w:t>a</w:t>
                  </w:r>
                  <w:r>
                    <w:rPr>
                      <w:rFonts w:hint="eastAsia" w:cs="Times New Roman"/>
                      <w:kern w:val="0"/>
                      <w:szCs w:val="21"/>
                      <w:vertAlign w:val="baseline"/>
                      <w:lang w:eastAsia="zh-CN"/>
                    </w:rPr>
                    <w:t>】</w:t>
                  </w:r>
                  <w:r>
                    <w:rPr>
                      <w:rFonts w:hint="default" w:ascii="Times New Roman" w:hAnsi="Times New Roman" w:cs="Times New Roman"/>
                      <w:kern w:val="0"/>
                      <w:szCs w:val="21"/>
                      <w:vertAlign w:val="baseline"/>
                    </w:rPr>
                    <w:t>芘、氰化物、氯气</w:t>
                  </w:r>
                  <w:r>
                    <w:rPr>
                      <w:rFonts w:hint="eastAsia" w:cs="Times New Roman"/>
                      <w:kern w:val="0"/>
                      <w:szCs w:val="21"/>
                      <w:vertAlign w:val="baseline"/>
                      <w:lang w:eastAsia="zh-CN"/>
                    </w:rPr>
                    <w:t>，无须设置</w:t>
                  </w:r>
                  <w:r>
                    <w:rPr>
                      <w:rFonts w:hint="eastAsia" w:cs="Times New Roman"/>
                      <w:kern w:val="0"/>
                      <w:szCs w:val="21"/>
                      <w:vertAlign w:val="baseline"/>
                      <w:lang w:val="en-US" w:eastAsia="zh-CN"/>
                    </w:rPr>
                    <w:t>专项评价</w:t>
                  </w:r>
                </w:p>
              </w:tc>
            </w:tr>
            <w:tr w14:paraId="366AB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36C41D29">
                  <w:pPr>
                    <w:autoSpaceDE w:val="0"/>
                    <w:autoSpaceDN w:val="0"/>
                    <w:adjustRightInd w:val="0"/>
                    <w:snapToGrid w:val="0"/>
                    <w:jc w:val="center"/>
                    <w:rPr>
                      <w:rFonts w:hint="eastAsia" w:ascii="Times New Roman" w:hAnsi="Times New Roman" w:eastAsia="宋体"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地表水</w:t>
                  </w:r>
                </w:p>
              </w:tc>
              <w:tc>
                <w:tcPr>
                  <w:tcW w:w="2427" w:type="pct"/>
                  <w:tcBorders>
                    <w:tl2br w:val="nil"/>
                    <w:tr2bl w:val="nil"/>
                  </w:tcBorders>
                  <w:noWrap w:val="0"/>
                  <w:vAlign w:val="center"/>
                </w:tcPr>
                <w:p w14:paraId="77469D5B">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新增工业废水直排建设项目</w:t>
                  </w:r>
                  <w:r>
                    <w:rPr>
                      <w:rFonts w:hint="eastAsia" w:ascii="Times New Roman" w:hAnsi="Times New Roman" w:cs="Times New Roman"/>
                      <w:kern w:val="0"/>
                      <w:szCs w:val="21"/>
                      <w:vertAlign w:val="baseline"/>
                      <w:lang w:eastAsia="zh-CN"/>
                    </w:rPr>
                    <w:t>（</w:t>
                  </w:r>
                  <w:r>
                    <w:rPr>
                      <w:rFonts w:hint="default" w:ascii="Times New Roman" w:hAnsi="Times New Roman" w:cs="Times New Roman"/>
                      <w:kern w:val="0"/>
                      <w:szCs w:val="21"/>
                      <w:vertAlign w:val="baseline"/>
                    </w:rPr>
                    <w:t>槽罐车外送污水处理厂的除外</w:t>
                  </w:r>
                  <w:r>
                    <w:rPr>
                      <w:rFonts w:hint="eastAsia" w:ascii="Times New Roman" w:hAnsi="Times New Roman" w:cs="Times New Roman"/>
                      <w:kern w:val="0"/>
                      <w:szCs w:val="21"/>
                      <w:vertAlign w:val="baseline"/>
                      <w:lang w:eastAsia="zh-CN"/>
                    </w:rPr>
                    <w:t>）：</w:t>
                  </w:r>
                  <w:r>
                    <w:rPr>
                      <w:rFonts w:hint="default" w:ascii="Times New Roman" w:hAnsi="Times New Roman" w:cs="Times New Roman"/>
                      <w:kern w:val="0"/>
                      <w:szCs w:val="21"/>
                      <w:vertAlign w:val="baseline"/>
                    </w:rPr>
                    <w:t>新增废水直排的污水集中处理厂</w:t>
                  </w:r>
                </w:p>
              </w:tc>
              <w:tc>
                <w:tcPr>
                  <w:tcW w:w="1798" w:type="pct"/>
                  <w:tcBorders>
                    <w:tl2br w:val="nil"/>
                    <w:tr2bl w:val="nil"/>
                  </w:tcBorders>
                  <w:noWrap w:val="0"/>
                  <w:vAlign w:val="center"/>
                </w:tcPr>
                <w:p w14:paraId="26EC7CC5">
                  <w:pPr>
                    <w:autoSpaceDE w:val="0"/>
                    <w:autoSpaceDN w:val="0"/>
                    <w:adjustRightInd w:val="0"/>
                    <w:snapToGrid w:val="0"/>
                    <w:jc w:val="center"/>
                    <w:rPr>
                      <w:rFonts w:hint="default" w:ascii="Times New Roman" w:hAnsi="Times New Roman" w:eastAsia="宋体"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本项目无废水直排</w:t>
                  </w:r>
                  <w:r>
                    <w:rPr>
                      <w:rFonts w:hint="eastAsia" w:cs="Times New Roman"/>
                      <w:kern w:val="0"/>
                      <w:szCs w:val="21"/>
                      <w:vertAlign w:val="baseline"/>
                      <w:lang w:eastAsia="zh-CN"/>
                    </w:rPr>
                    <w:t>，无须设置</w:t>
                  </w:r>
                  <w:r>
                    <w:rPr>
                      <w:rFonts w:hint="eastAsia" w:cs="Times New Roman"/>
                      <w:kern w:val="0"/>
                      <w:szCs w:val="21"/>
                      <w:vertAlign w:val="baseline"/>
                      <w:lang w:val="en-US" w:eastAsia="zh-CN"/>
                    </w:rPr>
                    <w:t>专项评价</w:t>
                  </w:r>
                </w:p>
              </w:tc>
            </w:tr>
            <w:tr w14:paraId="57329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6E02FEE0">
                  <w:pPr>
                    <w:autoSpaceDE w:val="0"/>
                    <w:autoSpaceDN w:val="0"/>
                    <w:adjustRightInd w:val="0"/>
                    <w:snapToGrid w:val="0"/>
                    <w:jc w:val="center"/>
                    <w:rPr>
                      <w:rFonts w:hint="eastAsia" w:ascii="Times New Roman" w:hAnsi="Times New Roman" w:eastAsia="宋体"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环境风险</w:t>
                  </w:r>
                </w:p>
              </w:tc>
              <w:tc>
                <w:tcPr>
                  <w:tcW w:w="2427" w:type="pct"/>
                  <w:tcBorders>
                    <w:tl2br w:val="nil"/>
                    <w:tr2bl w:val="nil"/>
                  </w:tcBorders>
                  <w:noWrap w:val="0"/>
                  <w:vAlign w:val="center"/>
                </w:tcPr>
                <w:p w14:paraId="6D22525D">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有毒有害和易燃易爆危险物质存储量超过临界量的建设项目</w:t>
                  </w:r>
                </w:p>
              </w:tc>
              <w:tc>
                <w:tcPr>
                  <w:tcW w:w="1798" w:type="pct"/>
                  <w:tcBorders>
                    <w:tl2br w:val="nil"/>
                    <w:tr2bl w:val="nil"/>
                  </w:tcBorders>
                  <w:noWrap w:val="0"/>
                  <w:vAlign w:val="center"/>
                </w:tcPr>
                <w:p w14:paraId="544F265A">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本项目涉及</w:t>
                  </w:r>
                  <w:r>
                    <w:rPr>
                      <w:rFonts w:hint="eastAsia" w:cs="Times New Roman"/>
                      <w:kern w:val="0"/>
                      <w:szCs w:val="21"/>
                      <w:vertAlign w:val="baseline"/>
                      <w:lang w:val="en-US" w:eastAsia="zh-CN"/>
                    </w:rPr>
                    <w:t>的</w:t>
                  </w:r>
                  <w:r>
                    <w:rPr>
                      <w:rFonts w:hint="default" w:ascii="Times New Roman" w:hAnsi="Times New Roman" w:cs="Times New Roman"/>
                      <w:kern w:val="0"/>
                      <w:szCs w:val="21"/>
                      <w:vertAlign w:val="baseline"/>
                    </w:rPr>
                    <w:t>有毒有害物质</w:t>
                  </w:r>
                  <w:r>
                    <w:rPr>
                      <w:rFonts w:hint="eastAsia" w:cs="Times New Roman"/>
                      <w:kern w:val="0"/>
                      <w:szCs w:val="21"/>
                      <w:vertAlign w:val="baseline"/>
                      <w:lang w:val="en-US" w:eastAsia="zh-CN"/>
                    </w:rPr>
                    <w:t>和</w:t>
                  </w:r>
                  <w:r>
                    <w:rPr>
                      <w:rFonts w:hint="default" w:ascii="Times New Roman" w:hAnsi="Times New Roman" w:cs="Times New Roman"/>
                      <w:kern w:val="0"/>
                      <w:szCs w:val="21"/>
                      <w:vertAlign w:val="baseline"/>
                    </w:rPr>
                    <w:t>易燃易爆物质存放量未超过临界量</w:t>
                  </w:r>
                  <w:r>
                    <w:rPr>
                      <w:rFonts w:hint="eastAsia" w:cs="Times New Roman"/>
                      <w:kern w:val="0"/>
                      <w:szCs w:val="21"/>
                      <w:vertAlign w:val="baseline"/>
                      <w:lang w:eastAsia="zh-CN"/>
                    </w:rPr>
                    <w:t>，无须设置</w:t>
                  </w:r>
                  <w:r>
                    <w:rPr>
                      <w:rFonts w:hint="eastAsia" w:cs="Times New Roman"/>
                      <w:kern w:val="0"/>
                      <w:szCs w:val="21"/>
                      <w:vertAlign w:val="baseline"/>
                      <w:lang w:val="en-US" w:eastAsia="zh-CN"/>
                    </w:rPr>
                    <w:t>专项评价</w:t>
                  </w:r>
                </w:p>
              </w:tc>
            </w:tr>
            <w:tr w14:paraId="78F240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3AD4AEDA">
                  <w:pPr>
                    <w:autoSpaceDE w:val="0"/>
                    <w:autoSpaceDN w:val="0"/>
                    <w:adjustRightInd w:val="0"/>
                    <w:snapToGrid w:val="0"/>
                    <w:jc w:val="center"/>
                    <w:rPr>
                      <w:rFonts w:hint="eastAsia" w:ascii="Times New Roman" w:hAnsi="Times New Roman" w:eastAsia="宋体"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生态</w:t>
                  </w:r>
                </w:p>
              </w:tc>
              <w:tc>
                <w:tcPr>
                  <w:tcW w:w="2427" w:type="pct"/>
                  <w:tcBorders>
                    <w:tl2br w:val="nil"/>
                    <w:tr2bl w:val="nil"/>
                  </w:tcBorders>
                  <w:noWrap w:val="0"/>
                  <w:vAlign w:val="center"/>
                </w:tcPr>
                <w:p w14:paraId="5E817101">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取水口下游500 米范围内有重要水生 生物的自然产卵场、索饵场、越冬场和洄游通道的新增河道取水的污染类建设项目</w:t>
                  </w:r>
                </w:p>
              </w:tc>
              <w:tc>
                <w:tcPr>
                  <w:tcW w:w="1798" w:type="pct"/>
                  <w:tcBorders>
                    <w:tl2br w:val="nil"/>
                    <w:tr2bl w:val="nil"/>
                  </w:tcBorders>
                  <w:noWrap w:val="0"/>
                  <w:vAlign w:val="center"/>
                </w:tcPr>
                <w:p w14:paraId="5EACD205">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本项目不涉及取水口</w:t>
                  </w:r>
                  <w:r>
                    <w:rPr>
                      <w:rFonts w:hint="eastAsia" w:cs="Times New Roman"/>
                      <w:kern w:val="0"/>
                      <w:szCs w:val="21"/>
                      <w:vertAlign w:val="baseline"/>
                      <w:lang w:eastAsia="zh-CN"/>
                    </w:rPr>
                    <w:t>，无须设置</w:t>
                  </w:r>
                  <w:r>
                    <w:rPr>
                      <w:rFonts w:hint="eastAsia" w:cs="Times New Roman"/>
                      <w:kern w:val="0"/>
                      <w:szCs w:val="21"/>
                      <w:vertAlign w:val="baseline"/>
                      <w:lang w:val="en-US" w:eastAsia="zh-CN"/>
                    </w:rPr>
                    <w:t>专项评价</w:t>
                  </w:r>
                </w:p>
              </w:tc>
            </w:tr>
            <w:tr w14:paraId="378D0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4" w:type="pct"/>
                  <w:tcBorders>
                    <w:tl2br w:val="nil"/>
                    <w:tr2bl w:val="nil"/>
                  </w:tcBorders>
                  <w:noWrap w:val="0"/>
                  <w:vAlign w:val="center"/>
                </w:tcPr>
                <w:p w14:paraId="4E666DD8">
                  <w:pPr>
                    <w:autoSpaceDE w:val="0"/>
                    <w:autoSpaceDN w:val="0"/>
                    <w:adjustRightInd w:val="0"/>
                    <w:snapToGrid w:val="0"/>
                    <w:jc w:val="center"/>
                    <w:rPr>
                      <w:rFonts w:hint="default" w:ascii="Times New Roman" w:hAnsi="Times New Roman" w:cs="Times New Roman"/>
                      <w:kern w:val="0"/>
                      <w:szCs w:val="21"/>
                      <w:vertAlign w:val="baseline"/>
                      <w:lang w:val="en-US" w:eastAsia="zh-CN"/>
                    </w:rPr>
                  </w:pPr>
                  <w:r>
                    <w:rPr>
                      <w:rFonts w:hint="eastAsia" w:ascii="Times New Roman" w:hAnsi="Times New Roman" w:cs="Times New Roman"/>
                      <w:kern w:val="0"/>
                      <w:szCs w:val="21"/>
                      <w:vertAlign w:val="baseline"/>
                      <w:lang w:val="en-US" w:eastAsia="zh-CN"/>
                    </w:rPr>
                    <w:t>海洋</w:t>
                  </w:r>
                </w:p>
              </w:tc>
              <w:tc>
                <w:tcPr>
                  <w:tcW w:w="2427" w:type="pct"/>
                  <w:tcBorders>
                    <w:tl2br w:val="nil"/>
                    <w:tr2bl w:val="nil"/>
                  </w:tcBorders>
                  <w:noWrap w:val="0"/>
                  <w:vAlign w:val="center"/>
                </w:tcPr>
                <w:p w14:paraId="1D633F1E">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直接向海排放污染物的海洋工程建设项目</w:t>
                  </w:r>
                </w:p>
              </w:tc>
              <w:tc>
                <w:tcPr>
                  <w:tcW w:w="1798" w:type="pct"/>
                  <w:tcBorders>
                    <w:tl2br w:val="nil"/>
                    <w:tr2bl w:val="nil"/>
                  </w:tcBorders>
                  <w:noWrap w:val="0"/>
                  <w:vAlign w:val="center"/>
                </w:tcPr>
                <w:p w14:paraId="55C49332">
                  <w:pPr>
                    <w:autoSpaceDE w:val="0"/>
                    <w:autoSpaceDN w:val="0"/>
                    <w:adjustRightInd w:val="0"/>
                    <w:snapToGrid w:val="0"/>
                    <w:jc w:val="center"/>
                    <w:rPr>
                      <w:rFonts w:hint="default" w:ascii="Times New Roman" w:hAnsi="Times New Roman" w:cs="Times New Roman"/>
                      <w:kern w:val="0"/>
                      <w:szCs w:val="21"/>
                      <w:vertAlign w:val="baseline"/>
                    </w:rPr>
                  </w:pPr>
                  <w:r>
                    <w:rPr>
                      <w:rFonts w:hint="default" w:ascii="Times New Roman" w:hAnsi="Times New Roman" w:cs="Times New Roman"/>
                      <w:kern w:val="0"/>
                      <w:szCs w:val="21"/>
                      <w:vertAlign w:val="baseline"/>
                    </w:rPr>
                    <w:t>本项目不涉及向海洋排放污染物</w:t>
                  </w:r>
                  <w:r>
                    <w:rPr>
                      <w:rFonts w:hint="eastAsia" w:cs="Times New Roman"/>
                      <w:kern w:val="0"/>
                      <w:szCs w:val="21"/>
                      <w:vertAlign w:val="baseline"/>
                      <w:lang w:eastAsia="zh-CN"/>
                    </w:rPr>
                    <w:t>，无须设置</w:t>
                  </w:r>
                  <w:r>
                    <w:rPr>
                      <w:rFonts w:hint="eastAsia" w:cs="Times New Roman"/>
                      <w:kern w:val="0"/>
                      <w:szCs w:val="21"/>
                      <w:vertAlign w:val="baseline"/>
                      <w:lang w:val="en-US" w:eastAsia="zh-CN"/>
                    </w:rPr>
                    <w:t>专项评价</w:t>
                  </w:r>
                </w:p>
              </w:tc>
            </w:tr>
          </w:tbl>
          <w:p w14:paraId="029F96CA">
            <w:pPr>
              <w:autoSpaceDE w:val="0"/>
              <w:autoSpaceDN w:val="0"/>
              <w:adjustRightInd w:val="0"/>
              <w:snapToGrid w:val="0"/>
              <w:jc w:val="center"/>
              <w:rPr>
                <w:rFonts w:ascii="宋体" w:hAnsi="宋体" w:cs="宋体"/>
                <w:kern w:val="0"/>
                <w:szCs w:val="21"/>
              </w:rPr>
            </w:pPr>
            <w:r>
              <w:rPr>
                <w:rFonts w:hint="eastAsia" w:ascii="宋体" w:hAnsi="宋体" w:cs="宋体"/>
                <w:kern w:val="0"/>
                <w:sz w:val="24"/>
                <w:szCs w:val="24"/>
              </w:rPr>
              <w:t>综上，经与专项评价设置原则表对照分析，本项目</w:t>
            </w:r>
            <w:r>
              <w:rPr>
                <w:rFonts w:hint="eastAsia" w:ascii="宋体" w:hAnsi="宋体" w:cs="宋体"/>
                <w:kern w:val="0"/>
                <w:sz w:val="24"/>
                <w:szCs w:val="24"/>
                <w:lang w:eastAsia="zh-CN"/>
              </w:rPr>
              <w:t>无须设置</w:t>
            </w:r>
            <w:r>
              <w:rPr>
                <w:rFonts w:hint="eastAsia" w:ascii="宋体" w:hAnsi="宋体" w:cs="宋体"/>
                <w:kern w:val="0"/>
                <w:sz w:val="24"/>
                <w:szCs w:val="24"/>
              </w:rPr>
              <w:t>专项评</w:t>
            </w:r>
            <w:r>
              <w:rPr>
                <w:rFonts w:hint="eastAsia" w:ascii="宋体" w:hAnsi="宋体" w:cs="宋体"/>
                <w:kern w:val="0"/>
                <w:sz w:val="24"/>
                <w:szCs w:val="24"/>
                <w:lang w:val="en-US" w:eastAsia="zh-CN"/>
              </w:rPr>
              <w:t>价</w:t>
            </w:r>
          </w:p>
        </w:tc>
      </w:tr>
      <w:tr w14:paraId="0EC91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3"/>
            <w:noWrap w:val="0"/>
            <w:vAlign w:val="center"/>
          </w:tcPr>
          <w:p w14:paraId="3F6D89A1">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6488" w:type="dxa"/>
            <w:gridSpan w:val="3"/>
            <w:noWrap w:val="0"/>
            <w:vAlign w:val="center"/>
          </w:tcPr>
          <w:p w14:paraId="66F985B9">
            <w:pPr>
              <w:autoSpaceDE w:val="0"/>
              <w:autoSpaceDN w:val="0"/>
              <w:adjustRightInd w:val="0"/>
              <w:snapToGrid w:val="0"/>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无</w:t>
            </w:r>
          </w:p>
        </w:tc>
      </w:tr>
      <w:tr w14:paraId="4B009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3"/>
            <w:noWrap w:val="0"/>
            <w:vAlign w:val="center"/>
          </w:tcPr>
          <w:p w14:paraId="5EC49695">
            <w:pPr>
              <w:adjustRightInd w:val="0"/>
              <w:snapToGrid w:val="0"/>
              <w:jc w:val="center"/>
              <w:rPr>
                <w:rFonts w:ascii="宋体" w:hAnsi="宋体" w:cs="宋体"/>
                <w:szCs w:val="21"/>
              </w:rPr>
            </w:pPr>
            <w:r>
              <w:rPr>
                <w:rFonts w:hint="eastAsia" w:ascii="宋体" w:hAnsi="宋体" w:cs="宋体"/>
                <w:szCs w:val="21"/>
              </w:rPr>
              <w:t>规划环境影响</w:t>
            </w:r>
          </w:p>
          <w:p w14:paraId="6B900713">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6488" w:type="dxa"/>
            <w:gridSpan w:val="3"/>
            <w:noWrap w:val="0"/>
            <w:vAlign w:val="center"/>
          </w:tcPr>
          <w:p w14:paraId="5CF60C4F">
            <w:pPr>
              <w:autoSpaceDE w:val="0"/>
              <w:autoSpaceDN w:val="0"/>
              <w:adjustRightInd w:val="0"/>
              <w:snapToGrid w:val="0"/>
              <w:jc w:val="center"/>
              <w:rPr>
                <w:rFonts w:ascii="宋体" w:hAnsi="宋体" w:cs="宋体"/>
                <w:kern w:val="0"/>
                <w:szCs w:val="21"/>
              </w:rPr>
            </w:pPr>
            <w:r>
              <w:rPr>
                <w:rFonts w:hint="eastAsia" w:ascii="宋体" w:hAnsi="宋体" w:cs="宋体"/>
                <w:kern w:val="0"/>
                <w:szCs w:val="21"/>
                <w:lang w:val="en-US" w:eastAsia="zh-CN"/>
              </w:rPr>
              <w:t>无</w:t>
            </w:r>
          </w:p>
        </w:tc>
      </w:tr>
      <w:tr w14:paraId="5100C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gridSpan w:val="3"/>
            <w:noWrap w:val="0"/>
            <w:vAlign w:val="center"/>
          </w:tcPr>
          <w:p w14:paraId="14B66BFA">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规划及规划环境</w:t>
            </w:r>
          </w:p>
          <w:p w14:paraId="010458C3">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影响评价符合性分析</w:t>
            </w:r>
          </w:p>
        </w:tc>
        <w:tc>
          <w:tcPr>
            <w:tcW w:w="6488" w:type="dxa"/>
            <w:gridSpan w:val="3"/>
            <w:noWrap w:val="0"/>
            <w:vAlign w:val="center"/>
          </w:tcPr>
          <w:p w14:paraId="71CDCCC6">
            <w:pPr>
              <w:autoSpaceDE w:val="0"/>
              <w:autoSpaceDN w:val="0"/>
              <w:adjustRightInd w:val="0"/>
              <w:snapToGrid w:val="0"/>
              <w:jc w:val="center"/>
              <w:rPr>
                <w:rFonts w:ascii="宋体" w:hAnsi="宋体" w:cs="宋体"/>
                <w:kern w:val="0"/>
                <w:szCs w:val="21"/>
              </w:rPr>
            </w:pPr>
            <w:r>
              <w:rPr>
                <w:rFonts w:hint="eastAsia" w:ascii="宋体" w:hAnsi="宋体" w:cs="宋体"/>
                <w:kern w:val="0"/>
                <w:szCs w:val="21"/>
                <w:lang w:val="en-US" w:eastAsia="zh-CN"/>
              </w:rPr>
              <w:t>无</w:t>
            </w:r>
          </w:p>
        </w:tc>
      </w:tr>
      <w:tr w14:paraId="4F756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47" w:type="dxa"/>
            <w:noWrap w:val="0"/>
            <w:vAlign w:val="center"/>
          </w:tcPr>
          <w:p w14:paraId="6B764576">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8323" w:type="dxa"/>
            <w:gridSpan w:val="5"/>
            <w:noWrap w:val="0"/>
            <w:vAlign w:val="center"/>
          </w:tcPr>
          <w:p w14:paraId="79217917">
            <w:pPr>
              <w:keepNext w:val="0"/>
              <w:keepLines w:val="0"/>
              <w:pageBreakBefore w:val="0"/>
              <w:widowControl w:val="0"/>
              <w:numPr>
                <w:ilvl w:val="0"/>
                <w:numId w:val="2"/>
              </w:numPr>
              <w:kinsoku/>
              <w:wordWrap/>
              <w:overflowPunct/>
              <w:topLinePunct w:val="0"/>
              <w:autoSpaceDE w:val="0"/>
              <w:autoSpaceDN w:val="0"/>
              <w:bidi w:val="0"/>
              <w:adjustRightInd w:val="0"/>
              <w:snapToGrid w:val="0"/>
              <w:spacing w:line="360" w:lineRule="auto"/>
              <w:ind w:firstLine="0" w:firstLineChars="0"/>
              <w:jc w:val="left"/>
              <w:textAlignment w:val="auto"/>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三线一单符合性分析</w:t>
            </w:r>
          </w:p>
          <w:p w14:paraId="3BCD717C">
            <w:pPr>
              <w:keepNext w:val="0"/>
              <w:keepLines w:val="0"/>
              <w:pageBreakBefore w:val="0"/>
              <w:widowControl w:val="0"/>
              <w:numPr>
                <w:ilvl w:val="1"/>
                <w:numId w:val="3"/>
              </w:numPr>
              <w:kinsoku/>
              <w:wordWrap/>
              <w:overflowPunct/>
              <w:topLinePunct w:val="0"/>
              <w:autoSpaceDE w:val="0"/>
              <w:autoSpaceDN w:val="0"/>
              <w:bidi w:val="0"/>
              <w:adjustRightInd w:val="0"/>
              <w:snapToGrid w:val="0"/>
              <w:spacing w:line="360" w:lineRule="auto"/>
              <w:jc w:val="left"/>
              <w:textAlignment w:val="auto"/>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rPr>
              <w:t>与璧山区“三线一单”符合性分析</w:t>
            </w:r>
          </w:p>
          <w:p w14:paraId="6D46F718">
            <w:pPr>
              <w:pStyle w:val="8"/>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根据《重庆市“三线一单”生态环境分</w:t>
            </w:r>
            <w:r>
              <w:rPr>
                <w:rFonts w:hint="eastAsia" w:ascii="宋体" w:hAnsi="宋体" w:cs="宋体"/>
                <w:kern w:val="2"/>
                <w:sz w:val="24"/>
                <w:szCs w:val="24"/>
                <w:lang w:val="en-US" w:eastAsia="zh-CN" w:bidi="ar-SA"/>
              </w:rPr>
              <w:t>区</w:t>
            </w:r>
            <w:r>
              <w:rPr>
                <w:rFonts w:hint="eastAsia" w:ascii="宋体" w:hAnsi="宋体" w:eastAsia="宋体" w:cs="宋体"/>
                <w:kern w:val="2"/>
                <w:sz w:val="24"/>
                <w:szCs w:val="24"/>
                <w:lang w:val="en-US" w:eastAsia="zh-CN" w:bidi="ar-SA"/>
              </w:rPr>
              <w:t>管控调整方案（2023年）》</w:t>
            </w:r>
          </w:p>
          <w:p w14:paraId="3CCFDB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宋体" w:hAnsi="宋体" w:cs="宋体"/>
                <w:b/>
                <w:bCs/>
                <w:kern w:val="0"/>
                <w:sz w:val="24"/>
                <w:szCs w:val="24"/>
                <w:lang w:val="en-US" w:eastAsia="zh-CN"/>
              </w:rPr>
            </w:pPr>
            <w:r>
              <w:rPr>
                <w:rFonts w:hint="default" w:ascii="宋体" w:hAnsi="宋体" w:eastAsia="宋体" w:cs="宋体"/>
                <w:kern w:val="2"/>
                <w:sz w:val="24"/>
                <w:szCs w:val="24"/>
                <w:lang w:val="en-US" w:eastAsia="zh-CN" w:bidi="ar-SA"/>
              </w:rPr>
              <w:t>，项目位于</w:t>
            </w:r>
            <w:r>
              <w:rPr>
                <w:rFonts w:hint="eastAsia" w:ascii="宋体" w:hAnsi="宋体" w:eastAsia="宋体" w:cs="宋体"/>
                <w:kern w:val="2"/>
                <w:sz w:val="24"/>
                <w:szCs w:val="24"/>
                <w:lang w:val="en-US" w:eastAsia="zh-CN" w:bidi="ar-SA"/>
              </w:rPr>
              <w:t>重庆市璧山区璧泉街道东林大道67号4幢附3</w:t>
            </w:r>
            <w:r>
              <w:rPr>
                <w:rFonts w:hint="eastAsia" w:ascii="宋体" w:hAnsi="宋体" w:cs="宋体"/>
                <w:kern w:val="2"/>
                <w:sz w:val="24"/>
                <w:szCs w:val="24"/>
                <w:lang w:val="en-US" w:eastAsia="zh-CN" w:bidi="ar-SA"/>
              </w:rPr>
              <w:t>7</w:t>
            </w:r>
            <w:r>
              <w:rPr>
                <w:rFonts w:hint="eastAsia" w:ascii="宋体" w:hAnsi="宋体" w:eastAsia="宋体" w:cs="宋体"/>
                <w:kern w:val="2"/>
                <w:sz w:val="24"/>
                <w:szCs w:val="24"/>
                <w:lang w:val="en-US" w:eastAsia="zh-CN" w:bidi="ar-SA"/>
              </w:rPr>
              <w:t>号</w:t>
            </w:r>
            <w:r>
              <w:rPr>
                <w:rFonts w:hint="default" w:ascii="宋体" w:hAnsi="宋体" w:eastAsia="宋体" w:cs="宋体"/>
                <w:kern w:val="2"/>
                <w:sz w:val="24"/>
                <w:szCs w:val="24"/>
                <w:lang w:val="en-US" w:eastAsia="zh-CN" w:bidi="ar-SA"/>
              </w:rPr>
              <w:t>，从事宠物医院诊疗服务，项目所在地不属于生态保护红线和一般生态空间，属于</w:t>
            </w:r>
            <w:r>
              <w:rPr>
                <w:rFonts w:hint="default" w:ascii="Times New Roman" w:hAnsi="Times New Roman" w:cs="Times New Roman"/>
                <w:b w:val="0"/>
                <w:bCs w:val="0"/>
                <w:kern w:val="0"/>
                <w:sz w:val="24"/>
                <w:szCs w:val="24"/>
                <w:highlight w:val="none"/>
                <w:lang w:val="en-US" w:eastAsia="zh-CN"/>
              </w:rPr>
              <w:t>ZH50012020001璧山区工业城镇重点管控单元-城区片区，系重点管控单元1。</w:t>
            </w:r>
          </w:p>
        </w:tc>
      </w:tr>
    </w:tbl>
    <w:p w14:paraId="5704FBCD">
      <w:pPr>
        <w:spacing w:line="360" w:lineRule="auto"/>
        <w:outlineLvl w:val="0"/>
        <w:rPr>
          <w:rFonts w:eastAsia="黑体"/>
          <w:sz w:val="30"/>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6EAC1A6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firstLine="0" w:firstLineChars="0"/>
        <w:jc w:val="center"/>
        <w:textAlignment w:val="auto"/>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表1-1 与“三线一单”管控要求的符合性分析</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160"/>
        <w:gridCol w:w="7275"/>
        <w:gridCol w:w="2621"/>
        <w:gridCol w:w="1660"/>
      </w:tblGrid>
      <w:tr w14:paraId="29B1F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gridSpan w:val="2"/>
            <w:tcBorders>
              <w:tl2br w:val="nil"/>
              <w:tr2bl w:val="nil"/>
            </w:tcBorders>
            <w:noWrap w:val="0"/>
            <w:vAlign w:val="center"/>
          </w:tcPr>
          <w:p w14:paraId="33C6DD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环境管控单元编码</w:t>
            </w:r>
          </w:p>
        </w:tc>
        <w:tc>
          <w:tcPr>
            <w:tcW w:w="2665" w:type="pct"/>
            <w:tcBorders>
              <w:tl2br w:val="nil"/>
              <w:tr2bl w:val="nil"/>
            </w:tcBorders>
            <w:noWrap w:val="0"/>
            <w:vAlign w:val="center"/>
          </w:tcPr>
          <w:p w14:paraId="18AE6D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环境管控单元名称</w:t>
            </w:r>
          </w:p>
        </w:tc>
        <w:tc>
          <w:tcPr>
            <w:tcW w:w="1568" w:type="pct"/>
            <w:gridSpan w:val="2"/>
            <w:tcBorders>
              <w:tl2br w:val="nil"/>
              <w:tr2bl w:val="nil"/>
            </w:tcBorders>
            <w:noWrap w:val="0"/>
            <w:vAlign w:val="center"/>
          </w:tcPr>
          <w:p w14:paraId="37743C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环境管控单元类型</w:t>
            </w:r>
          </w:p>
        </w:tc>
      </w:tr>
      <w:tr w14:paraId="70CDE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6" w:type="pct"/>
            <w:gridSpan w:val="2"/>
            <w:tcBorders>
              <w:tl2br w:val="nil"/>
              <w:tr2bl w:val="nil"/>
            </w:tcBorders>
            <w:noWrap w:val="0"/>
            <w:vAlign w:val="center"/>
          </w:tcPr>
          <w:p w14:paraId="0E0A39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lang w:val="en-US" w:eastAsia="zh-CN"/>
              </w:rPr>
              <w:t>ZH50012020001</w:t>
            </w:r>
          </w:p>
        </w:tc>
        <w:tc>
          <w:tcPr>
            <w:tcW w:w="2665" w:type="pct"/>
            <w:tcBorders>
              <w:tl2br w:val="nil"/>
              <w:tr2bl w:val="nil"/>
            </w:tcBorders>
            <w:noWrap w:val="0"/>
            <w:vAlign w:val="center"/>
          </w:tcPr>
          <w:p w14:paraId="56DF5D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cs="Times New Roman"/>
                <w:b w:val="0"/>
                <w:bCs w:val="0"/>
                <w:kern w:val="0"/>
                <w:sz w:val="21"/>
                <w:szCs w:val="21"/>
                <w:highlight w:val="none"/>
                <w:lang w:val="en-US" w:eastAsia="zh-CN"/>
              </w:rPr>
              <w:t>璧山区工业城镇重点管控单元-城区片区</w:t>
            </w:r>
          </w:p>
        </w:tc>
        <w:tc>
          <w:tcPr>
            <w:tcW w:w="1568" w:type="pct"/>
            <w:gridSpan w:val="2"/>
            <w:tcBorders>
              <w:tl2br w:val="nil"/>
              <w:tr2bl w:val="nil"/>
            </w:tcBorders>
            <w:noWrap w:val="0"/>
            <w:vAlign w:val="center"/>
          </w:tcPr>
          <w:p w14:paraId="0B31CB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重点管控单元</w:t>
            </w:r>
            <w:r>
              <w:rPr>
                <w:rFonts w:hint="eastAsia" w:cs="Times New Roman"/>
                <w:b w:val="0"/>
                <w:bCs w:val="0"/>
                <w:kern w:val="0"/>
                <w:sz w:val="21"/>
                <w:szCs w:val="21"/>
                <w:highlight w:val="none"/>
                <w:vertAlign w:val="baseline"/>
                <w:lang w:val="en-US" w:eastAsia="zh-CN"/>
              </w:rPr>
              <w:t>1</w:t>
            </w:r>
          </w:p>
        </w:tc>
      </w:tr>
      <w:tr w14:paraId="1F562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14:paraId="2D0318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管控要</w:t>
            </w:r>
          </w:p>
          <w:p w14:paraId="2AFA97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求层级</w:t>
            </w:r>
          </w:p>
        </w:tc>
        <w:tc>
          <w:tcPr>
            <w:tcW w:w="425" w:type="pct"/>
            <w:tcBorders>
              <w:tl2br w:val="nil"/>
              <w:tr2bl w:val="nil"/>
            </w:tcBorders>
            <w:noWrap w:val="0"/>
            <w:vAlign w:val="center"/>
          </w:tcPr>
          <w:p w14:paraId="60A7B2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管控类型</w:t>
            </w:r>
          </w:p>
        </w:tc>
        <w:tc>
          <w:tcPr>
            <w:tcW w:w="2665" w:type="pct"/>
            <w:tcBorders>
              <w:tl2br w:val="nil"/>
              <w:tr2bl w:val="nil"/>
            </w:tcBorders>
            <w:noWrap w:val="0"/>
            <w:vAlign w:val="center"/>
          </w:tcPr>
          <w:p w14:paraId="37F951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管控要求</w:t>
            </w:r>
          </w:p>
        </w:tc>
        <w:tc>
          <w:tcPr>
            <w:tcW w:w="960" w:type="pct"/>
            <w:tcBorders>
              <w:tl2br w:val="nil"/>
              <w:tr2bl w:val="nil"/>
            </w:tcBorders>
            <w:noWrap w:val="0"/>
            <w:vAlign w:val="center"/>
          </w:tcPr>
          <w:p w14:paraId="286B3D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建设项目情况</w:t>
            </w:r>
          </w:p>
        </w:tc>
        <w:tc>
          <w:tcPr>
            <w:tcW w:w="608" w:type="pct"/>
            <w:tcBorders>
              <w:tl2br w:val="nil"/>
              <w:tr2bl w:val="nil"/>
            </w:tcBorders>
            <w:noWrap w:val="0"/>
            <w:vAlign w:val="center"/>
          </w:tcPr>
          <w:p w14:paraId="61BE61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符合性</w:t>
            </w:r>
          </w:p>
        </w:tc>
      </w:tr>
      <w:tr w14:paraId="39B28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492130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全市总体管控要求</w:t>
            </w:r>
          </w:p>
        </w:tc>
        <w:tc>
          <w:tcPr>
            <w:tcW w:w="425" w:type="pct"/>
            <w:vMerge w:val="restart"/>
            <w:tcBorders>
              <w:tl2br w:val="nil"/>
              <w:tr2bl w:val="nil"/>
            </w:tcBorders>
            <w:noWrap w:val="0"/>
            <w:vAlign w:val="center"/>
          </w:tcPr>
          <w:p w14:paraId="0FDBAC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空间布局约束</w:t>
            </w:r>
          </w:p>
        </w:tc>
        <w:tc>
          <w:tcPr>
            <w:tcW w:w="2665" w:type="pct"/>
            <w:tcBorders>
              <w:tl2br w:val="nil"/>
              <w:tr2bl w:val="nil"/>
            </w:tcBorders>
            <w:noWrap w:val="0"/>
            <w:vAlign w:val="center"/>
          </w:tcPr>
          <w:p w14:paraId="6537D5AF">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rPr>
              <w:t>1、深入贯彻习近平生态文明思想，筑牢长江上游重要生态屏障，推动优势区域重点发展、生态功能区重点保护、城乡融合发展，优化重点区域、流域、产业的空间布局</w:t>
            </w:r>
            <w:r>
              <w:rPr>
                <w:rFonts w:hint="eastAsia"/>
                <w:color w:val="auto"/>
                <w:kern w:val="0"/>
                <w:sz w:val="21"/>
                <w:szCs w:val="21"/>
                <w:lang w:eastAsia="zh-CN"/>
              </w:rPr>
              <w:t>。</w:t>
            </w:r>
          </w:p>
        </w:tc>
        <w:tc>
          <w:tcPr>
            <w:tcW w:w="960" w:type="pct"/>
            <w:tcBorders>
              <w:tl2br w:val="nil"/>
              <w:tr2bl w:val="nil"/>
            </w:tcBorders>
            <w:noWrap w:val="0"/>
            <w:vAlign w:val="center"/>
          </w:tcPr>
          <w:p w14:paraId="67131D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4CC771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5574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86490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1B65A9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0123AB03">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rPr>
              <w:t>2、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960" w:type="pct"/>
            <w:tcBorders>
              <w:tl2br w:val="nil"/>
              <w:tr2bl w:val="nil"/>
            </w:tcBorders>
            <w:noWrap w:val="0"/>
            <w:vAlign w:val="center"/>
          </w:tcPr>
          <w:p w14:paraId="2CDAF0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项目属于宠物医院</w:t>
            </w:r>
            <w:r>
              <w:rPr>
                <w:rFonts w:hint="eastAsia" w:cs="Times New Roman"/>
                <w:b w:val="0"/>
                <w:bCs w:val="0"/>
                <w:kern w:val="0"/>
                <w:sz w:val="21"/>
                <w:szCs w:val="21"/>
                <w:highlight w:val="none"/>
                <w:vertAlign w:val="baseline"/>
                <w:lang w:val="en-US" w:eastAsia="zh-CN"/>
              </w:rPr>
              <w:t>扩建项目</w:t>
            </w:r>
            <w:r>
              <w:rPr>
                <w:rFonts w:hint="default" w:ascii="Times New Roman" w:hAnsi="Times New Roman" w:eastAsia="宋体" w:cs="Times New Roman"/>
                <w:b w:val="0"/>
                <w:bCs w:val="0"/>
                <w:kern w:val="0"/>
                <w:sz w:val="21"/>
                <w:szCs w:val="21"/>
                <w:highlight w:val="none"/>
                <w:vertAlign w:val="baseline"/>
                <w:lang w:val="en-US" w:eastAsia="zh-CN"/>
              </w:rPr>
              <w:t>，位于</w:t>
            </w:r>
            <w:r>
              <w:rPr>
                <w:rFonts w:hint="eastAsia" w:cs="Times New Roman"/>
                <w:b w:val="0"/>
                <w:bCs w:val="0"/>
                <w:kern w:val="0"/>
                <w:sz w:val="21"/>
                <w:szCs w:val="21"/>
                <w:highlight w:val="none"/>
                <w:vertAlign w:val="baseline"/>
                <w:lang w:val="en-US" w:eastAsia="zh-CN"/>
              </w:rPr>
              <w:t>重庆市璧山区璧泉街道东林大道67号4幢附37号</w:t>
            </w:r>
            <w:r>
              <w:rPr>
                <w:rFonts w:hint="default" w:ascii="Times New Roman" w:hAnsi="Times New Roman" w:eastAsia="宋体" w:cs="Times New Roman"/>
                <w:b w:val="0"/>
                <w:bCs w:val="0"/>
                <w:kern w:val="0"/>
                <w:sz w:val="21"/>
                <w:szCs w:val="21"/>
                <w:highlight w:val="none"/>
                <w:vertAlign w:val="baseline"/>
                <w:lang w:val="en-US" w:eastAsia="zh-CN"/>
              </w:rPr>
              <w:t>，不属于尾矿库、冶炼渣库、磷石膏库，不属于新建重化工、纸浆制造、印染等存在环境风险的项目</w:t>
            </w:r>
          </w:p>
        </w:tc>
        <w:tc>
          <w:tcPr>
            <w:tcW w:w="608" w:type="pct"/>
            <w:tcBorders>
              <w:tl2br w:val="nil"/>
              <w:tr2bl w:val="nil"/>
            </w:tcBorders>
            <w:noWrap w:val="0"/>
            <w:vAlign w:val="center"/>
          </w:tcPr>
          <w:p w14:paraId="2184B1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64D2D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0CCFF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3D3E9A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3E8509A7">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rPr>
              <w:t>3、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960" w:type="pct"/>
            <w:tcBorders>
              <w:tl2br w:val="nil"/>
              <w:tr2bl w:val="nil"/>
            </w:tcBorders>
            <w:noWrap w:val="0"/>
            <w:vAlign w:val="center"/>
          </w:tcPr>
          <w:p w14:paraId="4908DEA3">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项目属于宠物医院</w:t>
            </w:r>
            <w:r>
              <w:rPr>
                <w:rFonts w:hint="eastAsia" w:cs="Times New Roman"/>
                <w:b w:val="0"/>
                <w:bCs w:val="0"/>
                <w:kern w:val="0"/>
                <w:sz w:val="21"/>
                <w:szCs w:val="21"/>
                <w:highlight w:val="none"/>
                <w:vertAlign w:val="baseline"/>
                <w:lang w:val="en-US" w:eastAsia="zh-CN"/>
              </w:rPr>
              <w:t>扩建项目</w:t>
            </w:r>
            <w:r>
              <w:rPr>
                <w:rFonts w:hint="default" w:ascii="Times New Roman" w:hAnsi="Times New Roman" w:eastAsia="宋体" w:cs="Times New Roman"/>
                <w:b w:val="0"/>
                <w:bCs w:val="0"/>
                <w:kern w:val="0"/>
                <w:sz w:val="21"/>
                <w:szCs w:val="21"/>
                <w:highlight w:val="none"/>
                <w:vertAlign w:val="baseline"/>
                <w:lang w:val="en-US" w:eastAsia="zh-CN"/>
              </w:rPr>
              <w:t>，不属于新建、扩建钢铁、石化、化工、焦化、建材、有色、制浆造纸等高污染项目</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不属于石化、煤化工等</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不属于</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两高</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项目。</w:t>
            </w:r>
          </w:p>
        </w:tc>
        <w:tc>
          <w:tcPr>
            <w:tcW w:w="608" w:type="pct"/>
            <w:tcBorders>
              <w:tl2br w:val="nil"/>
              <w:tr2bl w:val="nil"/>
            </w:tcBorders>
            <w:noWrap w:val="0"/>
            <w:vAlign w:val="center"/>
          </w:tcPr>
          <w:p w14:paraId="5A9540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FE74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88E86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691B38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4760BAB5">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rPr>
              <w:t>4、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960" w:type="pct"/>
            <w:tcBorders>
              <w:tl2br w:val="nil"/>
              <w:tr2bl w:val="nil"/>
            </w:tcBorders>
            <w:noWrap w:val="0"/>
            <w:vAlign w:val="center"/>
          </w:tcPr>
          <w:p w14:paraId="2D16584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项目属于宠物医院</w:t>
            </w:r>
            <w:r>
              <w:rPr>
                <w:rFonts w:hint="eastAsia" w:cs="Times New Roman"/>
                <w:b w:val="0"/>
                <w:bCs w:val="0"/>
                <w:kern w:val="0"/>
                <w:sz w:val="21"/>
                <w:szCs w:val="21"/>
                <w:vertAlign w:val="baseline"/>
                <w:lang w:val="en-US" w:eastAsia="zh-CN"/>
              </w:rPr>
              <w:t>扩建项目</w:t>
            </w:r>
            <w:r>
              <w:rPr>
                <w:rFonts w:hint="default" w:ascii="Times New Roman" w:hAnsi="Times New Roman" w:eastAsia="宋体" w:cs="Times New Roman"/>
                <w:b w:val="0"/>
                <w:bCs w:val="0"/>
                <w:kern w:val="0"/>
                <w:sz w:val="21"/>
                <w:szCs w:val="21"/>
                <w:vertAlign w:val="baseline"/>
                <w:lang w:val="en-US" w:eastAsia="zh-CN"/>
              </w:rPr>
              <w:t>，不属于高耗能、高排放、低水平项目。</w:t>
            </w:r>
          </w:p>
        </w:tc>
        <w:tc>
          <w:tcPr>
            <w:tcW w:w="608" w:type="pct"/>
            <w:tcBorders>
              <w:tl2br w:val="nil"/>
              <w:tr2bl w:val="nil"/>
            </w:tcBorders>
            <w:noWrap w:val="0"/>
            <w:vAlign w:val="center"/>
          </w:tcPr>
          <w:p w14:paraId="09935C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14E26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58D0C1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6C57BE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262C77E2">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rPr>
              <w:t>5、新建、扩建有色金属冶炼、电镀、铅蓄电池等企业应布设在依法合规设立并经过规划环评的产业园区。</w:t>
            </w:r>
          </w:p>
        </w:tc>
        <w:tc>
          <w:tcPr>
            <w:tcW w:w="960" w:type="pct"/>
            <w:tcBorders>
              <w:tl2br w:val="nil"/>
              <w:tr2bl w:val="nil"/>
            </w:tcBorders>
            <w:noWrap w:val="0"/>
            <w:vAlign w:val="center"/>
          </w:tcPr>
          <w:p w14:paraId="53BA78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项目不属于新建、扩建有色金属冶炼、电镀、铅蓄电池等企业。</w:t>
            </w:r>
          </w:p>
        </w:tc>
        <w:tc>
          <w:tcPr>
            <w:tcW w:w="608" w:type="pct"/>
            <w:tcBorders>
              <w:tl2br w:val="nil"/>
              <w:tr2bl w:val="nil"/>
            </w:tcBorders>
            <w:noWrap w:val="0"/>
            <w:vAlign w:val="center"/>
          </w:tcPr>
          <w:p w14:paraId="6B82D5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1063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EEAEE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04B60F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4AC7B1DE">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color w:val="auto"/>
                <w:kern w:val="0"/>
                <w:sz w:val="21"/>
                <w:szCs w:val="21"/>
              </w:rPr>
            </w:pPr>
            <w:r>
              <w:rPr>
                <w:rFonts w:hint="eastAsia"/>
                <w:color w:val="auto"/>
                <w:kern w:val="0"/>
                <w:sz w:val="21"/>
                <w:szCs w:val="21"/>
              </w:rPr>
              <w:t>6、涉及环境防护距离的工业企业或项目应通过选址或调整布局原则上将环境防护距离控制在园区边界或用地红线内，提前合理规划项目地块布置、预防环境风险。</w:t>
            </w:r>
          </w:p>
        </w:tc>
        <w:tc>
          <w:tcPr>
            <w:tcW w:w="960" w:type="pct"/>
            <w:tcBorders>
              <w:tl2br w:val="nil"/>
              <w:tr2bl w:val="nil"/>
            </w:tcBorders>
            <w:noWrap w:val="0"/>
            <w:vAlign w:val="center"/>
          </w:tcPr>
          <w:p w14:paraId="14BB6A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项目不涉及</w:t>
            </w:r>
            <w:r>
              <w:rPr>
                <w:rFonts w:hint="eastAsia"/>
                <w:color w:val="auto"/>
                <w:kern w:val="0"/>
                <w:sz w:val="21"/>
                <w:szCs w:val="21"/>
              </w:rPr>
              <w:t>环境防护距离</w:t>
            </w:r>
          </w:p>
        </w:tc>
        <w:tc>
          <w:tcPr>
            <w:tcW w:w="608" w:type="pct"/>
            <w:tcBorders>
              <w:tl2br w:val="nil"/>
              <w:tr2bl w:val="nil"/>
            </w:tcBorders>
            <w:noWrap w:val="0"/>
            <w:vAlign w:val="center"/>
          </w:tcPr>
          <w:p w14:paraId="05A1EA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r>
      <w:tr w14:paraId="56BD5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754DBC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444DEE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31965A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rPr>
              <w:t>7、有效规范空间开发秩序，合理控制空间开发强度，切实将各类开发活动限制在资源环境承载能力之内，为构建高效协调可持续的国土空间开发格局奠定坚实基础。</w:t>
            </w:r>
          </w:p>
        </w:tc>
        <w:tc>
          <w:tcPr>
            <w:tcW w:w="960" w:type="pct"/>
            <w:tcBorders>
              <w:tl2br w:val="nil"/>
              <w:tr2bl w:val="nil"/>
            </w:tcBorders>
            <w:noWrap w:val="0"/>
            <w:vAlign w:val="center"/>
          </w:tcPr>
          <w:p w14:paraId="15A0AA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552C3E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44020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E1F9B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restart"/>
            <w:tcBorders>
              <w:tl2br w:val="nil"/>
              <w:tr2bl w:val="nil"/>
            </w:tcBorders>
            <w:noWrap w:val="0"/>
            <w:vAlign w:val="center"/>
          </w:tcPr>
          <w:p w14:paraId="3BC552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污染物排放管控</w:t>
            </w:r>
          </w:p>
        </w:tc>
        <w:tc>
          <w:tcPr>
            <w:tcW w:w="2665" w:type="pct"/>
            <w:tcBorders>
              <w:tl2br w:val="nil"/>
              <w:tr2bl w:val="nil"/>
            </w:tcBorders>
            <w:noWrap w:val="0"/>
            <w:vAlign w:val="center"/>
          </w:tcPr>
          <w:p w14:paraId="606876F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lang w:val="en-US" w:eastAsia="zh-CN"/>
              </w:rPr>
              <w:t>8</w:t>
            </w:r>
            <w:r>
              <w:rPr>
                <w:rFonts w:hint="eastAsia"/>
                <w:color w:val="auto"/>
                <w:kern w:val="0"/>
                <w:sz w:val="21"/>
                <w:szCs w:val="21"/>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w:t>
            </w:r>
            <w:r>
              <w:rPr>
                <w:rFonts w:hint="eastAsia"/>
                <w:color w:val="auto"/>
                <w:kern w:val="0"/>
                <w:sz w:val="21"/>
                <w:szCs w:val="21"/>
                <w:lang w:eastAsia="zh-CN"/>
              </w:rPr>
              <w:t>扩建项目</w:t>
            </w:r>
            <w:r>
              <w:rPr>
                <w:rFonts w:hint="eastAsia"/>
                <w:color w:val="auto"/>
                <w:kern w:val="0"/>
                <w:sz w:val="21"/>
                <w:szCs w:val="21"/>
              </w:rPr>
              <w:t>实行产能等量或减量置换。国家或地方已出台超低排放要求的“两高”行业建设项目应满足超低排放要求。加强水泥和平板玻璃行业差别化管理，新改</w:t>
            </w:r>
            <w:r>
              <w:rPr>
                <w:rFonts w:hint="eastAsia"/>
                <w:color w:val="auto"/>
                <w:kern w:val="0"/>
                <w:sz w:val="21"/>
                <w:szCs w:val="21"/>
                <w:lang w:eastAsia="zh-CN"/>
              </w:rPr>
              <w:t>扩建项目</w:t>
            </w:r>
            <w:r>
              <w:rPr>
                <w:rFonts w:hint="eastAsia"/>
                <w:color w:val="auto"/>
                <w:kern w:val="0"/>
                <w:sz w:val="21"/>
                <w:szCs w:val="21"/>
              </w:rPr>
              <w:t>严格落实相关产业政策要求，满足能效标杆水平、环保绩效A级指标要求。</w:t>
            </w:r>
          </w:p>
        </w:tc>
        <w:tc>
          <w:tcPr>
            <w:tcW w:w="960" w:type="pct"/>
            <w:tcBorders>
              <w:tl2br w:val="nil"/>
              <w:tr2bl w:val="nil"/>
            </w:tcBorders>
            <w:noWrap w:val="0"/>
            <w:vAlign w:val="center"/>
          </w:tcPr>
          <w:p w14:paraId="6BDABA61">
            <w:pPr>
              <w:adjustRightInd w:val="0"/>
              <w:snapToGrid w:val="0"/>
              <w:jc w:val="center"/>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6A334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CB6F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3B621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2E9F44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1FBF44A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lang w:val="en-US" w:eastAsia="zh-CN"/>
              </w:rPr>
              <w:t>9</w:t>
            </w:r>
            <w:r>
              <w:rPr>
                <w:rFonts w:hint="eastAsia"/>
                <w:color w:val="auto"/>
                <w:kern w:val="0"/>
                <w:sz w:val="21"/>
                <w:szCs w:val="21"/>
              </w:rPr>
              <w:t>、严格落实国家及我市大气污染防控相关要求，对大气环境质量未达标地区，新建、改</w:t>
            </w:r>
            <w:r>
              <w:rPr>
                <w:rFonts w:hint="eastAsia"/>
                <w:color w:val="auto"/>
                <w:kern w:val="0"/>
                <w:sz w:val="21"/>
                <w:szCs w:val="21"/>
                <w:lang w:eastAsia="zh-CN"/>
              </w:rPr>
              <w:t>扩建项目</w:t>
            </w:r>
            <w:r>
              <w:rPr>
                <w:rFonts w:hint="eastAsia"/>
                <w:color w:val="auto"/>
                <w:kern w:val="0"/>
                <w:sz w:val="21"/>
                <w:szCs w:val="21"/>
              </w:rPr>
              <w:t>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960" w:type="pct"/>
            <w:tcBorders>
              <w:tl2br w:val="nil"/>
              <w:tr2bl w:val="nil"/>
            </w:tcBorders>
            <w:noWrap w:val="0"/>
            <w:vAlign w:val="center"/>
          </w:tcPr>
          <w:p w14:paraId="1848AA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根据2024年重庆市生态环境状况公报，璧山区未超标，不需执行倍量削减。</w:t>
            </w:r>
          </w:p>
        </w:tc>
        <w:tc>
          <w:tcPr>
            <w:tcW w:w="608" w:type="pct"/>
            <w:tcBorders>
              <w:tl2br w:val="nil"/>
              <w:tr2bl w:val="nil"/>
            </w:tcBorders>
            <w:noWrap w:val="0"/>
            <w:vAlign w:val="center"/>
          </w:tcPr>
          <w:p w14:paraId="458C21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AA5E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EAC41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0F4763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43B141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10</w:t>
            </w:r>
            <w:r>
              <w:rPr>
                <w:rFonts w:hint="eastAsia"/>
                <w:color w:val="auto"/>
                <w:kern w:val="0"/>
                <w:sz w:val="21"/>
                <w:szCs w:val="21"/>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960" w:type="pct"/>
            <w:tcBorders>
              <w:tl2br w:val="nil"/>
              <w:tr2bl w:val="nil"/>
            </w:tcBorders>
            <w:noWrap w:val="0"/>
            <w:vAlign w:val="center"/>
          </w:tcPr>
          <w:p w14:paraId="10C5F9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项目不属于重点行业、不涉及喷漆、喷粉、印刷。</w:t>
            </w:r>
          </w:p>
        </w:tc>
        <w:tc>
          <w:tcPr>
            <w:tcW w:w="608" w:type="pct"/>
            <w:tcBorders>
              <w:tl2br w:val="nil"/>
              <w:tr2bl w:val="nil"/>
            </w:tcBorders>
            <w:noWrap w:val="0"/>
            <w:vAlign w:val="center"/>
          </w:tcPr>
          <w:p w14:paraId="750736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1918F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9E103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456D12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4462C4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lang w:val="en-US" w:eastAsia="zh-CN"/>
              </w:rPr>
              <w:t>11</w:t>
            </w:r>
            <w:r>
              <w:rPr>
                <w:rFonts w:hint="eastAsia"/>
                <w:color w:val="auto"/>
                <w:kern w:val="0"/>
                <w:sz w:val="21"/>
                <w:szCs w:val="21"/>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960" w:type="pct"/>
            <w:tcBorders>
              <w:tl2br w:val="nil"/>
              <w:tr2bl w:val="nil"/>
            </w:tcBorders>
            <w:noWrap w:val="0"/>
            <w:vAlign w:val="center"/>
          </w:tcPr>
          <w:p w14:paraId="4565E3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项目所在位置不属于工业聚集区，项目医疗废水经消毒设施处理后（出水参照执行《医疗机构水污染物排放标准》（GB18466-2005）预处理标准）与生活污水、其他污水一起排入</w:t>
            </w:r>
            <w:r>
              <w:rPr>
                <w:rFonts w:hint="eastAsia" w:cs="Times New Roman"/>
                <w:color w:val="000000" w:themeColor="text1"/>
                <w:sz w:val="21"/>
                <w:szCs w:val="21"/>
                <w:highlight w:val="none"/>
                <w:lang w:val="en-US" w:eastAsia="zh-CN"/>
                <w14:textFill>
                  <w14:solidFill>
                    <w14:schemeClr w14:val="tx1"/>
                  </w14:solidFill>
                </w14:textFill>
              </w:rPr>
              <w:t>恒大绿岛新城B区</w:t>
            </w:r>
            <w:r>
              <w:rPr>
                <w:rFonts w:hint="eastAsia" w:cs="Times New Roman"/>
                <w:b w:val="0"/>
                <w:bCs w:val="0"/>
                <w:kern w:val="0"/>
                <w:sz w:val="21"/>
                <w:szCs w:val="21"/>
                <w:highlight w:val="none"/>
                <w:vertAlign w:val="baseline"/>
                <w:lang w:val="en-US" w:eastAsia="zh-CN"/>
              </w:rPr>
              <w:t>生化池进行进一步处理。</w:t>
            </w:r>
          </w:p>
        </w:tc>
        <w:tc>
          <w:tcPr>
            <w:tcW w:w="608" w:type="pct"/>
            <w:tcBorders>
              <w:tl2br w:val="nil"/>
              <w:tr2bl w:val="nil"/>
            </w:tcBorders>
            <w:noWrap w:val="0"/>
            <w:vAlign w:val="center"/>
          </w:tcPr>
          <w:p w14:paraId="00FA02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E941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A1CD8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20A399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18A820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olor w:val="auto"/>
                <w:kern w:val="0"/>
                <w:sz w:val="21"/>
                <w:szCs w:val="21"/>
                <w:lang w:val="en-US" w:eastAsia="zh-CN"/>
              </w:rPr>
              <w:t>12</w:t>
            </w:r>
            <w:r>
              <w:rPr>
                <w:rFonts w:hint="eastAsia"/>
                <w:color w:val="auto"/>
                <w:kern w:val="0"/>
                <w:sz w:val="21"/>
                <w:szCs w:val="21"/>
              </w:rPr>
              <w:t>、推进乡镇生活</w:t>
            </w:r>
            <w:r>
              <w:rPr>
                <w:rFonts w:hint="eastAsia"/>
                <w:color w:val="auto"/>
                <w:kern w:val="0"/>
                <w:sz w:val="21"/>
                <w:szCs w:val="21"/>
                <w:lang w:val="en-US" w:eastAsia="zh-CN"/>
              </w:rPr>
              <w:t>污水处理设施</w:t>
            </w:r>
            <w:r>
              <w:rPr>
                <w:rFonts w:hint="eastAsia"/>
                <w:color w:val="auto"/>
                <w:kern w:val="0"/>
                <w:sz w:val="21"/>
                <w:szCs w:val="21"/>
              </w:rPr>
              <w:t>达标改造。新建城市生活污水处理厂全部按照一级A标及以上排放标准设计、施工、验收，建制乡镇生活</w:t>
            </w:r>
            <w:r>
              <w:rPr>
                <w:rFonts w:hint="eastAsia"/>
                <w:color w:val="auto"/>
                <w:kern w:val="0"/>
                <w:sz w:val="21"/>
                <w:szCs w:val="21"/>
                <w:lang w:val="en-US" w:eastAsia="zh-CN"/>
              </w:rPr>
              <w:t>污水处理设施</w:t>
            </w:r>
            <w:r>
              <w:rPr>
                <w:rFonts w:hint="eastAsia"/>
                <w:color w:val="auto"/>
                <w:kern w:val="0"/>
                <w:sz w:val="21"/>
                <w:szCs w:val="21"/>
              </w:rPr>
              <w:t>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960" w:type="pct"/>
            <w:tcBorders>
              <w:tl2br w:val="nil"/>
              <w:tr2bl w:val="nil"/>
            </w:tcBorders>
            <w:noWrap w:val="0"/>
            <w:vAlign w:val="center"/>
          </w:tcPr>
          <w:p w14:paraId="2E8546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47C174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F929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C38A9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5FF9BC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5535BD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13</w:t>
            </w:r>
            <w:r>
              <w:rPr>
                <w:rFonts w:hint="eastAsia"/>
                <w:color w:val="auto"/>
                <w:kern w:val="0"/>
                <w:sz w:val="21"/>
                <w:szCs w:val="21"/>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960" w:type="pct"/>
            <w:tcBorders>
              <w:tl2br w:val="nil"/>
              <w:tr2bl w:val="nil"/>
            </w:tcBorders>
            <w:noWrap w:val="0"/>
            <w:vAlign w:val="center"/>
          </w:tcPr>
          <w:p w14:paraId="280DEE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54108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6D2A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49181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0CA465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0DCCE7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14</w:t>
            </w:r>
            <w:r>
              <w:rPr>
                <w:rFonts w:hint="eastAsia"/>
                <w:color w:val="auto"/>
                <w:kern w:val="0"/>
                <w:sz w:val="21"/>
                <w:szCs w:val="21"/>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960" w:type="pct"/>
            <w:tcBorders>
              <w:tl2br w:val="nil"/>
              <w:tr2bl w:val="nil"/>
            </w:tcBorders>
            <w:noWrap w:val="0"/>
            <w:vAlign w:val="center"/>
          </w:tcPr>
          <w:p w14:paraId="0A4F9E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项目为宠物医院</w:t>
            </w:r>
            <w:r>
              <w:rPr>
                <w:rFonts w:hint="eastAsia" w:cs="Times New Roman"/>
                <w:b w:val="0"/>
                <w:bCs w:val="0"/>
                <w:kern w:val="0"/>
                <w:sz w:val="21"/>
                <w:szCs w:val="21"/>
                <w:highlight w:val="none"/>
                <w:vertAlign w:val="baseline"/>
                <w:lang w:val="en-US" w:eastAsia="zh-CN"/>
              </w:rPr>
              <w:t>扩建项目</w:t>
            </w:r>
            <w:r>
              <w:rPr>
                <w:rFonts w:hint="eastAsia" w:ascii="Times New Roman" w:hAnsi="Times New Roman" w:eastAsia="宋体" w:cs="Times New Roman"/>
                <w:b w:val="0"/>
                <w:bCs w:val="0"/>
                <w:kern w:val="0"/>
                <w:sz w:val="21"/>
                <w:szCs w:val="21"/>
                <w:highlight w:val="none"/>
                <w:vertAlign w:val="baseline"/>
                <w:lang w:val="en-US" w:eastAsia="zh-CN"/>
              </w:rPr>
              <w:t>，设置医废</w:t>
            </w:r>
            <w:r>
              <w:rPr>
                <w:rFonts w:hint="eastAsia" w:cs="Times New Roman"/>
                <w:b w:val="0"/>
                <w:bCs w:val="0"/>
                <w:kern w:val="0"/>
                <w:sz w:val="21"/>
                <w:szCs w:val="21"/>
                <w:highlight w:val="none"/>
                <w:vertAlign w:val="baseline"/>
                <w:lang w:val="en-US" w:eastAsia="zh-CN"/>
              </w:rPr>
              <w:t>点</w:t>
            </w:r>
            <w:r>
              <w:rPr>
                <w:rFonts w:hint="eastAsia" w:ascii="Times New Roman" w:hAnsi="Times New Roman" w:eastAsia="宋体" w:cs="Times New Roman"/>
                <w:b w:val="0"/>
                <w:bCs w:val="0"/>
                <w:kern w:val="0"/>
                <w:sz w:val="21"/>
                <w:szCs w:val="21"/>
                <w:highlight w:val="none"/>
                <w:vertAlign w:val="baseline"/>
                <w:lang w:val="en-US" w:eastAsia="zh-CN"/>
              </w:rPr>
              <w:t>并建立废物污染环境防治责任制度及管理台账</w:t>
            </w:r>
            <w:r>
              <w:rPr>
                <w:rFonts w:hint="eastAsia" w:ascii="Times New Roman" w:hAnsi="Times New Roman" w:eastAsia="宋体" w:cs="Times New Roman"/>
                <w:b w:val="0"/>
                <w:bCs w:val="0"/>
                <w:kern w:val="0"/>
                <w:sz w:val="21"/>
                <w:szCs w:val="21"/>
                <w:vertAlign w:val="baseline"/>
                <w:lang w:val="en-US" w:eastAsia="zh-CN"/>
              </w:rPr>
              <w:t>。</w:t>
            </w:r>
          </w:p>
        </w:tc>
        <w:tc>
          <w:tcPr>
            <w:tcW w:w="608" w:type="pct"/>
            <w:tcBorders>
              <w:tl2br w:val="nil"/>
              <w:tr2bl w:val="nil"/>
            </w:tcBorders>
            <w:noWrap w:val="0"/>
            <w:vAlign w:val="center"/>
          </w:tcPr>
          <w:p w14:paraId="2AAD89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1B3B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1DC39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59D33A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2A41BC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auto"/>
                <w:kern w:val="0"/>
                <w:sz w:val="21"/>
                <w:szCs w:val="21"/>
                <w:lang w:val="en-US" w:eastAsia="zh-CN"/>
              </w:rPr>
            </w:pPr>
            <w:r>
              <w:rPr>
                <w:rFonts w:hint="eastAsia"/>
                <w:color w:val="auto"/>
                <w:kern w:val="0"/>
                <w:sz w:val="21"/>
                <w:szCs w:val="21"/>
                <w:lang w:val="en-US" w:eastAsia="zh-CN"/>
              </w:rPr>
              <w:t>15</w:t>
            </w:r>
            <w:r>
              <w:rPr>
                <w:rFonts w:hint="eastAsia"/>
                <w:color w:val="auto"/>
                <w:kern w:val="0"/>
                <w:sz w:val="21"/>
                <w:szCs w:val="21"/>
              </w:rPr>
              <w:t>、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960" w:type="pct"/>
            <w:tcBorders>
              <w:tl2br w:val="nil"/>
              <w:tr2bl w:val="nil"/>
            </w:tcBorders>
            <w:noWrap w:val="0"/>
            <w:vAlign w:val="center"/>
          </w:tcPr>
          <w:p w14:paraId="0EDF58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2D1D7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72B2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C6585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restart"/>
            <w:tcBorders>
              <w:tl2br w:val="nil"/>
              <w:tr2bl w:val="nil"/>
            </w:tcBorders>
            <w:noWrap w:val="0"/>
            <w:vAlign w:val="center"/>
          </w:tcPr>
          <w:p w14:paraId="10284F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环境风险管控</w:t>
            </w:r>
          </w:p>
        </w:tc>
        <w:tc>
          <w:tcPr>
            <w:tcW w:w="2665" w:type="pct"/>
            <w:tcBorders>
              <w:tl2br w:val="nil"/>
              <w:tr2bl w:val="nil"/>
            </w:tcBorders>
            <w:noWrap w:val="0"/>
            <w:vAlign w:val="top"/>
          </w:tcPr>
          <w:p w14:paraId="48D32875">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16、深入开展行政区域、重点流域、重点饮用水源、化工园区等突发环境事件风险评估，建立区域突发环境事件风险评估数据 信息获取与动态更新机制。落实企业突发环境事件风险评估制度，推进突发环境事件风险分类分级管理，严格监管重大突发环境事件风险企业。</w:t>
            </w:r>
          </w:p>
        </w:tc>
        <w:tc>
          <w:tcPr>
            <w:tcW w:w="960" w:type="pct"/>
            <w:tcBorders>
              <w:tl2br w:val="nil"/>
              <w:tr2bl w:val="nil"/>
            </w:tcBorders>
            <w:noWrap w:val="0"/>
            <w:vAlign w:val="center"/>
          </w:tcPr>
          <w:p w14:paraId="2A45BF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526026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C4CD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2078B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5BD13D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10C1696C">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17、强化化工园区涉水突发环境事件四级环境风险防范体系建设。持续推进重点化工园区（化工集中区）建设有毒有害气体监测预警体系和水质生物毒性预警体系。</w:t>
            </w:r>
          </w:p>
        </w:tc>
        <w:tc>
          <w:tcPr>
            <w:tcW w:w="960" w:type="pct"/>
            <w:tcBorders>
              <w:tl2br w:val="nil"/>
              <w:tr2bl w:val="nil"/>
            </w:tcBorders>
            <w:noWrap w:val="0"/>
            <w:vAlign w:val="center"/>
          </w:tcPr>
          <w:p w14:paraId="0BAA56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FAEA8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D516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C7676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restart"/>
            <w:tcBorders>
              <w:tl2br w:val="nil"/>
              <w:tr2bl w:val="nil"/>
            </w:tcBorders>
            <w:noWrap w:val="0"/>
            <w:vAlign w:val="center"/>
          </w:tcPr>
          <w:p w14:paraId="473D84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资源利用效率</w:t>
            </w:r>
          </w:p>
        </w:tc>
        <w:tc>
          <w:tcPr>
            <w:tcW w:w="2665" w:type="pct"/>
            <w:tcBorders>
              <w:tl2br w:val="nil"/>
              <w:tr2bl w:val="nil"/>
            </w:tcBorders>
            <w:noWrap w:val="0"/>
            <w:vAlign w:val="center"/>
          </w:tcPr>
          <w:p w14:paraId="0B28B046">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18、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960" w:type="pct"/>
            <w:tcBorders>
              <w:tl2br w:val="nil"/>
              <w:tr2bl w:val="nil"/>
            </w:tcBorders>
            <w:noWrap w:val="0"/>
            <w:vAlign w:val="center"/>
          </w:tcPr>
          <w:p w14:paraId="5469D7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0AE1DA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F2CB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2BDED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276C17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72D30CB7">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960" w:type="pct"/>
            <w:tcBorders>
              <w:tl2br w:val="nil"/>
              <w:tr2bl w:val="nil"/>
            </w:tcBorders>
            <w:noWrap w:val="0"/>
            <w:vAlign w:val="center"/>
          </w:tcPr>
          <w:p w14:paraId="64B669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4F4216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8C02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44239E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0BF585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3E5CDB2E">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20、新建、扩建“两高”项目应采用先进适用的工艺技术和装备，单位产品物耗、能耗、水耗等达到清洁生产先进水平。</w:t>
            </w:r>
          </w:p>
        </w:tc>
        <w:tc>
          <w:tcPr>
            <w:tcW w:w="960" w:type="pct"/>
            <w:tcBorders>
              <w:tl2br w:val="nil"/>
              <w:tr2bl w:val="nil"/>
            </w:tcBorders>
            <w:noWrap w:val="0"/>
            <w:vAlign w:val="center"/>
          </w:tcPr>
          <w:p w14:paraId="56DF8F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项目不属于两高项目</w:t>
            </w:r>
          </w:p>
        </w:tc>
        <w:tc>
          <w:tcPr>
            <w:tcW w:w="608" w:type="pct"/>
            <w:tcBorders>
              <w:tl2br w:val="nil"/>
              <w:tr2bl w:val="nil"/>
            </w:tcBorders>
            <w:noWrap w:val="0"/>
            <w:vAlign w:val="center"/>
          </w:tcPr>
          <w:p w14:paraId="41FAD8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900B2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7B3B71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5C5A42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460E2464">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 广工业水循环利用，加快淘汰落后用水工艺和技术。</w:t>
            </w:r>
          </w:p>
        </w:tc>
        <w:tc>
          <w:tcPr>
            <w:tcW w:w="960" w:type="pct"/>
            <w:tcBorders>
              <w:tl2br w:val="nil"/>
              <w:tr2bl w:val="nil"/>
            </w:tcBorders>
            <w:noWrap w:val="0"/>
            <w:vAlign w:val="center"/>
          </w:tcPr>
          <w:p w14:paraId="09FBA1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219527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C0B1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A43A1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644E3F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6A7C61FE">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22、加快推进节水配套设施建设，加强再生水、雨水等非常规水多元、梯级和安全利用，逐年提高非常规水利用比例。结合现有</w:t>
            </w:r>
            <w:r>
              <w:rPr>
                <w:rFonts w:hint="eastAsia"/>
                <w:color w:val="auto"/>
                <w:kern w:val="0"/>
                <w:sz w:val="21"/>
                <w:szCs w:val="21"/>
                <w:lang w:val="en-US" w:eastAsia="zh-CN"/>
              </w:rPr>
              <w:t>污水处理设施</w:t>
            </w:r>
            <w:r>
              <w:rPr>
                <w:rFonts w:hint="eastAsia" w:ascii="Times New Roman" w:hAnsi="Times New Roman" w:eastAsia="宋体" w:cs="Times New Roman"/>
                <w:color w:val="auto"/>
                <w:kern w:val="0"/>
                <w:sz w:val="21"/>
                <w:szCs w:val="21"/>
                <w:lang w:val="en-US" w:eastAsia="zh-CN" w:bidi="ar-SA"/>
              </w:rPr>
              <w:t>提标升级扩能改造，系统规划城镇污水再生利用设施。</w:t>
            </w:r>
          </w:p>
        </w:tc>
        <w:tc>
          <w:tcPr>
            <w:tcW w:w="960" w:type="pct"/>
            <w:tcBorders>
              <w:tl2br w:val="nil"/>
              <w:tr2bl w:val="nil"/>
            </w:tcBorders>
            <w:noWrap w:val="0"/>
            <w:vAlign w:val="center"/>
          </w:tcPr>
          <w:p w14:paraId="1A6307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5CE49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28A0B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773735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璧山区总体管控要求</w:t>
            </w:r>
          </w:p>
        </w:tc>
        <w:tc>
          <w:tcPr>
            <w:tcW w:w="425" w:type="pct"/>
            <w:vMerge w:val="restart"/>
            <w:tcBorders>
              <w:tl2br w:val="nil"/>
              <w:tr2bl w:val="nil"/>
            </w:tcBorders>
            <w:noWrap w:val="0"/>
            <w:vAlign w:val="center"/>
          </w:tcPr>
          <w:p w14:paraId="504C36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空间布局约束</w:t>
            </w:r>
          </w:p>
        </w:tc>
        <w:tc>
          <w:tcPr>
            <w:tcW w:w="2665" w:type="pct"/>
            <w:tcBorders>
              <w:tl2br w:val="nil"/>
              <w:tr2bl w:val="nil"/>
            </w:tcBorders>
            <w:noWrap w:val="0"/>
            <w:vAlign w:val="center"/>
          </w:tcPr>
          <w:p w14:paraId="1287C6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第一条 执行重点管控单元市级总体要求第一条、第二条、第三条、第六条、第七条。</w:t>
            </w:r>
          </w:p>
        </w:tc>
        <w:tc>
          <w:tcPr>
            <w:tcW w:w="960" w:type="pct"/>
            <w:tcBorders>
              <w:tl2br w:val="nil"/>
              <w:tr2bl w:val="nil"/>
            </w:tcBorders>
            <w:noWrap w:val="0"/>
            <w:vAlign w:val="center"/>
          </w:tcPr>
          <w:p w14:paraId="080B7EEC">
            <w:pPr>
              <w:pStyle w:val="4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宋体" w:hAnsi="宋体" w:eastAsia="宋体" w:cs="宋体"/>
                <w:kern w:val="2"/>
                <w:sz w:val="21"/>
                <w:szCs w:val="21"/>
                <w:lang w:val="en-US" w:eastAsia="zh-CN" w:bidi="ar-SA"/>
              </w:rPr>
            </w:pPr>
            <w:r>
              <w:rPr>
                <w:rFonts w:hint="eastAsia"/>
                <w:spacing w:val="9"/>
                <w:sz w:val="21"/>
                <w:szCs w:val="21"/>
                <w:lang w:val="en-US" w:eastAsia="zh-CN"/>
              </w:rPr>
              <w:t>已于上文对比分析</w:t>
            </w:r>
          </w:p>
        </w:tc>
        <w:tc>
          <w:tcPr>
            <w:tcW w:w="608" w:type="pct"/>
            <w:tcBorders>
              <w:tl2br w:val="nil"/>
              <w:tr2bl w:val="nil"/>
            </w:tcBorders>
            <w:noWrap w:val="0"/>
            <w:vAlign w:val="center"/>
          </w:tcPr>
          <w:p w14:paraId="193CF0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84FE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5828731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4764EA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058A769E">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第二条 严把项目准入关口，对不符合要求的高耗能、高排放、低水平项目坚决不予准入。除在安全或者产业布局等方面有特殊要求的项目外，新建有污染物排放的工业项目应当进入工业园区或工业集聚区。加快布局分散的企业向园区集中，鼓励现有工业项目搬入工业园区或工业集聚区。</w:t>
            </w:r>
          </w:p>
        </w:tc>
        <w:tc>
          <w:tcPr>
            <w:tcW w:w="960" w:type="pct"/>
            <w:tcBorders>
              <w:tl2br w:val="nil"/>
              <w:tr2bl w:val="nil"/>
            </w:tcBorders>
            <w:noWrap w:val="0"/>
            <w:vAlign w:val="center"/>
          </w:tcPr>
          <w:p w14:paraId="34BA1AA4">
            <w:pPr>
              <w:pStyle w:val="43"/>
              <w:keepNext w:val="0"/>
              <w:keepLines w:val="0"/>
              <w:pageBreakBefore w:val="0"/>
              <w:widowControl w:val="0"/>
              <w:kinsoku/>
              <w:wordWrap/>
              <w:overflowPunct/>
              <w:topLinePunct w:val="0"/>
              <w:bidi w:val="0"/>
              <w:adjustRightInd/>
              <w:snapToGrid/>
              <w:spacing w:line="240" w:lineRule="auto"/>
              <w:ind w:left="0" w:leftChars="0" w:right="0" w:firstLine="0"/>
              <w:jc w:val="center"/>
              <w:textAlignment w:val="auto"/>
              <w:rPr>
                <w:rFonts w:hint="default" w:ascii="宋体" w:hAnsi="宋体" w:eastAsia="宋体" w:cs="宋体"/>
                <w:kern w:val="2"/>
                <w:sz w:val="21"/>
                <w:szCs w:val="21"/>
                <w:lang w:val="en-US" w:eastAsia="zh-CN" w:bidi="ar-SA"/>
              </w:rPr>
            </w:pPr>
            <w:r>
              <w:rPr>
                <w:rFonts w:hint="eastAsia"/>
                <w:spacing w:val="9"/>
                <w:sz w:val="21"/>
                <w:szCs w:val="21"/>
                <w:lang w:val="en-US" w:eastAsia="zh-CN"/>
              </w:rPr>
              <w:t>项目不属于“</w:t>
            </w:r>
            <w:r>
              <w:rPr>
                <w:rFonts w:hint="eastAsia" w:ascii="Times New Roman" w:hAnsi="Times New Roman" w:eastAsia="宋体" w:cs="Times New Roman"/>
                <w:color w:val="auto"/>
                <w:kern w:val="0"/>
                <w:sz w:val="21"/>
                <w:szCs w:val="21"/>
                <w:lang w:val="en-US" w:eastAsia="zh-CN" w:bidi="ar-SA"/>
              </w:rPr>
              <w:t>高耗能、高排放、低水平</w:t>
            </w:r>
            <w:r>
              <w:rPr>
                <w:rFonts w:hint="eastAsia"/>
                <w:spacing w:val="9"/>
                <w:sz w:val="21"/>
                <w:szCs w:val="21"/>
                <w:lang w:val="en-US" w:eastAsia="zh-CN"/>
              </w:rPr>
              <w:t>”</w:t>
            </w:r>
            <w:r>
              <w:rPr>
                <w:rFonts w:hint="eastAsia" w:ascii="Times New Roman" w:hAnsi="Times New Roman" w:eastAsia="宋体" w:cs="Times New Roman"/>
                <w:color w:val="auto"/>
                <w:kern w:val="0"/>
                <w:sz w:val="21"/>
                <w:szCs w:val="21"/>
                <w:lang w:val="en-US" w:eastAsia="zh-CN" w:bidi="ar-SA"/>
              </w:rPr>
              <w:t>项目</w:t>
            </w:r>
            <w:r>
              <w:rPr>
                <w:rFonts w:hint="eastAsia" w:ascii="Times New Roman" w:hAnsi="Times New Roman" w:cs="Times New Roman"/>
                <w:color w:val="auto"/>
                <w:kern w:val="0"/>
                <w:sz w:val="21"/>
                <w:szCs w:val="21"/>
                <w:lang w:val="en-US" w:eastAsia="zh-CN" w:bidi="ar-SA"/>
              </w:rPr>
              <w:t>，不属于工业项目。</w:t>
            </w:r>
          </w:p>
        </w:tc>
        <w:tc>
          <w:tcPr>
            <w:tcW w:w="608" w:type="pct"/>
            <w:tcBorders>
              <w:tl2br w:val="nil"/>
              <w:tr2bl w:val="nil"/>
            </w:tcBorders>
            <w:noWrap w:val="0"/>
            <w:vAlign w:val="center"/>
          </w:tcPr>
          <w:p w14:paraId="78BBFB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CE5C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7CB196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37934B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1FC97B71">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第三条 新建、扩建的电镀企业优先选择布设在璧山高新区电镀集中加工区。</w:t>
            </w:r>
          </w:p>
        </w:tc>
        <w:tc>
          <w:tcPr>
            <w:tcW w:w="960" w:type="pct"/>
            <w:tcBorders>
              <w:tl2br w:val="nil"/>
              <w:tr2bl w:val="nil"/>
            </w:tcBorders>
            <w:noWrap w:val="0"/>
            <w:vAlign w:val="center"/>
          </w:tcPr>
          <w:p w14:paraId="0918C40B">
            <w:pPr>
              <w:pStyle w:val="43"/>
              <w:keepNext w:val="0"/>
              <w:keepLines w:val="0"/>
              <w:pageBreakBefore w:val="0"/>
              <w:widowControl w:val="0"/>
              <w:kinsoku/>
              <w:wordWrap/>
              <w:overflowPunct/>
              <w:topLinePunct w:val="0"/>
              <w:bidi w:val="0"/>
              <w:adjustRightInd/>
              <w:snapToGrid/>
              <w:spacing w:line="240" w:lineRule="auto"/>
              <w:ind w:left="0" w:leftChars="0" w:right="0" w:rightChars="0" w:firstLine="0"/>
              <w:jc w:val="center"/>
              <w:textAlignment w:val="auto"/>
              <w:rPr>
                <w:rFonts w:hint="default" w:ascii="宋体" w:hAnsi="宋体" w:eastAsia="宋体" w:cs="宋体"/>
                <w:kern w:val="2"/>
                <w:sz w:val="21"/>
                <w:szCs w:val="21"/>
                <w:lang w:val="en-US" w:eastAsia="zh-CN" w:bidi="ar-SA"/>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083CA5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F592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731F60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307AAF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798205B4">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第四条 璧山高新区优先引入与规划主导产业</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智能网联新能源汽车、电子信息、智能装备、大健康</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环境相容的工业项目</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璧山高新区及工业集聚区严格控制居住地周边工业用地的企业类型临近居住等敏感用地一侧的工业用地严格限制环境空气影响相对较大的工业项目入驻。</w:t>
            </w:r>
          </w:p>
        </w:tc>
        <w:tc>
          <w:tcPr>
            <w:tcW w:w="960" w:type="pct"/>
            <w:tcBorders>
              <w:tl2br w:val="nil"/>
              <w:tr2bl w:val="nil"/>
            </w:tcBorders>
            <w:noWrap w:val="0"/>
            <w:vAlign w:val="center"/>
          </w:tcPr>
          <w:p w14:paraId="326E1242">
            <w:pPr>
              <w:pStyle w:val="43"/>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rPr>
                <w:rFonts w:hint="default" w:ascii="宋体" w:hAnsi="宋体" w:eastAsia="宋体" w:cs="宋体"/>
                <w:kern w:val="2"/>
                <w:sz w:val="21"/>
                <w:szCs w:val="21"/>
                <w:lang w:val="en-US" w:eastAsia="zh-CN" w:bidi="ar-SA"/>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387960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15031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EE958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13D7F7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42DA48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第五条 优化流域水环境保护布局，引进高耗水工艺、技术、装备的工业项目应充分论证水环境、水资源承载力；璧南河、壁北河及梅江河河道管理范围外侧，城镇规划建设用地内尚未建设的区域应设置绿化缓冲带。</w:t>
            </w:r>
          </w:p>
        </w:tc>
        <w:tc>
          <w:tcPr>
            <w:tcW w:w="960" w:type="pct"/>
            <w:tcBorders>
              <w:tl2br w:val="nil"/>
              <w:tr2bl w:val="nil"/>
            </w:tcBorders>
            <w:noWrap w:val="0"/>
            <w:vAlign w:val="center"/>
          </w:tcPr>
          <w:p w14:paraId="044B4A3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1CABF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F945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EC3B1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restart"/>
            <w:tcBorders>
              <w:tl2br w:val="nil"/>
              <w:tr2bl w:val="nil"/>
            </w:tcBorders>
            <w:noWrap w:val="0"/>
            <w:vAlign w:val="center"/>
          </w:tcPr>
          <w:p w14:paraId="6B20BF0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污染物排放管控</w:t>
            </w:r>
          </w:p>
        </w:tc>
        <w:tc>
          <w:tcPr>
            <w:tcW w:w="2665" w:type="pct"/>
            <w:tcBorders>
              <w:tl2br w:val="nil"/>
              <w:tr2bl w:val="nil"/>
            </w:tcBorders>
            <w:noWrap w:val="0"/>
            <w:vAlign w:val="center"/>
          </w:tcPr>
          <w:p w14:paraId="7A047BB4">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w:t>
            </w:r>
            <w:r>
              <w:rPr>
                <w:rFonts w:hint="eastAsia" w:ascii="Times New Roman" w:hAnsi="Times New Roman" w:cs="Times New Roman"/>
                <w:color w:val="auto"/>
                <w:kern w:val="0"/>
                <w:sz w:val="21"/>
                <w:szCs w:val="21"/>
                <w:lang w:val="en-US" w:eastAsia="zh-CN" w:bidi="ar-SA"/>
              </w:rPr>
              <w:t>六</w:t>
            </w:r>
            <w:r>
              <w:rPr>
                <w:rFonts w:hint="eastAsia" w:ascii="Times New Roman" w:hAnsi="Times New Roman" w:eastAsia="宋体" w:cs="Times New Roman"/>
                <w:color w:val="auto"/>
                <w:kern w:val="0"/>
                <w:sz w:val="21"/>
                <w:szCs w:val="21"/>
                <w:lang w:val="en-US" w:eastAsia="zh-CN" w:bidi="ar-SA"/>
              </w:rPr>
              <w:t>条 执行重点管控单元市级总体要求第九条、第十四条、第十五条。</w:t>
            </w:r>
          </w:p>
        </w:tc>
        <w:tc>
          <w:tcPr>
            <w:tcW w:w="960" w:type="pct"/>
            <w:tcBorders>
              <w:tl2br w:val="nil"/>
              <w:tr2bl w:val="nil"/>
            </w:tcBorders>
            <w:noWrap w:val="0"/>
            <w:vAlign w:val="center"/>
          </w:tcPr>
          <w:p w14:paraId="3FC9DD1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spacing w:val="9"/>
                <w:sz w:val="21"/>
                <w:szCs w:val="21"/>
                <w:lang w:val="en-US" w:eastAsia="zh-CN"/>
              </w:rPr>
              <w:t>已于上文对比分析</w:t>
            </w:r>
          </w:p>
        </w:tc>
        <w:tc>
          <w:tcPr>
            <w:tcW w:w="608" w:type="pct"/>
            <w:tcBorders>
              <w:tl2br w:val="nil"/>
              <w:tr2bl w:val="nil"/>
            </w:tcBorders>
            <w:noWrap w:val="0"/>
            <w:vAlign w:val="center"/>
          </w:tcPr>
          <w:p w14:paraId="2354F2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08BA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E0422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154D2F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3F2F9E91">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w:t>
            </w:r>
            <w:r>
              <w:rPr>
                <w:rFonts w:hint="eastAsia" w:ascii="Times New Roman" w:hAnsi="Times New Roman" w:cs="Times New Roman"/>
                <w:color w:val="auto"/>
                <w:kern w:val="0"/>
                <w:sz w:val="21"/>
                <w:szCs w:val="21"/>
                <w:lang w:val="en-US" w:eastAsia="zh-CN" w:bidi="ar-SA"/>
              </w:rPr>
              <w:t>七</w:t>
            </w:r>
            <w:r>
              <w:rPr>
                <w:rFonts w:hint="eastAsia" w:ascii="Times New Roman" w:hAnsi="Times New Roman" w:eastAsia="宋体" w:cs="Times New Roman"/>
                <w:color w:val="auto"/>
                <w:kern w:val="0"/>
                <w:sz w:val="21"/>
                <w:szCs w:val="21"/>
                <w:lang w:val="en-US" w:eastAsia="zh-CN" w:bidi="ar-SA"/>
              </w:rPr>
              <w:t>条 严格按照国家及重庆市有关规定，对水泥熟料等行业新建、</w:t>
            </w:r>
            <w:r>
              <w:rPr>
                <w:rFonts w:hint="eastAsia" w:ascii="Times New Roman" w:hAnsi="Times New Roman" w:cs="Times New Roman"/>
                <w:color w:val="auto"/>
                <w:kern w:val="0"/>
                <w:sz w:val="21"/>
                <w:szCs w:val="21"/>
                <w:lang w:val="en-US" w:eastAsia="zh-CN" w:bidi="ar-SA"/>
              </w:rPr>
              <w:t>扩建项目</w:t>
            </w:r>
            <w:r>
              <w:rPr>
                <w:rFonts w:hint="eastAsia" w:ascii="Times New Roman" w:hAnsi="Times New Roman" w:eastAsia="宋体" w:cs="Times New Roman"/>
                <w:color w:val="auto"/>
                <w:kern w:val="0"/>
                <w:sz w:val="21"/>
                <w:szCs w:val="21"/>
                <w:lang w:val="en-US" w:eastAsia="zh-CN" w:bidi="ar-SA"/>
              </w:rPr>
              <w:t>实行产能等量或减量置换，严格落实相关产业政策要求，满足能效标杆水平、环保绩效A级指标要求。全面实施燃气锅炉低氮燃烧改造，逐步实施水泥行业超低排放。</w:t>
            </w:r>
          </w:p>
        </w:tc>
        <w:tc>
          <w:tcPr>
            <w:tcW w:w="960" w:type="pct"/>
            <w:tcBorders>
              <w:tl2br w:val="nil"/>
              <w:tr2bl w:val="nil"/>
            </w:tcBorders>
            <w:noWrap w:val="0"/>
            <w:vAlign w:val="center"/>
          </w:tcPr>
          <w:p w14:paraId="309D7A3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69790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50EBD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E824E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399BDB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6F3271BA">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w:t>
            </w:r>
            <w:r>
              <w:rPr>
                <w:rFonts w:hint="eastAsia" w:ascii="Times New Roman" w:hAnsi="Times New Roman" w:cs="Times New Roman"/>
                <w:color w:val="auto"/>
                <w:kern w:val="0"/>
                <w:sz w:val="21"/>
                <w:szCs w:val="21"/>
                <w:lang w:val="en-US" w:eastAsia="zh-CN" w:bidi="ar-SA"/>
              </w:rPr>
              <w:t>八</w:t>
            </w:r>
            <w:r>
              <w:rPr>
                <w:rFonts w:hint="eastAsia" w:ascii="Times New Roman" w:hAnsi="Times New Roman" w:eastAsia="宋体" w:cs="Times New Roman"/>
                <w:color w:val="auto"/>
                <w:kern w:val="0"/>
                <w:sz w:val="21"/>
                <w:szCs w:val="21"/>
                <w:lang w:val="en-US" w:eastAsia="zh-CN" w:bidi="ar-SA"/>
              </w:rPr>
              <w:t>条</w:t>
            </w:r>
            <w:r>
              <w:rPr>
                <w:rFonts w:hint="eastAsia" w:ascii="Times New Roman" w:hAnsi="Times New Roman" w:cs="Times New Roman"/>
                <w:color w:val="auto"/>
                <w:kern w:val="0"/>
                <w:sz w:val="21"/>
                <w:szCs w:val="21"/>
                <w:lang w:val="en-US" w:eastAsia="zh-CN" w:bidi="ar-SA"/>
              </w:rPr>
              <w:t xml:space="preserve"> </w:t>
            </w:r>
            <w:r>
              <w:rPr>
                <w:rFonts w:hint="eastAsia" w:ascii="Times New Roman" w:hAnsi="Times New Roman" w:eastAsia="宋体" w:cs="Times New Roman"/>
                <w:color w:val="auto"/>
                <w:kern w:val="0"/>
                <w:sz w:val="21"/>
                <w:szCs w:val="21"/>
                <w:lang w:val="en-US" w:eastAsia="zh-CN" w:bidi="ar-SA"/>
              </w:rPr>
              <w:t>推进汽车涂装、印刷包装、金属容器制造、汽车维修等行业VOCs深度治理，推动低挥发性有机物含量产品纳入政府绿色采购名录</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涉及VOCs排放的工业企业应加强源头控制，使用低</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无</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VOCs含量的原辅料，加强废气收集减少无组织排放，并安装高效治理设施</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严格执行大气污染物特别排放限值。</w:t>
            </w:r>
          </w:p>
        </w:tc>
        <w:tc>
          <w:tcPr>
            <w:tcW w:w="960" w:type="pct"/>
            <w:tcBorders>
              <w:tl2br w:val="nil"/>
              <w:tr2bl w:val="nil"/>
            </w:tcBorders>
            <w:noWrap w:val="0"/>
            <w:vAlign w:val="center"/>
          </w:tcPr>
          <w:p w14:paraId="7147776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63FD74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64AD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473865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17E471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7891D1C7">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第九条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璧南河、璧北河、梅江河流域新建工业集聚区污水处理新建城市生活污水处理厂主要指标</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COD、BOD</w:t>
            </w:r>
            <w:r>
              <w:rPr>
                <w:rFonts w:hint="eastAsia" w:ascii="Times New Roman" w:hAnsi="Times New Roman" w:eastAsia="宋体" w:cs="Times New Roman"/>
                <w:color w:val="auto"/>
                <w:kern w:val="0"/>
                <w:sz w:val="21"/>
                <w:szCs w:val="21"/>
                <w:vertAlign w:val="subscript"/>
                <w:lang w:val="en-US" w:eastAsia="zh-CN" w:bidi="ar-SA"/>
              </w:rPr>
              <w:t>5</w:t>
            </w:r>
            <w:r>
              <w:rPr>
                <w:rFonts w:hint="eastAsia" w:ascii="Times New Roman" w:hAnsi="Times New Roman" w:eastAsia="宋体" w:cs="Times New Roman"/>
                <w:color w:val="auto"/>
                <w:kern w:val="0"/>
                <w:sz w:val="21"/>
                <w:szCs w:val="21"/>
                <w:lang w:val="en-US" w:eastAsia="zh-CN" w:bidi="ar-SA"/>
              </w:rPr>
              <w:t>、氨氮、总磷</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按照《地表水环境质量标准》(GB3838-2002)</w:t>
            </w:r>
            <w:r>
              <w:rPr>
                <w:rFonts w:hint="eastAsia" w:ascii="Times New Roman" w:hAnsi="Times New Roman" w:cs="Times New Roman"/>
                <w:color w:val="auto"/>
                <w:kern w:val="0"/>
                <w:sz w:val="21"/>
                <w:szCs w:val="21"/>
                <w:lang w:val="en-US" w:eastAsia="zh-CN" w:bidi="ar-SA"/>
              </w:rPr>
              <w:t>Ⅳ类</w:t>
            </w:r>
            <w:r>
              <w:rPr>
                <w:rFonts w:hint="eastAsia" w:ascii="Times New Roman" w:hAnsi="Times New Roman" w:eastAsia="宋体" w:cs="Times New Roman"/>
                <w:color w:val="auto"/>
                <w:kern w:val="0"/>
                <w:sz w:val="21"/>
                <w:szCs w:val="21"/>
                <w:lang w:val="en-US" w:eastAsia="zh-CN" w:bidi="ar-SA"/>
              </w:rPr>
              <w:t>水质标准、其余指标按照《城镇污水处理厂污染物排放标准》(GB18918-2002)一级A标及以上排放标准设计、施工、验收。建制乡镇生活污水处理施出水水质不得低于《城镇污水处理厂污染物排放标准》(GB18918-2002)一级A</w:t>
            </w:r>
            <w:r>
              <w:rPr>
                <w:rFonts w:hint="eastAsia" w:ascii="Times New Roman" w:hAnsi="Times New Roman" w:cs="Times New Roman"/>
                <w:color w:val="auto"/>
                <w:kern w:val="0"/>
                <w:sz w:val="21"/>
                <w:szCs w:val="21"/>
                <w:lang w:val="en-US" w:eastAsia="zh-CN" w:bidi="ar-SA"/>
              </w:rPr>
              <w:t>标准</w:t>
            </w:r>
            <w:r>
              <w:rPr>
                <w:rFonts w:hint="eastAsia" w:ascii="Times New Roman" w:hAnsi="Times New Roman" w:eastAsia="宋体" w:cs="Times New Roman"/>
                <w:color w:val="auto"/>
                <w:kern w:val="0"/>
                <w:sz w:val="21"/>
                <w:szCs w:val="21"/>
                <w:lang w:val="en-US" w:eastAsia="zh-CN" w:bidi="ar-SA"/>
              </w:rPr>
              <w:t>排放标准。对现有截留制排水管网实施雨污分流改造，针对无法彻底雨污分流的老城区，尊重现实合理保留截留制区域，提高截留倍数</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对新建的排水管网，全部按照雨污分流模式实施建设。</w:t>
            </w:r>
          </w:p>
        </w:tc>
        <w:tc>
          <w:tcPr>
            <w:tcW w:w="960" w:type="pct"/>
            <w:tcBorders>
              <w:tl2br w:val="nil"/>
              <w:tr2bl w:val="nil"/>
            </w:tcBorders>
            <w:noWrap w:val="0"/>
            <w:vAlign w:val="center"/>
          </w:tcPr>
          <w:p w14:paraId="028195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highlight w:val="none"/>
                <w:vertAlign w:val="baseline"/>
                <w:lang w:val="en-US" w:eastAsia="zh-CN"/>
              </w:rPr>
              <w:t>项目所在位置不属于工业聚集区，项目医疗废水经消毒设施处理后（出水参照执行《医疗机构水污染物排放标准》（GB18466-2005）预处理标准）与生活污水、其他污水一起排入</w:t>
            </w:r>
            <w:r>
              <w:rPr>
                <w:rFonts w:hint="eastAsia" w:cs="Times New Roman"/>
                <w:color w:val="000000" w:themeColor="text1"/>
                <w:sz w:val="21"/>
                <w:szCs w:val="21"/>
                <w:highlight w:val="none"/>
                <w:lang w:val="en-US" w:eastAsia="zh-CN"/>
                <w14:textFill>
                  <w14:solidFill>
                    <w14:schemeClr w14:val="tx1"/>
                  </w14:solidFill>
                </w14:textFill>
              </w:rPr>
              <w:t>恒大绿岛新城B区</w:t>
            </w:r>
            <w:r>
              <w:rPr>
                <w:rFonts w:hint="eastAsia" w:cs="Times New Roman"/>
                <w:b w:val="0"/>
                <w:bCs w:val="0"/>
                <w:kern w:val="0"/>
                <w:sz w:val="21"/>
                <w:szCs w:val="21"/>
                <w:highlight w:val="none"/>
                <w:vertAlign w:val="baseline"/>
                <w:lang w:val="en-US" w:eastAsia="zh-CN"/>
              </w:rPr>
              <w:t>生化池进行进一步处理。</w:t>
            </w:r>
          </w:p>
        </w:tc>
        <w:tc>
          <w:tcPr>
            <w:tcW w:w="608" w:type="pct"/>
            <w:tcBorders>
              <w:tl2br w:val="nil"/>
              <w:tr2bl w:val="nil"/>
            </w:tcBorders>
            <w:noWrap w:val="0"/>
            <w:vAlign w:val="center"/>
          </w:tcPr>
          <w:p w14:paraId="1AA7AF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1107B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044F4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4C60FF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1AAC97B1">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第十条 新、改、扩建重点行业</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铅蓄电池制造业、皮革</w:t>
            </w:r>
            <w:r>
              <w:rPr>
                <w:rFonts w:hint="eastAsia" w:ascii="Times New Roman" w:hAnsi="Times New Roman" w:cs="Times New Roman"/>
                <w:color w:val="auto"/>
                <w:kern w:val="0"/>
                <w:sz w:val="21"/>
                <w:szCs w:val="21"/>
                <w:lang w:val="en-US" w:eastAsia="zh-CN" w:bidi="ar-SA"/>
              </w:rPr>
              <w:t>鞣制</w:t>
            </w:r>
            <w:r>
              <w:rPr>
                <w:rFonts w:hint="eastAsia" w:ascii="Times New Roman" w:hAnsi="Times New Roman" w:eastAsia="宋体" w:cs="Times New Roman"/>
                <w:color w:val="auto"/>
                <w:kern w:val="0"/>
                <w:sz w:val="21"/>
                <w:szCs w:val="21"/>
                <w:lang w:val="en-US" w:eastAsia="zh-CN" w:bidi="ar-SA"/>
              </w:rPr>
              <w:t>加工业、电镀行业</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重点重金属污染物排放执行“等量替代”原则。</w:t>
            </w:r>
          </w:p>
        </w:tc>
        <w:tc>
          <w:tcPr>
            <w:tcW w:w="960" w:type="pct"/>
            <w:tcBorders>
              <w:tl2br w:val="nil"/>
              <w:tr2bl w:val="nil"/>
            </w:tcBorders>
            <w:noWrap w:val="0"/>
            <w:vAlign w:val="center"/>
          </w:tcPr>
          <w:p w14:paraId="65950C0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AC364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6E798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CCD0D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3FD335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008FC20C">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w:t>
            </w:r>
            <w:r>
              <w:rPr>
                <w:rFonts w:hint="eastAsia" w:ascii="Times New Roman" w:hAnsi="Times New Roman" w:cs="Times New Roman"/>
                <w:color w:val="auto"/>
                <w:kern w:val="0"/>
                <w:sz w:val="21"/>
                <w:szCs w:val="21"/>
                <w:lang w:val="en-US" w:eastAsia="zh-CN" w:bidi="ar-SA"/>
              </w:rPr>
              <w:t>十一</w:t>
            </w:r>
            <w:r>
              <w:rPr>
                <w:rFonts w:hint="eastAsia" w:ascii="Times New Roman" w:hAnsi="Times New Roman" w:eastAsia="宋体" w:cs="Times New Roman"/>
                <w:color w:val="auto"/>
                <w:kern w:val="0"/>
                <w:sz w:val="21"/>
                <w:szCs w:val="21"/>
                <w:lang w:val="en-US" w:eastAsia="zh-CN" w:bidi="ar-SA"/>
              </w:rPr>
              <w:t>条 进一步提高城镇生活污水处理率，到2025年全区城镇污水处理率达到98%以上</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璧南河、璧北河、梅江河流域建设聚居点生活</w:t>
            </w:r>
            <w:r>
              <w:rPr>
                <w:rFonts w:hint="eastAsia"/>
                <w:color w:val="auto"/>
                <w:kern w:val="0"/>
                <w:sz w:val="21"/>
                <w:szCs w:val="21"/>
                <w:lang w:val="en-US" w:eastAsia="zh-CN"/>
              </w:rPr>
              <w:t>污水处理设施</w:t>
            </w:r>
            <w:r>
              <w:rPr>
                <w:rFonts w:hint="eastAsia" w:ascii="Times New Roman" w:hAnsi="Times New Roman" w:eastAsia="宋体" w:cs="Times New Roman"/>
                <w:color w:val="auto"/>
                <w:kern w:val="0"/>
                <w:sz w:val="21"/>
                <w:szCs w:val="21"/>
                <w:lang w:val="en-US" w:eastAsia="zh-CN" w:bidi="ar-SA"/>
              </w:rPr>
              <w:t>，到2025年全区农村常住人口200户</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500人</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的人口集居区实现治理设施全覆盖，农村生活污水治理率达到60%。</w:t>
            </w:r>
          </w:p>
        </w:tc>
        <w:tc>
          <w:tcPr>
            <w:tcW w:w="960" w:type="pct"/>
            <w:tcBorders>
              <w:tl2br w:val="nil"/>
              <w:tr2bl w:val="nil"/>
            </w:tcBorders>
            <w:noWrap w:val="0"/>
            <w:vAlign w:val="center"/>
          </w:tcPr>
          <w:p w14:paraId="55497AA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spacing w:val="9"/>
                <w:sz w:val="21"/>
                <w:szCs w:val="21"/>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5AF0E0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2232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45336C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7014B7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4C27F902">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第十二条 强化农业面源污染治理，优化结构施肥，持续开展农药减量控害，推广生物农药和有机肥。实施畜禽养殖污染治理，持续推进</w:t>
            </w:r>
            <w:r>
              <w:rPr>
                <w:rFonts w:hint="eastAsia" w:ascii="Times New Roman" w:hAnsi="Times New Roman" w:cs="Times New Roman"/>
                <w:color w:val="auto"/>
                <w:kern w:val="0"/>
                <w:sz w:val="21"/>
                <w:szCs w:val="21"/>
                <w:lang w:val="en-US" w:eastAsia="zh-CN" w:bidi="ar-SA"/>
              </w:rPr>
              <w:t>畜禽</w:t>
            </w:r>
            <w:r>
              <w:rPr>
                <w:rFonts w:hint="eastAsia" w:ascii="Times New Roman" w:hAnsi="Times New Roman" w:eastAsia="宋体" w:cs="Times New Roman"/>
                <w:color w:val="auto"/>
                <w:kern w:val="0"/>
                <w:sz w:val="21"/>
                <w:szCs w:val="21"/>
                <w:lang w:val="en-US" w:eastAsia="zh-CN" w:bidi="ar-SA"/>
              </w:rPr>
              <w:t>养殖业“种养结合”循环发展，建立生态养殖和种养集合生产模式，推进畜禽养殖粪污收集、贮存、处理与利用等环节基础设施的标准化建设和升级改造，加强畜禽养殖粪污资源化利用。到2025年，规模养殖场粪污处理设施装备配置率达到100%畜禽粪污综合利用率达到90%。</w:t>
            </w:r>
          </w:p>
        </w:tc>
        <w:tc>
          <w:tcPr>
            <w:tcW w:w="960" w:type="pct"/>
            <w:tcBorders>
              <w:tl2br w:val="nil"/>
              <w:tr2bl w:val="nil"/>
            </w:tcBorders>
            <w:noWrap w:val="0"/>
            <w:vAlign w:val="center"/>
          </w:tcPr>
          <w:p w14:paraId="0E0DDC7B">
            <w:pPr>
              <w:pStyle w:val="43"/>
              <w:keepNext w:val="0"/>
              <w:keepLines w:val="0"/>
              <w:pageBreakBefore w:val="0"/>
              <w:widowControl w:val="0"/>
              <w:kinsoku/>
              <w:wordWrap/>
              <w:overflowPunct/>
              <w:topLinePunct w:val="0"/>
              <w:bidi w:val="0"/>
              <w:spacing w:line="240" w:lineRule="auto"/>
              <w:ind w:left="0" w:right="0" w:firstLine="0"/>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6F4F26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6D0D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A76A8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14858F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23C33A61">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第十三条 控制交通污染，持续淘汰老旧车辆。加强油品质量监管，全面供应国六标准车用汽柴油。优化调整交通运输结构，构建“车一油一路”绿色交通体系，制定客运、物流车辆的新</w:t>
            </w:r>
            <w:r>
              <w:rPr>
                <w:rFonts w:hint="eastAsia" w:ascii="Times New Roman" w:hAnsi="Times New Roman" w:cs="Times New Roman"/>
                <w:color w:val="auto"/>
                <w:kern w:val="0"/>
                <w:sz w:val="21"/>
                <w:szCs w:val="21"/>
                <w:lang w:val="en-US" w:eastAsia="zh-CN" w:bidi="ar-SA"/>
              </w:rPr>
              <w:t>（清洁）</w:t>
            </w:r>
            <w:r>
              <w:rPr>
                <w:rFonts w:hint="eastAsia" w:ascii="Times New Roman" w:hAnsi="Times New Roman" w:eastAsia="宋体" w:cs="Times New Roman"/>
                <w:color w:val="auto"/>
                <w:kern w:val="0"/>
                <w:sz w:val="21"/>
                <w:szCs w:val="21"/>
                <w:lang w:val="en-US" w:eastAsia="zh-CN" w:bidi="ar-SA"/>
              </w:rPr>
              <w:t>能源汽车推广政策，加快基础设施</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充电设施、LNG加气站等</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建设。</w:t>
            </w:r>
          </w:p>
        </w:tc>
        <w:tc>
          <w:tcPr>
            <w:tcW w:w="960" w:type="pct"/>
            <w:tcBorders>
              <w:tl2br w:val="nil"/>
              <w:tr2bl w:val="nil"/>
            </w:tcBorders>
            <w:noWrap w:val="0"/>
            <w:vAlign w:val="center"/>
          </w:tcPr>
          <w:p w14:paraId="7329FCC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5D2B6C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9A81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6CAC0C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545790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46C73A97">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第十四条 严格控制施工扬尘，持续开展智慧工地建设，推进建成区施工工地喷淋喷雾系统全盖。加强道路扬尘控制，严格落实“定车辆、定线路、定渣场”。</w:t>
            </w:r>
          </w:p>
        </w:tc>
        <w:tc>
          <w:tcPr>
            <w:tcW w:w="960" w:type="pct"/>
            <w:tcBorders>
              <w:tl2br w:val="nil"/>
              <w:tr2bl w:val="nil"/>
            </w:tcBorders>
            <w:noWrap w:val="0"/>
            <w:vAlign w:val="center"/>
          </w:tcPr>
          <w:p w14:paraId="07AF9D0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项目在租用场地内进行设备安装，不涉及施工扬尘。</w:t>
            </w:r>
          </w:p>
        </w:tc>
        <w:tc>
          <w:tcPr>
            <w:tcW w:w="608" w:type="pct"/>
            <w:tcBorders>
              <w:tl2br w:val="nil"/>
              <w:tr2bl w:val="nil"/>
            </w:tcBorders>
            <w:noWrap w:val="0"/>
            <w:vAlign w:val="center"/>
          </w:tcPr>
          <w:p w14:paraId="095A146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1CB8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58F738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restart"/>
            <w:tcBorders>
              <w:tl2br w:val="nil"/>
              <w:tr2bl w:val="nil"/>
            </w:tcBorders>
            <w:noWrap w:val="0"/>
            <w:vAlign w:val="center"/>
          </w:tcPr>
          <w:p w14:paraId="43DDD3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环境风险防控</w:t>
            </w:r>
          </w:p>
        </w:tc>
        <w:tc>
          <w:tcPr>
            <w:tcW w:w="2665" w:type="pct"/>
            <w:tcBorders>
              <w:tl2br w:val="nil"/>
              <w:tr2bl w:val="nil"/>
            </w:tcBorders>
            <w:noWrap w:val="0"/>
            <w:vAlign w:val="center"/>
          </w:tcPr>
          <w:p w14:paraId="379D9E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第十五条 深入开展重点流域、集中式饮用水源地、璧山高新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960" w:type="pct"/>
            <w:tcBorders>
              <w:tl2br w:val="nil"/>
              <w:tr2bl w:val="nil"/>
            </w:tcBorders>
            <w:noWrap w:val="0"/>
            <w:vAlign w:val="center"/>
          </w:tcPr>
          <w:p w14:paraId="71EE8AD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spacing w:val="9"/>
                <w:sz w:val="21"/>
                <w:szCs w:val="21"/>
                <w:lang w:val="en-US" w:eastAsia="zh-CN"/>
              </w:rPr>
              <w:t>本项目</w:t>
            </w:r>
            <w:r>
              <w:rPr>
                <w:spacing w:val="9"/>
                <w:sz w:val="21"/>
                <w:szCs w:val="21"/>
              </w:rPr>
              <w:t>不属于重大突发环境事件风险企</w:t>
            </w:r>
            <w:r>
              <w:rPr>
                <w:sz w:val="21"/>
                <w:szCs w:val="21"/>
              </w:rPr>
              <w:t>业。</w:t>
            </w:r>
          </w:p>
        </w:tc>
        <w:tc>
          <w:tcPr>
            <w:tcW w:w="608" w:type="pct"/>
            <w:tcBorders>
              <w:tl2br w:val="nil"/>
              <w:tr2bl w:val="nil"/>
            </w:tcBorders>
            <w:noWrap w:val="0"/>
            <w:vAlign w:val="center"/>
          </w:tcPr>
          <w:p w14:paraId="7E81CE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8BC3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5AE010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7EA058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4ABD129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第十六条 开展“两场”（危险废物处置场、垃圾填埋场）地下水环境状况调查，评估地下水环境风险，完善水环境风险应急能力。</w:t>
            </w:r>
          </w:p>
        </w:tc>
        <w:tc>
          <w:tcPr>
            <w:tcW w:w="960" w:type="pct"/>
            <w:tcBorders>
              <w:tl2br w:val="nil"/>
              <w:tr2bl w:val="nil"/>
            </w:tcBorders>
            <w:noWrap w:val="0"/>
            <w:vAlign w:val="center"/>
          </w:tcPr>
          <w:p w14:paraId="7C80191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spacing w:val="9"/>
                <w:sz w:val="21"/>
                <w:szCs w:val="21"/>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67F8A49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D649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F0090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3C14B1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58FB3FB1">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第十七条 严格落实和健全环境风险评估制度，限制实施涉及“高环境风险”产品名录的工业项目</w:t>
            </w:r>
          </w:p>
        </w:tc>
        <w:tc>
          <w:tcPr>
            <w:tcW w:w="960" w:type="pct"/>
            <w:tcBorders>
              <w:tl2br w:val="nil"/>
              <w:tr2bl w:val="nil"/>
            </w:tcBorders>
            <w:noWrap w:val="0"/>
            <w:vAlign w:val="center"/>
          </w:tcPr>
          <w:p w14:paraId="1C32433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spacing w:val="9"/>
                <w:sz w:val="21"/>
                <w:szCs w:val="21"/>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34AB21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7163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02103E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restart"/>
            <w:tcBorders>
              <w:tl2br w:val="nil"/>
              <w:tr2bl w:val="nil"/>
            </w:tcBorders>
            <w:noWrap w:val="0"/>
            <w:vAlign w:val="center"/>
          </w:tcPr>
          <w:p w14:paraId="4980EE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资源开发利用效率</w:t>
            </w:r>
          </w:p>
        </w:tc>
        <w:tc>
          <w:tcPr>
            <w:tcW w:w="2665" w:type="pct"/>
            <w:tcBorders>
              <w:tl2br w:val="nil"/>
              <w:tr2bl w:val="nil"/>
            </w:tcBorders>
            <w:noWrap w:val="0"/>
            <w:vAlign w:val="top"/>
          </w:tcPr>
          <w:p w14:paraId="1A22C52E">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第十八条 执行重点管控单元市级总体要求第十八条、第十九条、第二十条、第二十一条、第</w:t>
            </w:r>
            <w:r>
              <w:rPr>
                <w:rFonts w:hint="eastAsia" w:ascii="Times New Roman" w:hAnsi="Times New Roman" w:cs="Times New Roman"/>
                <w:color w:val="auto"/>
                <w:kern w:val="0"/>
                <w:sz w:val="21"/>
                <w:szCs w:val="21"/>
                <w:lang w:val="en-US" w:eastAsia="zh-CN" w:bidi="ar-SA"/>
              </w:rPr>
              <w:t>二十二条。</w:t>
            </w:r>
          </w:p>
        </w:tc>
        <w:tc>
          <w:tcPr>
            <w:tcW w:w="960" w:type="pct"/>
            <w:tcBorders>
              <w:tl2br w:val="nil"/>
              <w:tr2bl w:val="nil"/>
            </w:tcBorders>
            <w:noWrap w:val="0"/>
            <w:vAlign w:val="center"/>
          </w:tcPr>
          <w:p w14:paraId="0A4B14EB">
            <w:pPr>
              <w:pStyle w:val="43"/>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default" w:ascii="宋体" w:hAnsi="宋体" w:eastAsia="宋体" w:cs="宋体"/>
                <w:kern w:val="2"/>
                <w:sz w:val="21"/>
                <w:szCs w:val="21"/>
                <w:lang w:val="en-US" w:eastAsia="zh-CN" w:bidi="ar-SA"/>
              </w:rPr>
            </w:pPr>
            <w:r>
              <w:rPr>
                <w:rFonts w:hint="eastAsia"/>
                <w:spacing w:val="9"/>
                <w:sz w:val="21"/>
                <w:szCs w:val="21"/>
                <w:lang w:val="en-US" w:eastAsia="zh-CN"/>
              </w:rPr>
              <w:t>已于上文对比分析</w:t>
            </w:r>
          </w:p>
        </w:tc>
        <w:tc>
          <w:tcPr>
            <w:tcW w:w="608" w:type="pct"/>
            <w:tcBorders>
              <w:tl2br w:val="nil"/>
              <w:tr2bl w:val="nil"/>
            </w:tcBorders>
            <w:noWrap w:val="0"/>
            <w:vAlign w:val="center"/>
          </w:tcPr>
          <w:p w14:paraId="1A3A04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13B60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C12AC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5ADD0C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6277CF2E">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第十九条 推进“一园一策”</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一企一策</w:t>
            </w:r>
            <w:r>
              <w:rPr>
                <w:rFonts w:hint="eastAsia" w:ascii="Times New Roman" w:hAnsi="Times New Roman"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，促进建材、有色金属、电镀、涂装、包装印刷、印染等行业升级改造和绿色低碳转型，鼓励工业企业实施绿色制造工程。</w:t>
            </w:r>
          </w:p>
        </w:tc>
        <w:tc>
          <w:tcPr>
            <w:tcW w:w="960" w:type="pct"/>
            <w:tcBorders>
              <w:tl2br w:val="nil"/>
              <w:tr2bl w:val="nil"/>
            </w:tcBorders>
            <w:noWrap w:val="0"/>
            <w:vAlign w:val="center"/>
          </w:tcPr>
          <w:p w14:paraId="6EF629DF">
            <w:pPr>
              <w:pStyle w:val="43"/>
              <w:keepNext w:val="0"/>
              <w:keepLines w:val="0"/>
              <w:pageBreakBefore w:val="0"/>
              <w:widowControl w:val="0"/>
              <w:kinsoku/>
              <w:wordWrap/>
              <w:overflowPunct/>
              <w:topLinePunct w:val="0"/>
              <w:bidi w:val="0"/>
              <w:spacing w:line="240" w:lineRule="auto"/>
              <w:ind w:left="0" w:leftChars="0" w:right="0" w:rightChars="0" w:firstLine="0"/>
              <w:jc w:val="center"/>
              <w:textAlignment w:val="auto"/>
              <w:rPr>
                <w:rFonts w:hint="default" w:ascii="宋体" w:hAnsi="宋体" w:eastAsia="宋体" w:cs="宋体"/>
                <w:kern w:val="2"/>
                <w:sz w:val="21"/>
                <w:szCs w:val="21"/>
                <w:lang w:val="en-US" w:eastAsia="zh-CN" w:bidi="ar-SA"/>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4EFA53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F8B6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460752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0BD86F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top"/>
          </w:tcPr>
          <w:p w14:paraId="15EFE93E">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第二十条 构建汽车电池循环化产业链，完善动力电池回收、梯级利用和再资源化的循环利用体系，促进动力电池全价值链发展，推动产业链上下游高效协同发展。</w:t>
            </w:r>
          </w:p>
        </w:tc>
        <w:tc>
          <w:tcPr>
            <w:tcW w:w="960" w:type="pct"/>
            <w:tcBorders>
              <w:tl2br w:val="nil"/>
              <w:tr2bl w:val="nil"/>
            </w:tcBorders>
            <w:noWrap w:val="0"/>
            <w:vAlign w:val="center"/>
          </w:tcPr>
          <w:p w14:paraId="6B198C78">
            <w:pPr>
              <w:pStyle w:val="43"/>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宋体" w:hAnsi="宋体" w:eastAsia="宋体" w:cs="宋体"/>
                <w:kern w:val="2"/>
                <w:sz w:val="21"/>
                <w:szCs w:val="21"/>
                <w:lang w:val="en-US" w:eastAsia="zh-CN" w:bidi="ar-SA"/>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77C61E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3187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1EBCB0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425" w:type="pct"/>
            <w:vMerge w:val="continue"/>
            <w:tcBorders>
              <w:tl2br w:val="nil"/>
              <w:tr2bl w:val="nil"/>
            </w:tcBorders>
            <w:noWrap w:val="0"/>
            <w:vAlign w:val="center"/>
          </w:tcPr>
          <w:p w14:paraId="6E93E0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2665" w:type="pct"/>
            <w:tcBorders>
              <w:tl2br w:val="nil"/>
              <w:tr2bl w:val="nil"/>
            </w:tcBorders>
            <w:noWrap w:val="0"/>
            <w:vAlign w:val="center"/>
          </w:tcPr>
          <w:p w14:paraId="68E50249">
            <w:pPr>
              <w:pStyle w:val="4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第二十一条 建设低碳交通设施，大力发展低碳交通，推广节能和新能源车辆。</w:t>
            </w:r>
          </w:p>
        </w:tc>
        <w:tc>
          <w:tcPr>
            <w:tcW w:w="960" w:type="pct"/>
            <w:tcBorders>
              <w:tl2br w:val="nil"/>
              <w:tr2bl w:val="nil"/>
            </w:tcBorders>
            <w:noWrap w:val="0"/>
            <w:vAlign w:val="center"/>
          </w:tcPr>
          <w:p w14:paraId="67C17502">
            <w:pPr>
              <w:pStyle w:val="43"/>
              <w:keepNext w:val="0"/>
              <w:keepLines w:val="0"/>
              <w:pageBreakBefore w:val="0"/>
              <w:widowControl w:val="0"/>
              <w:kinsoku/>
              <w:wordWrap/>
              <w:overflowPunct/>
              <w:topLinePunct w:val="0"/>
              <w:bidi w:val="0"/>
              <w:spacing w:line="240" w:lineRule="auto"/>
              <w:ind w:left="0" w:leftChars="0" w:right="0" w:firstLine="0"/>
              <w:jc w:val="center"/>
              <w:textAlignment w:val="auto"/>
              <w:rPr>
                <w:rFonts w:hint="default" w:ascii="宋体" w:hAnsi="宋体" w:eastAsia="宋体" w:cs="宋体"/>
                <w:kern w:val="2"/>
                <w:sz w:val="21"/>
                <w:szCs w:val="21"/>
                <w:lang w:val="en-US" w:eastAsia="zh-CN" w:bidi="ar-SA"/>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08" w:type="pct"/>
            <w:tcBorders>
              <w:tl2br w:val="nil"/>
              <w:tr2bl w:val="nil"/>
            </w:tcBorders>
            <w:noWrap w:val="0"/>
            <w:vAlign w:val="center"/>
          </w:tcPr>
          <w:p w14:paraId="647EBF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E10C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14:paraId="753817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重点管控单元,近郊区(主城西)总体管控方向,璧山区总体管控要求</w:t>
            </w:r>
          </w:p>
        </w:tc>
        <w:tc>
          <w:tcPr>
            <w:tcW w:w="425" w:type="pct"/>
            <w:vMerge w:val="restart"/>
            <w:tcBorders>
              <w:tl2br w:val="nil"/>
              <w:tr2bl w:val="nil"/>
            </w:tcBorders>
            <w:noWrap w:val="0"/>
            <w:vAlign w:val="center"/>
          </w:tcPr>
          <w:p w14:paraId="0E6E09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rPr>
              <w:t>空间布局约束</w:t>
            </w:r>
          </w:p>
        </w:tc>
        <w:tc>
          <w:tcPr>
            <w:tcW w:w="2665" w:type="pct"/>
            <w:tcBorders>
              <w:tl2br w:val="nil"/>
              <w:tr2bl w:val="nil"/>
            </w:tcBorders>
            <w:noWrap w:val="0"/>
            <w:vAlign w:val="center"/>
          </w:tcPr>
          <w:p w14:paraId="4FBD52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rPr>
              <w:t>1.璧山高新区新、改、扩建涉及V</w:t>
            </w:r>
            <w:r>
              <w:rPr>
                <w:rFonts w:hint="eastAsia" w:cs="Times New Roman"/>
                <w:b w:val="0"/>
                <w:bCs w:val="0"/>
                <w:kern w:val="0"/>
                <w:sz w:val="21"/>
                <w:szCs w:val="21"/>
                <w:highlight w:val="none"/>
                <w:vertAlign w:val="baseline"/>
                <w:lang w:val="en-US" w:eastAsia="zh-CN"/>
              </w:rPr>
              <w:t>O</w:t>
            </w:r>
            <w:r>
              <w:rPr>
                <w:rFonts w:hint="eastAsia" w:ascii="Times New Roman" w:hAnsi="Times New Roman" w:eastAsia="宋体" w:cs="Times New Roman"/>
                <w:b w:val="0"/>
                <w:bCs w:val="0"/>
                <w:kern w:val="0"/>
                <w:sz w:val="21"/>
                <w:szCs w:val="21"/>
                <w:highlight w:val="none"/>
                <w:vertAlign w:val="baseline"/>
                <w:lang w:val="en-US" w:eastAsia="zh-CN"/>
              </w:rPr>
              <w:t>CS排放的制鞋企业实行V</w:t>
            </w:r>
            <w:r>
              <w:rPr>
                <w:rFonts w:hint="eastAsia" w:cs="Times New Roman"/>
                <w:b w:val="0"/>
                <w:bCs w:val="0"/>
                <w:kern w:val="0"/>
                <w:sz w:val="21"/>
                <w:szCs w:val="21"/>
                <w:highlight w:val="none"/>
                <w:vertAlign w:val="baseline"/>
                <w:lang w:val="en-US" w:eastAsia="zh-CN"/>
              </w:rPr>
              <w:t>O</w:t>
            </w:r>
            <w:r>
              <w:rPr>
                <w:rFonts w:hint="eastAsia" w:ascii="Times New Roman" w:hAnsi="Times New Roman" w:eastAsia="宋体" w:cs="Times New Roman"/>
                <w:b w:val="0"/>
                <w:bCs w:val="0"/>
                <w:kern w:val="0"/>
                <w:sz w:val="21"/>
                <w:szCs w:val="21"/>
                <w:highlight w:val="none"/>
                <w:vertAlign w:val="baseline"/>
                <w:lang w:val="en-US" w:eastAsia="zh-CN"/>
              </w:rPr>
              <w:t>CS排放量等量替换。</w:t>
            </w:r>
          </w:p>
        </w:tc>
        <w:tc>
          <w:tcPr>
            <w:tcW w:w="960" w:type="pct"/>
            <w:tcBorders>
              <w:tl2br w:val="nil"/>
              <w:tr2bl w:val="nil"/>
            </w:tcBorders>
            <w:noWrap w:val="0"/>
            <w:vAlign w:val="center"/>
          </w:tcPr>
          <w:p w14:paraId="2833A2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拟建项目</w:t>
            </w:r>
            <w:r>
              <w:rPr>
                <w:rFonts w:hint="eastAsia" w:cs="Times New Roman"/>
                <w:b w:val="0"/>
                <w:bCs w:val="0"/>
                <w:kern w:val="0"/>
                <w:sz w:val="21"/>
                <w:szCs w:val="21"/>
                <w:highlight w:val="none"/>
                <w:vertAlign w:val="baseline"/>
                <w:lang w:val="en-US" w:eastAsia="zh-CN"/>
              </w:rPr>
              <w:t>不属于制鞋企业</w:t>
            </w:r>
          </w:p>
        </w:tc>
        <w:tc>
          <w:tcPr>
            <w:tcW w:w="608" w:type="pct"/>
            <w:tcBorders>
              <w:tl2br w:val="nil"/>
              <w:tr2bl w:val="nil"/>
            </w:tcBorders>
            <w:noWrap w:val="0"/>
            <w:vAlign w:val="center"/>
          </w:tcPr>
          <w:p w14:paraId="6086DE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3C9BD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81DE8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tcBorders>
              <w:tl2br w:val="nil"/>
              <w:tr2bl w:val="nil"/>
            </w:tcBorders>
            <w:noWrap w:val="0"/>
            <w:vAlign w:val="center"/>
          </w:tcPr>
          <w:p w14:paraId="7AF957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p>
        </w:tc>
        <w:tc>
          <w:tcPr>
            <w:tcW w:w="2665" w:type="pct"/>
            <w:tcBorders>
              <w:tl2br w:val="nil"/>
              <w:tr2bl w:val="nil"/>
            </w:tcBorders>
            <w:noWrap w:val="0"/>
            <w:vAlign w:val="center"/>
          </w:tcPr>
          <w:p w14:paraId="291C13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cs="Times New Roman"/>
                <w:b w:val="0"/>
                <w:bCs w:val="0"/>
                <w:kern w:val="0"/>
                <w:sz w:val="21"/>
                <w:szCs w:val="21"/>
                <w:highlight w:val="none"/>
                <w:vertAlign w:val="baseline"/>
                <w:lang w:val="en-US" w:eastAsia="zh-CN"/>
              </w:rPr>
              <w:t>2.</w:t>
            </w:r>
            <w:r>
              <w:rPr>
                <w:rFonts w:hint="eastAsia" w:ascii="Times New Roman" w:hAnsi="Times New Roman" w:eastAsia="宋体" w:cs="Times New Roman"/>
                <w:b w:val="0"/>
                <w:bCs w:val="0"/>
                <w:kern w:val="0"/>
                <w:sz w:val="21"/>
                <w:szCs w:val="21"/>
                <w:highlight w:val="none"/>
                <w:vertAlign w:val="baseline"/>
                <w:lang w:val="en-US" w:eastAsia="zh-CN"/>
              </w:rPr>
              <w:t>璧山高新区淘汰高污染、高环境风险的落后产能，严格限制高耗水工艺、技术、装备的工业项目入驻。</w:t>
            </w:r>
          </w:p>
        </w:tc>
        <w:tc>
          <w:tcPr>
            <w:tcW w:w="960" w:type="pct"/>
            <w:tcBorders>
              <w:tl2br w:val="nil"/>
              <w:tr2bl w:val="nil"/>
            </w:tcBorders>
            <w:noWrap w:val="0"/>
            <w:vAlign w:val="center"/>
          </w:tcPr>
          <w:p w14:paraId="06E80D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bidi="ar-SA"/>
              </w:rPr>
            </w:pPr>
            <w:r>
              <w:rPr>
                <w:rFonts w:hint="default" w:ascii="Times New Roman" w:hAnsi="Times New Roman" w:eastAsia="宋体" w:cs="Times New Roman"/>
                <w:b w:val="0"/>
                <w:bCs w:val="0"/>
                <w:kern w:val="0"/>
                <w:sz w:val="21"/>
                <w:szCs w:val="21"/>
                <w:highlight w:val="none"/>
                <w:vertAlign w:val="baseline"/>
                <w:lang w:val="en-US" w:eastAsia="zh-CN"/>
              </w:rPr>
              <w:t>拟建项目</w:t>
            </w:r>
            <w:r>
              <w:rPr>
                <w:rFonts w:hint="eastAsia" w:cs="Times New Roman"/>
                <w:b w:val="0"/>
                <w:bCs w:val="0"/>
                <w:kern w:val="0"/>
                <w:sz w:val="21"/>
                <w:szCs w:val="21"/>
                <w:highlight w:val="none"/>
                <w:vertAlign w:val="baseline"/>
                <w:lang w:val="en-US" w:eastAsia="zh-CN"/>
              </w:rPr>
              <w:t>不属于左列企业</w:t>
            </w:r>
          </w:p>
        </w:tc>
        <w:tc>
          <w:tcPr>
            <w:tcW w:w="608" w:type="pct"/>
            <w:tcBorders>
              <w:tl2br w:val="nil"/>
              <w:tr2bl w:val="nil"/>
            </w:tcBorders>
            <w:noWrap w:val="0"/>
            <w:vAlign w:val="center"/>
          </w:tcPr>
          <w:p w14:paraId="271D5C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613EB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303D6C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tcBorders>
              <w:tl2br w:val="nil"/>
              <w:tr2bl w:val="nil"/>
            </w:tcBorders>
            <w:noWrap w:val="0"/>
            <w:vAlign w:val="center"/>
          </w:tcPr>
          <w:p w14:paraId="40AB27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p>
        </w:tc>
        <w:tc>
          <w:tcPr>
            <w:tcW w:w="2665" w:type="pct"/>
            <w:tcBorders>
              <w:tl2br w:val="nil"/>
              <w:tr2bl w:val="nil"/>
            </w:tcBorders>
            <w:noWrap w:val="0"/>
            <w:vAlign w:val="center"/>
          </w:tcPr>
          <w:p w14:paraId="51380E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3.紧邻居住用地的工业用地，禁止引入排放高噪声、异味气体等易扰民的工业项目，居住用地周边的未开发工业用地调整为一类工业用地。璧山城区璧泉街道上风向入驻涉及排放颗粒物、V</w:t>
            </w:r>
            <w:r>
              <w:rPr>
                <w:rFonts w:hint="eastAsia" w:cs="Times New Roman"/>
                <w:b w:val="0"/>
                <w:bCs w:val="0"/>
                <w:kern w:val="0"/>
                <w:sz w:val="21"/>
                <w:szCs w:val="21"/>
                <w:highlight w:val="none"/>
                <w:vertAlign w:val="baseline"/>
                <w:lang w:val="en-US" w:eastAsia="zh-CN"/>
              </w:rPr>
              <w:t>O</w:t>
            </w:r>
            <w:r>
              <w:rPr>
                <w:rFonts w:hint="eastAsia" w:ascii="Times New Roman" w:hAnsi="Times New Roman" w:eastAsia="宋体" w:cs="Times New Roman"/>
                <w:b w:val="0"/>
                <w:bCs w:val="0"/>
                <w:kern w:val="0"/>
                <w:sz w:val="21"/>
                <w:szCs w:val="21"/>
                <w:highlight w:val="none"/>
                <w:vertAlign w:val="baseline"/>
                <w:lang w:val="en-US" w:eastAsia="zh-CN"/>
              </w:rPr>
              <w:t>Cs的工业企业，其污染物排放原则</w:t>
            </w:r>
          </w:p>
          <w:p w14:paraId="48EDE3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上严于国家或我市排放标准。</w:t>
            </w:r>
          </w:p>
        </w:tc>
        <w:tc>
          <w:tcPr>
            <w:tcW w:w="960" w:type="pct"/>
            <w:tcBorders>
              <w:tl2br w:val="nil"/>
              <w:tr2bl w:val="nil"/>
            </w:tcBorders>
            <w:noWrap w:val="0"/>
            <w:vAlign w:val="center"/>
          </w:tcPr>
          <w:p w14:paraId="45C489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拟建项目不属于工业项目和工业企业，不涉及排放颗粒物和VOCs</w:t>
            </w:r>
          </w:p>
        </w:tc>
        <w:tc>
          <w:tcPr>
            <w:tcW w:w="608" w:type="pct"/>
            <w:tcBorders>
              <w:tl2br w:val="nil"/>
              <w:tr2bl w:val="nil"/>
            </w:tcBorders>
            <w:noWrap w:val="0"/>
            <w:vAlign w:val="center"/>
          </w:tcPr>
          <w:p w14:paraId="222419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105E7D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14:paraId="2C3E69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tcBorders>
              <w:tl2br w:val="nil"/>
              <w:tr2bl w:val="nil"/>
            </w:tcBorders>
            <w:noWrap w:val="0"/>
            <w:vAlign w:val="center"/>
          </w:tcPr>
          <w:p w14:paraId="56F618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rPr>
              <w:t>污染物排放管控</w:t>
            </w:r>
          </w:p>
        </w:tc>
        <w:tc>
          <w:tcPr>
            <w:tcW w:w="2665" w:type="pct"/>
            <w:tcBorders>
              <w:tl2br w:val="nil"/>
              <w:tr2bl w:val="nil"/>
            </w:tcBorders>
            <w:noWrap w:val="0"/>
            <w:vAlign w:val="center"/>
          </w:tcPr>
          <w:p w14:paraId="6C469D8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rPr>
              <w:t>1.璧山高新区涉及挥发性有机物排放重点企业应逐步安装V</w:t>
            </w:r>
            <w:r>
              <w:rPr>
                <w:rFonts w:hint="eastAsia" w:cs="Times New Roman"/>
                <w:b w:val="0"/>
                <w:bCs w:val="0"/>
                <w:kern w:val="0"/>
                <w:sz w:val="21"/>
                <w:szCs w:val="21"/>
                <w:highlight w:val="none"/>
                <w:vertAlign w:val="baseline"/>
                <w:lang w:val="en-US" w:eastAsia="zh-CN"/>
              </w:rPr>
              <w:t>O</w:t>
            </w:r>
            <w:r>
              <w:rPr>
                <w:rFonts w:hint="eastAsia" w:ascii="Times New Roman" w:hAnsi="Times New Roman" w:eastAsia="宋体" w:cs="Times New Roman"/>
                <w:b w:val="0"/>
                <w:bCs w:val="0"/>
                <w:kern w:val="0"/>
                <w:sz w:val="21"/>
                <w:szCs w:val="21"/>
                <w:highlight w:val="none"/>
                <w:vertAlign w:val="baseline"/>
                <w:lang w:val="en-US" w:eastAsia="zh-CN"/>
              </w:rPr>
              <w:t>Cs在线监测设备，控制有组织废气的排放。2.璧山高新区推进新能源汽车、智能装备制造等重点行业V</w:t>
            </w:r>
            <w:r>
              <w:rPr>
                <w:rFonts w:hint="eastAsia" w:cs="Times New Roman"/>
                <w:b w:val="0"/>
                <w:bCs w:val="0"/>
                <w:kern w:val="0"/>
                <w:sz w:val="21"/>
                <w:szCs w:val="21"/>
                <w:highlight w:val="none"/>
                <w:vertAlign w:val="baseline"/>
                <w:lang w:val="en-US" w:eastAsia="zh-CN"/>
              </w:rPr>
              <w:t>O</w:t>
            </w:r>
            <w:r>
              <w:rPr>
                <w:rFonts w:hint="eastAsia" w:ascii="Times New Roman" w:hAnsi="Times New Roman" w:eastAsia="宋体" w:cs="Times New Roman"/>
                <w:b w:val="0"/>
                <w:bCs w:val="0"/>
                <w:kern w:val="0"/>
                <w:sz w:val="21"/>
                <w:szCs w:val="21"/>
                <w:highlight w:val="none"/>
                <w:vertAlign w:val="baseline"/>
                <w:lang w:val="en-US" w:eastAsia="zh-CN"/>
              </w:rPr>
              <w:t>Cs深度治理，建立完善的V</w:t>
            </w:r>
            <w:r>
              <w:rPr>
                <w:rFonts w:hint="eastAsia" w:cs="Times New Roman"/>
                <w:b w:val="0"/>
                <w:bCs w:val="0"/>
                <w:kern w:val="0"/>
                <w:sz w:val="21"/>
                <w:szCs w:val="21"/>
                <w:highlight w:val="none"/>
                <w:vertAlign w:val="baseline"/>
                <w:lang w:val="en-US" w:eastAsia="zh-CN"/>
              </w:rPr>
              <w:t>O</w:t>
            </w:r>
            <w:r>
              <w:rPr>
                <w:rFonts w:hint="eastAsia" w:ascii="Times New Roman" w:hAnsi="Times New Roman" w:eastAsia="宋体" w:cs="Times New Roman"/>
                <w:b w:val="0"/>
                <w:bCs w:val="0"/>
                <w:kern w:val="0"/>
                <w:sz w:val="21"/>
                <w:szCs w:val="21"/>
                <w:highlight w:val="none"/>
                <w:vertAlign w:val="baseline"/>
                <w:lang w:val="en-US" w:eastAsia="zh-CN"/>
              </w:rPr>
              <w:t>Cs排放监管与监测长效机制。</w:t>
            </w:r>
          </w:p>
        </w:tc>
        <w:tc>
          <w:tcPr>
            <w:tcW w:w="960" w:type="pct"/>
            <w:tcBorders>
              <w:tl2br w:val="nil"/>
              <w:tr2bl w:val="nil"/>
            </w:tcBorders>
            <w:noWrap w:val="0"/>
            <w:vAlign w:val="center"/>
          </w:tcPr>
          <w:p w14:paraId="274E4B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拟建项目</w:t>
            </w:r>
            <w:r>
              <w:rPr>
                <w:rFonts w:hint="eastAsia" w:cs="Times New Roman"/>
                <w:b w:val="0"/>
                <w:bCs w:val="0"/>
                <w:kern w:val="0"/>
                <w:sz w:val="21"/>
                <w:szCs w:val="21"/>
                <w:highlight w:val="none"/>
                <w:vertAlign w:val="baseline"/>
                <w:lang w:val="en-US" w:eastAsia="zh-CN"/>
              </w:rPr>
              <w:t>不属于</w:t>
            </w:r>
            <w:r>
              <w:rPr>
                <w:rFonts w:hint="eastAsia" w:ascii="Times New Roman" w:hAnsi="Times New Roman" w:eastAsia="宋体" w:cs="Times New Roman"/>
                <w:b w:val="0"/>
                <w:bCs w:val="0"/>
                <w:kern w:val="0"/>
                <w:sz w:val="21"/>
                <w:szCs w:val="21"/>
                <w:highlight w:val="none"/>
                <w:vertAlign w:val="baseline"/>
                <w:lang w:val="en-US" w:eastAsia="zh-CN"/>
              </w:rPr>
              <w:t>涉及挥发性有机物排放重点企业和新能源汽车、智能装备制造等重点行业</w:t>
            </w:r>
          </w:p>
        </w:tc>
        <w:tc>
          <w:tcPr>
            <w:tcW w:w="608" w:type="pct"/>
            <w:tcBorders>
              <w:tl2br w:val="nil"/>
              <w:tr2bl w:val="nil"/>
            </w:tcBorders>
            <w:noWrap w:val="0"/>
            <w:vAlign w:val="center"/>
          </w:tcPr>
          <w:p w14:paraId="157B79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00B39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7709C6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restart"/>
            <w:noWrap w:val="0"/>
            <w:vAlign w:val="center"/>
          </w:tcPr>
          <w:p w14:paraId="4B0544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bidi="ar-SA"/>
              </w:rPr>
            </w:pPr>
            <w:r>
              <w:rPr>
                <w:rFonts w:hint="eastAsia" w:ascii="Times New Roman" w:hAnsi="Times New Roman" w:eastAsia="宋体" w:cs="Times New Roman"/>
                <w:b w:val="0"/>
                <w:bCs w:val="0"/>
                <w:kern w:val="0"/>
                <w:sz w:val="21"/>
                <w:szCs w:val="21"/>
                <w:highlight w:val="none"/>
                <w:vertAlign w:val="baseline"/>
                <w:lang w:val="en-US" w:eastAsia="zh-CN"/>
              </w:rPr>
              <w:t>环境风险防控</w:t>
            </w:r>
          </w:p>
        </w:tc>
        <w:tc>
          <w:tcPr>
            <w:tcW w:w="2665" w:type="pct"/>
            <w:noWrap w:val="0"/>
            <w:vAlign w:val="center"/>
          </w:tcPr>
          <w:p w14:paraId="493FC4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1.涉重金属企业应按相关要求设置围堰、应急事故池、切换装置、采取相应地面防渗处理等;涉及危险化学品储存及产生大量生产废水的工业企业应按相关要求采取相应的地面防渗措施和事故应急措施。</w:t>
            </w:r>
          </w:p>
        </w:tc>
        <w:tc>
          <w:tcPr>
            <w:tcW w:w="960" w:type="pct"/>
            <w:noWrap w:val="0"/>
            <w:vAlign w:val="center"/>
          </w:tcPr>
          <w:p w14:paraId="190FD1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本项目不涉及重金属、危险化学品和大量生产废水</w:t>
            </w:r>
          </w:p>
        </w:tc>
        <w:tc>
          <w:tcPr>
            <w:tcW w:w="608" w:type="pct"/>
            <w:noWrap w:val="0"/>
            <w:vAlign w:val="center"/>
          </w:tcPr>
          <w:p w14:paraId="064276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7A1A5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6507C0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noWrap w:val="0"/>
            <w:vAlign w:val="center"/>
          </w:tcPr>
          <w:p w14:paraId="521A29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p>
        </w:tc>
        <w:tc>
          <w:tcPr>
            <w:tcW w:w="2665" w:type="pct"/>
            <w:noWrap w:val="0"/>
            <w:vAlign w:val="center"/>
          </w:tcPr>
          <w:p w14:paraId="39994A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2.加强电镀集中加工区污水处理厂及事故池的维护和监管，加强土壤风险重点管控区土壤及地下水监测。</w:t>
            </w:r>
          </w:p>
        </w:tc>
        <w:tc>
          <w:tcPr>
            <w:tcW w:w="960" w:type="pct"/>
            <w:noWrap w:val="0"/>
            <w:vAlign w:val="center"/>
          </w:tcPr>
          <w:p w14:paraId="654AE3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本项目不涉及</w:t>
            </w:r>
          </w:p>
        </w:tc>
        <w:tc>
          <w:tcPr>
            <w:tcW w:w="608" w:type="pct"/>
            <w:noWrap w:val="0"/>
            <w:vAlign w:val="center"/>
          </w:tcPr>
          <w:p w14:paraId="0ECA51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7DA5C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4A2CA6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noWrap w:val="0"/>
            <w:vAlign w:val="center"/>
          </w:tcPr>
          <w:p w14:paraId="456316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p>
        </w:tc>
        <w:tc>
          <w:tcPr>
            <w:tcW w:w="2665" w:type="pct"/>
            <w:noWrap w:val="0"/>
            <w:vAlign w:val="center"/>
          </w:tcPr>
          <w:p w14:paraId="01EEC4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3.产生、利用或</w:t>
            </w:r>
            <w:r>
              <w:rPr>
                <w:rFonts w:hint="eastAsia" w:cs="Times New Roman"/>
                <w:b w:val="0"/>
                <w:bCs w:val="0"/>
                <w:kern w:val="0"/>
                <w:sz w:val="21"/>
                <w:szCs w:val="21"/>
                <w:highlight w:val="none"/>
                <w:vertAlign w:val="baseline"/>
                <w:lang w:val="en-US" w:eastAsia="zh-CN"/>
              </w:rPr>
              <w:t>处置</w:t>
            </w:r>
            <w:r>
              <w:rPr>
                <w:rFonts w:hint="eastAsia" w:ascii="Times New Roman" w:hAnsi="Times New Roman" w:eastAsia="宋体" w:cs="Times New Roman"/>
                <w:b w:val="0"/>
                <w:bCs w:val="0"/>
                <w:kern w:val="0"/>
                <w:sz w:val="21"/>
                <w:szCs w:val="21"/>
                <w:highlight w:val="none"/>
                <w:vertAlign w:val="baseline"/>
                <w:lang w:val="en-US" w:eastAsia="zh-CN"/>
              </w:rPr>
              <w:t>固体废物(含危险废物)的工业企业，在贮存、转移、利用、处置固体废物过程中，应配套建设防止污染环境的措施。</w:t>
            </w:r>
          </w:p>
        </w:tc>
        <w:tc>
          <w:tcPr>
            <w:tcW w:w="960" w:type="pct"/>
            <w:noWrap w:val="0"/>
            <w:vAlign w:val="center"/>
          </w:tcPr>
          <w:p w14:paraId="54172E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本项目不属于</w:t>
            </w:r>
            <w:r>
              <w:rPr>
                <w:rFonts w:hint="eastAsia" w:ascii="Times New Roman" w:hAnsi="Times New Roman" w:eastAsia="宋体" w:cs="Times New Roman"/>
                <w:b w:val="0"/>
                <w:bCs w:val="0"/>
                <w:kern w:val="0"/>
                <w:sz w:val="21"/>
                <w:szCs w:val="21"/>
                <w:highlight w:val="none"/>
                <w:vertAlign w:val="baseline"/>
                <w:lang w:val="en-US" w:eastAsia="zh-CN"/>
              </w:rPr>
              <w:t>产生、利用或</w:t>
            </w:r>
            <w:r>
              <w:rPr>
                <w:rFonts w:hint="eastAsia" w:cs="Times New Roman"/>
                <w:b w:val="0"/>
                <w:bCs w:val="0"/>
                <w:kern w:val="0"/>
                <w:sz w:val="21"/>
                <w:szCs w:val="21"/>
                <w:highlight w:val="none"/>
                <w:vertAlign w:val="baseline"/>
                <w:lang w:val="en-US" w:eastAsia="zh-CN"/>
              </w:rPr>
              <w:t>处置</w:t>
            </w:r>
            <w:r>
              <w:rPr>
                <w:rFonts w:hint="eastAsia" w:ascii="Times New Roman" w:hAnsi="Times New Roman" w:eastAsia="宋体" w:cs="Times New Roman"/>
                <w:b w:val="0"/>
                <w:bCs w:val="0"/>
                <w:kern w:val="0"/>
                <w:sz w:val="21"/>
                <w:szCs w:val="21"/>
                <w:highlight w:val="none"/>
                <w:vertAlign w:val="baseline"/>
                <w:lang w:val="en-US" w:eastAsia="zh-CN"/>
              </w:rPr>
              <w:t>固体废物(含危险废物)的工业企业</w:t>
            </w:r>
          </w:p>
        </w:tc>
        <w:tc>
          <w:tcPr>
            <w:tcW w:w="608" w:type="pct"/>
            <w:noWrap w:val="0"/>
            <w:vAlign w:val="center"/>
          </w:tcPr>
          <w:p w14:paraId="02FB93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25042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7849E6E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restart"/>
            <w:noWrap w:val="0"/>
            <w:vAlign w:val="center"/>
          </w:tcPr>
          <w:p w14:paraId="0DC9C7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资源开发效率要求</w:t>
            </w:r>
          </w:p>
        </w:tc>
        <w:tc>
          <w:tcPr>
            <w:tcW w:w="2665" w:type="pct"/>
            <w:noWrap w:val="0"/>
            <w:vAlign w:val="center"/>
          </w:tcPr>
          <w:p w14:paraId="23CE00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1.提高观音塘、青杠、丁家、来凤、三角滩和高新区等6座再生水厂再生水利用率;城市绿化、道路清扫、建筑施工用水等，在满足水质要求条件下，优先使用再生水。</w:t>
            </w:r>
          </w:p>
        </w:tc>
        <w:tc>
          <w:tcPr>
            <w:tcW w:w="960" w:type="pct"/>
            <w:noWrap w:val="0"/>
            <w:vAlign w:val="center"/>
          </w:tcPr>
          <w:p w14:paraId="2E3B35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本项目不涉及</w:t>
            </w:r>
          </w:p>
        </w:tc>
        <w:tc>
          <w:tcPr>
            <w:tcW w:w="608" w:type="pct"/>
            <w:noWrap w:val="0"/>
            <w:vAlign w:val="center"/>
          </w:tcPr>
          <w:p w14:paraId="3FF730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28899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272B54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noWrap w:val="0"/>
            <w:vAlign w:val="center"/>
          </w:tcPr>
          <w:p w14:paraId="2B869F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p>
        </w:tc>
        <w:tc>
          <w:tcPr>
            <w:tcW w:w="2665" w:type="pct"/>
            <w:noWrap w:val="0"/>
            <w:vAlign w:val="center"/>
          </w:tcPr>
          <w:p w14:paraId="170D42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2.加强工业用水技术工艺改造，定期开展用水统计和用水合理性分析，利用高新区统一供水、废水集中治理，保障企业绿色低碳转型升级、工业废气处理设施改造和工业固体废物源头减量等过程中的用水需求，通过发展水资源厂内梯级利用、区域梯级利用和中水回用等措施，提高水循环利用率、降低单位产品耗水量。</w:t>
            </w:r>
          </w:p>
        </w:tc>
        <w:tc>
          <w:tcPr>
            <w:tcW w:w="960" w:type="pct"/>
            <w:noWrap w:val="0"/>
            <w:vAlign w:val="center"/>
          </w:tcPr>
          <w:p w14:paraId="7D2C09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本项目不涉及</w:t>
            </w:r>
          </w:p>
        </w:tc>
        <w:tc>
          <w:tcPr>
            <w:tcW w:w="608" w:type="pct"/>
            <w:noWrap w:val="0"/>
            <w:vAlign w:val="center"/>
          </w:tcPr>
          <w:p w14:paraId="04597B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36300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44A79A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noWrap w:val="0"/>
            <w:vAlign w:val="center"/>
          </w:tcPr>
          <w:p w14:paraId="41BDA0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p>
        </w:tc>
        <w:tc>
          <w:tcPr>
            <w:tcW w:w="2665" w:type="pct"/>
            <w:noWrap w:val="0"/>
            <w:vAlign w:val="center"/>
          </w:tcPr>
          <w:p w14:paraId="7EB815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3.能源以天然气和电为主，重点企业严格按照《清洁生产促进法》等法规开展强制性清洁生产审核，鼓励非强制审核企业自愿开展清洁生产审核。</w:t>
            </w:r>
          </w:p>
        </w:tc>
        <w:tc>
          <w:tcPr>
            <w:tcW w:w="960" w:type="pct"/>
            <w:noWrap w:val="0"/>
            <w:vAlign w:val="center"/>
          </w:tcPr>
          <w:p w14:paraId="5DFD8D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本项目使用能源为电能</w:t>
            </w:r>
          </w:p>
        </w:tc>
        <w:tc>
          <w:tcPr>
            <w:tcW w:w="608" w:type="pct"/>
            <w:noWrap w:val="0"/>
            <w:vAlign w:val="center"/>
          </w:tcPr>
          <w:p w14:paraId="4A7166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r w14:paraId="1CBAA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noWrap w:val="0"/>
            <w:vAlign w:val="top"/>
          </w:tcPr>
          <w:p w14:paraId="5EBC6B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yellow"/>
                <w:vertAlign w:val="baseline"/>
                <w:lang w:val="en-US" w:eastAsia="zh-CN"/>
              </w:rPr>
            </w:pPr>
          </w:p>
        </w:tc>
        <w:tc>
          <w:tcPr>
            <w:tcW w:w="425" w:type="pct"/>
            <w:vMerge w:val="continue"/>
            <w:noWrap w:val="0"/>
            <w:vAlign w:val="center"/>
          </w:tcPr>
          <w:p w14:paraId="5E4219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p>
        </w:tc>
        <w:tc>
          <w:tcPr>
            <w:tcW w:w="2665" w:type="pct"/>
            <w:noWrap w:val="0"/>
            <w:vAlign w:val="center"/>
          </w:tcPr>
          <w:p w14:paraId="0293BF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4.璧山高新区实施近零碳园区建设，提升园区绿色低碳发展水平。发展低碳清洁能源，绿色基础设施建设不断完善，园区清洁能源使用率、水资源循环利用率、绿色建筑比例均达到国内领先水平。</w:t>
            </w:r>
          </w:p>
        </w:tc>
        <w:tc>
          <w:tcPr>
            <w:tcW w:w="960" w:type="pct"/>
            <w:noWrap w:val="0"/>
            <w:vAlign w:val="center"/>
          </w:tcPr>
          <w:p w14:paraId="3C0017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cs="Times New Roman"/>
                <w:b w:val="0"/>
                <w:bCs w:val="0"/>
                <w:kern w:val="0"/>
                <w:sz w:val="21"/>
                <w:szCs w:val="21"/>
                <w:highlight w:val="none"/>
                <w:vertAlign w:val="baseline"/>
                <w:lang w:val="en-US" w:eastAsia="zh-CN"/>
              </w:rPr>
              <w:t>本项目使用能源为电能</w:t>
            </w:r>
          </w:p>
        </w:tc>
        <w:tc>
          <w:tcPr>
            <w:tcW w:w="608" w:type="pct"/>
            <w:noWrap w:val="0"/>
            <w:vAlign w:val="center"/>
          </w:tcPr>
          <w:p w14:paraId="4A3C453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eastAsia" w:ascii="Times New Roman" w:hAnsi="Times New Roman" w:eastAsia="宋体" w:cs="Times New Roman"/>
                <w:b w:val="0"/>
                <w:bCs w:val="0"/>
                <w:kern w:val="0"/>
                <w:sz w:val="21"/>
                <w:szCs w:val="21"/>
                <w:highlight w:val="none"/>
                <w:vertAlign w:val="baseline"/>
                <w:lang w:val="en-US" w:eastAsia="zh-CN"/>
              </w:rPr>
              <w:t>符合</w:t>
            </w:r>
          </w:p>
        </w:tc>
      </w:tr>
    </w:tbl>
    <w:p w14:paraId="6753A3B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jc w:val="center"/>
        <w:textAlignment w:val="auto"/>
        <w:rPr>
          <w:rFonts w:hint="default" w:ascii="Times New Roman" w:hAnsi="Times New Roman" w:eastAsia="宋体" w:cs="Times New Roman"/>
          <w:b w:val="0"/>
          <w:bCs w:val="0"/>
          <w:kern w:val="0"/>
          <w:sz w:val="24"/>
          <w:szCs w:val="24"/>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555"/>
      </w:tblGrid>
      <w:tr w14:paraId="4C0A3E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06" w:hRule="atLeast"/>
        </w:trPr>
        <w:tc>
          <w:tcPr>
            <w:tcW w:w="279" w:type="pct"/>
            <w:tcBorders>
              <w:tl2br w:val="nil"/>
              <w:tr2bl w:val="nil"/>
            </w:tcBorders>
            <w:noWrap w:val="0"/>
            <w:vAlign w:val="center"/>
          </w:tcPr>
          <w:p w14:paraId="1D157AC2">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其他符合性分析</w:t>
            </w:r>
          </w:p>
        </w:tc>
        <w:tc>
          <w:tcPr>
            <w:tcW w:w="4720" w:type="pct"/>
            <w:tcBorders>
              <w:tl2br w:val="nil"/>
              <w:tr2bl w:val="nil"/>
            </w:tcBorders>
            <w:noWrap w:val="0"/>
            <w:vAlign w:val="center"/>
          </w:tcPr>
          <w:p w14:paraId="04B208C5">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sz w:val="24"/>
                <w:szCs w:val="24"/>
                <w:vertAlign w:val="baseline"/>
              </w:rPr>
            </w:pPr>
            <w:r>
              <w:rPr>
                <w:rFonts w:hint="default" w:ascii="Times New Roman" w:hAnsi="Times New Roman" w:eastAsia="宋体" w:cs="Times New Roman"/>
                <w:b/>
                <w:bCs/>
                <w:sz w:val="24"/>
                <w:szCs w:val="24"/>
                <w:vertAlign w:val="baseline"/>
              </w:rPr>
              <w:t>与《产业结构调整指导目录》</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2024年本</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符合性分析</w:t>
            </w:r>
          </w:p>
          <w:p w14:paraId="6C32FA4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根据《产业结构调整指导目录</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20</w:t>
            </w:r>
            <w:r>
              <w:rPr>
                <w:rFonts w:hint="eastAsia" w:cs="Times New Roman"/>
                <w:b w:val="0"/>
                <w:bCs w:val="0"/>
                <w:kern w:val="0"/>
                <w:sz w:val="24"/>
                <w:szCs w:val="24"/>
                <w:lang w:val="en-US" w:eastAsia="zh-CN"/>
              </w:rPr>
              <w:t>24</w:t>
            </w:r>
            <w:r>
              <w:rPr>
                <w:rFonts w:hint="default" w:ascii="Times New Roman" w:hAnsi="Times New Roman" w:eastAsia="宋体" w:cs="Times New Roman"/>
                <w:b w:val="0"/>
                <w:bCs w:val="0"/>
                <w:kern w:val="0"/>
                <w:sz w:val="24"/>
                <w:szCs w:val="24"/>
                <w:lang w:val="en-US" w:eastAsia="zh-CN"/>
              </w:rPr>
              <w:t>年本</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》，拟建项目不属于鼓励类、限制类和淘汰类，属于允许类项目，符合国家产业政策。</w:t>
            </w:r>
          </w:p>
          <w:p w14:paraId="5686732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Times New Roman" w:hAnsi="Times New Roman" w:eastAsia="宋体" w:cs="Times New Roman"/>
                <w:b/>
                <w:bCs/>
                <w:sz w:val="24"/>
                <w:szCs w:val="24"/>
                <w:vertAlign w:val="baseline"/>
              </w:rPr>
            </w:pPr>
            <w:r>
              <w:rPr>
                <w:rFonts w:hint="eastAsia" w:cs="Times New Roman"/>
                <w:b/>
                <w:bCs/>
                <w:sz w:val="24"/>
                <w:szCs w:val="24"/>
                <w:vertAlign w:val="baseline"/>
                <w:lang w:val="en-US" w:eastAsia="zh-CN"/>
              </w:rPr>
              <w:t>其他</w:t>
            </w:r>
            <w:r>
              <w:rPr>
                <w:rFonts w:hint="eastAsia" w:ascii="Times New Roman" w:hAnsi="Times New Roman" w:eastAsia="宋体" w:cs="Times New Roman"/>
                <w:b/>
                <w:bCs/>
                <w:sz w:val="24"/>
                <w:szCs w:val="24"/>
                <w:vertAlign w:val="baseline"/>
                <w:lang w:val="en-US" w:eastAsia="zh-CN"/>
              </w:rPr>
              <w:t>政策</w:t>
            </w:r>
            <w:r>
              <w:rPr>
                <w:rFonts w:hint="default" w:ascii="Times New Roman" w:hAnsi="Times New Roman" w:eastAsia="宋体" w:cs="Times New Roman"/>
                <w:b/>
                <w:bCs/>
                <w:sz w:val="24"/>
                <w:szCs w:val="24"/>
                <w:vertAlign w:val="baseline"/>
              </w:rPr>
              <w:t>符合性分析</w:t>
            </w:r>
          </w:p>
          <w:p w14:paraId="373F43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sz w:val="24"/>
                <w:szCs w:val="24"/>
                <w:vertAlign w:val="baseline"/>
              </w:rPr>
            </w:pPr>
            <w:r>
              <w:rPr>
                <w:rFonts w:hint="default" w:ascii="Times New Roman" w:hAnsi="Times New Roman" w:eastAsia="宋体" w:cs="Times New Roman"/>
                <w:b/>
                <w:bCs/>
                <w:sz w:val="24"/>
                <w:szCs w:val="24"/>
                <w:vertAlign w:val="baseline"/>
              </w:rPr>
              <w:t>3.1与《重庆市发展和改革委员会关于印发重庆市产业投资准入工作手册的通知》</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渝发改投资</w:t>
            </w:r>
            <w:r>
              <w:rPr>
                <w:rFonts w:hint="eastAsia" w:cs="Times New Roman"/>
                <w:b/>
                <w:bCs/>
                <w:sz w:val="24"/>
                <w:szCs w:val="24"/>
                <w:vertAlign w:val="baseline"/>
                <w:lang w:eastAsia="zh-CN"/>
              </w:rPr>
              <w:t>〔2022〕1436号</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符合性分析</w:t>
            </w:r>
          </w:p>
          <w:p w14:paraId="4868F27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拟建项目与重庆市产业投资准入工作手册符合性分析见表1-</w:t>
            </w:r>
            <w:r>
              <w:rPr>
                <w:rFonts w:hint="eastAsia" w:ascii="Times New Roman" w:hAnsi="Times New Roman" w:eastAsia="宋体" w:cs="Times New Roman"/>
                <w:b w:val="0"/>
                <w:bCs w:val="0"/>
                <w:kern w:val="0"/>
                <w:sz w:val="24"/>
                <w:szCs w:val="24"/>
                <w:lang w:val="en-US" w:eastAsia="zh-CN"/>
              </w:rPr>
              <w:t>2</w:t>
            </w:r>
            <w:r>
              <w:rPr>
                <w:rFonts w:hint="default" w:ascii="Times New Roman" w:hAnsi="Times New Roman" w:eastAsia="宋体" w:cs="Times New Roman"/>
                <w:b w:val="0"/>
                <w:bCs w:val="0"/>
                <w:kern w:val="0"/>
                <w:sz w:val="24"/>
                <w:szCs w:val="24"/>
                <w:lang w:val="en-US" w:eastAsia="zh-CN"/>
              </w:rPr>
              <w:t>。</w:t>
            </w:r>
          </w:p>
          <w:p w14:paraId="0E7646B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4"/>
                <w:szCs w:val="24"/>
                <w:vertAlign w:val="baseline"/>
                <w:lang w:val="en-US" w:eastAsia="zh-CN"/>
              </w:rPr>
            </w:pPr>
            <w:r>
              <w:rPr>
                <w:rFonts w:hint="default" w:ascii="Times New Roman" w:hAnsi="Times New Roman" w:eastAsia="宋体" w:cs="Times New Roman"/>
                <w:b w:val="0"/>
                <w:bCs w:val="0"/>
                <w:kern w:val="0"/>
                <w:sz w:val="24"/>
                <w:szCs w:val="24"/>
                <w:lang w:val="en-US" w:eastAsia="zh-CN"/>
              </w:rPr>
              <w:t>表</w:t>
            </w:r>
            <w:r>
              <w:rPr>
                <w:rFonts w:hint="eastAsia" w:ascii="Times New Roman" w:hAnsi="Times New Roman" w:eastAsia="宋体" w:cs="Times New Roman"/>
                <w:b w:val="0"/>
                <w:bCs w:val="0"/>
                <w:kern w:val="0"/>
                <w:sz w:val="24"/>
                <w:szCs w:val="24"/>
                <w:lang w:val="en-US" w:eastAsia="zh-CN"/>
              </w:rPr>
              <w:t>1-2</w:t>
            </w:r>
            <w:r>
              <w:rPr>
                <w:rFonts w:hint="default" w:ascii="Times New Roman" w:hAnsi="Times New Roman" w:eastAsia="宋体" w:cs="Times New Roman"/>
                <w:b w:val="0"/>
                <w:bCs w:val="0"/>
                <w:kern w:val="0"/>
                <w:sz w:val="24"/>
                <w:szCs w:val="24"/>
                <w:lang w:val="en-US" w:eastAsia="zh-CN"/>
              </w:rPr>
              <w:t>重庆市产业投资准入工作手册符合性分析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4819"/>
              <w:gridCol w:w="1775"/>
              <w:gridCol w:w="1000"/>
            </w:tblGrid>
            <w:tr w14:paraId="21A06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E9976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w:t>
                  </w:r>
                </w:p>
              </w:tc>
              <w:tc>
                <w:tcPr>
                  <w:tcW w:w="2899" w:type="pct"/>
                  <w:tcBorders>
                    <w:tl2br w:val="nil"/>
                    <w:tr2bl w:val="nil"/>
                  </w:tcBorders>
                  <w:noWrap w:val="0"/>
                  <w:vAlign w:val="center"/>
                </w:tcPr>
                <w:p w14:paraId="1A935E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相关准入条件</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摘录</w:t>
                  </w:r>
                  <w:r>
                    <w:rPr>
                      <w:rFonts w:hint="eastAsia" w:ascii="Times New Roman" w:hAnsi="Times New Roman" w:eastAsia="宋体" w:cs="Times New Roman"/>
                      <w:b w:val="0"/>
                      <w:bCs w:val="0"/>
                      <w:kern w:val="0"/>
                      <w:sz w:val="21"/>
                      <w:szCs w:val="21"/>
                      <w:vertAlign w:val="baseline"/>
                      <w:lang w:val="en-US" w:eastAsia="zh-CN"/>
                    </w:rPr>
                    <w:t>）</w:t>
                  </w:r>
                </w:p>
              </w:tc>
              <w:tc>
                <w:tcPr>
                  <w:tcW w:w="1068" w:type="pct"/>
                  <w:tcBorders>
                    <w:tl2br w:val="nil"/>
                    <w:tr2bl w:val="nil"/>
                  </w:tcBorders>
                  <w:noWrap w:val="0"/>
                  <w:vAlign w:val="center"/>
                </w:tcPr>
                <w:p w14:paraId="4E60D6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拟建项目情况</w:t>
                  </w:r>
                </w:p>
              </w:tc>
              <w:tc>
                <w:tcPr>
                  <w:tcW w:w="601" w:type="pct"/>
                  <w:tcBorders>
                    <w:tl2br w:val="nil"/>
                    <w:tr2bl w:val="nil"/>
                  </w:tcBorders>
                  <w:noWrap w:val="0"/>
                  <w:vAlign w:val="center"/>
                </w:tcPr>
                <w:p w14:paraId="03F606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符合性</w:t>
                  </w:r>
                </w:p>
              </w:tc>
            </w:tr>
            <w:tr w14:paraId="0EC94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2613A2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一、全市范围内不予准入的产业</w:t>
                  </w:r>
                </w:p>
              </w:tc>
            </w:tr>
            <w:tr w14:paraId="6F350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59378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w:t>
                  </w:r>
                </w:p>
              </w:tc>
              <w:tc>
                <w:tcPr>
                  <w:tcW w:w="2899" w:type="pct"/>
                  <w:tcBorders>
                    <w:tl2br w:val="nil"/>
                    <w:tr2bl w:val="nil"/>
                  </w:tcBorders>
                  <w:noWrap w:val="0"/>
                  <w:vAlign w:val="center"/>
                </w:tcPr>
                <w:p w14:paraId="66828F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国家产业结构调整指导目录中的</w:t>
                  </w:r>
                  <w:r>
                    <w:rPr>
                      <w:rFonts w:hint="eastAsia" w:ascii="Times New Roman" w:hAnsi="Times New Roman" w:eastAsia="宋体" w:cs="Times New Roman"/>
                      <w:b w:val="0"/>
                      <w:bCs w:val="0"/>
                      <w:kern w:val="0"/>
                      <w:sz w:val="21"/>
                      <w:szCs w:val="21"/>
                      <w:vertAlign w:val="baseline"/>
                      <w:lang w:val="en-US" w:eastAsia="zh-CN"/>
                    </w:rPr>
                    <w:t>淘汰类</w:t>
                  </w:r>
                </w:p>
              </w:tc>
              <w:tc>
                <w:tcPr>
                  <w:tcW w:w="1068" w:type="pct"/>
                  <w:tcBorders>
                    <w:tl2br w:val="nil"/>
                    <w:tr2bl w:val="nil"/>
                  </w:tcBorders>
                  <w:noWrap w:val="0"/>
                  <w:vAlign w:val="center"/>
                </w:tcPr>
                <w:p w14:paraId="7EB3BD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项目为</w:t>
                  </w:r>
                  <w:r>
                    <w:rPr>
                      <w:rFonts w:hint="eastAsia" w:ascii="Times New Roman" w:hAnsi="Times New Roman" w:eastAsia="宋体" w:cs="Times New Roman"/>
                      <w:b w:val="0"/>
                      <w:bCs w:val="0"/>
                      <w:kern w:val="0"/>
                      <w:sz w:val="21"/>
                      <w:szCs w:val="21"/>
                      <w:vertAlign w:val="baseline"/>
                      <w:lang w:val="en-US" w:eastAsia="zh-CN"/>
                    </w:rPr>
                    <w:t>O8222 宠物医院服务，属于《产业结构调整指导目录（20</w:t>
                  </w:r>
                  <w:r>
                    <w:rPr>
                      <w:rFonts w:hint="eastAsia" w:cs="Times New Roman"/>
                      <w:b w:val="0"/>
                      <w:bCs w:val="0"/>
                      <w:kern w:val="0"/>
                      <w:sz w:val="21"/>
                      <w:szCs w:val="21"/>
                      <w:vertAlign w:val="baseline"/>
                      <w:lang w:val="en-US" w:eastAsia="zh-CN"/>
                    </w:rPr>
                    <w:t>24</w:t>
                  </w:r>
                  <w:r>
                    <w:rPr>
                      <w:rFonts w:hint="eastAsia" w:ascii="Times New Roman" w:hAnsi="Times New Roman" w:eastAsia="宋体" w:cs="Times New Roman"/>
                      <w:b w:val="0"/>
                      <w:bCs w:val="0"/>
                      <w:kern w:val="0"/>
                      <w:sz w:val="21"/>
                      <w:szCs w:val="21"/>
                      <w:vertAlign w:val="baseline"/>
                      <w:lang w:val="en-US" w:eastAsia="zh-CN"/>
                    </w:rPr>
                    <w:t>年本）》允许类</w:t>
                  </w:r>
                </w:p>
              </w:tc>
              <w:tc>
                <w:tcPr>
                  <w:tcW w:w="601" w:type="pct"/>
                  <w:tcBorders>
                    <w:tl2br w:val="nil"/>
                    <w:tr2bl w:val="nil"/>
                  </w:tcBorders>
                  <w:noWrap w:val="0"/>
                  <w:vAlign w:val="center"/>
                </w:tcPr>
                <w:p w14:paraId="7BF35B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80F1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1324CF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w:t>
                  </w:r>
                </w:p>
              </w:tc>
              <w:tc>
                <w:tcPr>
                  <w:tcW w:w="2899" w:type="pct"/>
                  <w:tcBorders>
                    <w:tl2br w:val="nil"/>
                    <w:tr2bl w:val="nil"/>
                  </w:tcBorders>
                  <w:noWrap w:val="0"/>
                  <w:vAlign w:val="center"/>
                </w:tcPr>
                <w:p w14:paraId="5EA142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天然林商业性采伐</w:t>
                  </w:r>
                </w:p>
              </w:tc>
              <w:tc>
                <w:tcPr>
                  <w:tcW w:w="1068" w:type="pct"/>
                  <w:tcBorders>
                    <w:tl2br w:val="nil"/>
                    <w:tr2bl w:val="nil"/>
                  </w:tcBorders>
                  <w:noWrap w:val="0"/>
                  <w:vAlign w:val="center"/>
                </w:tcPr>
                <w:p w14:paraId="7D43F9E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拟建项目不属于天然林商业性采伐</w:t>
                  </w:r>
                </w:p>
              </w:tc>
              <w:tc>
                <w:tcPr>
                  <w:tcW w:w="601" w:type="pct"/>
                  <w:tcBorders>
                    <w:tl2br w:val="nil"/>
                    <w:tr2bl w:val="nil"/>
                  </w:tcBorders>
                  <w:noWrap w:val="0"/>
                  <w:vAlign w:val="center"/>
                </w:tcPr>
                <w:p w14:paraId="7EB85A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3751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33B331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3</w:t>
                  </w:r>
                </w:p>
              </w:tc>
              <w:tc>
                <w:tcPr>
                  <w:tcW w:w="2899" w:type="pct"/>
                  <w:tcBorders>
                    <w:tl2br w:val="nil"/>
                    <w:tr2bl w:val="nil"/>
                  </w:tcBorders>
                  <w:noWrap w:val="0"/>
                  <w:vAlign w:val="center"/>
                </w:tcPr>
                <w:p w14:paraId="145097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法律法规和相关政策明令不予准入的其他项目</w:t>
                  </w:r>
                </w:p>
              </w:tc>
              <w:tc>
                <w:tcPr>
                  <w:tcW w:w="1068" w:type="pct"/>
                  <w:tcBorders>
                    <w:tl2br w:val="nil"/>
                    <w:tr2bl w:val="nil"/>
                  </w:tcBorders>
                  <w:noWrap w:val="0"/>
                  <w:vAlign w:val="center"/>
                </w:tcPr>
                <w:p w14:paraId="468169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拟建项目不属于法律法规和相关政策明令不予准入的其他</w:t>
                  </w:r>
                  <w:r>
                    <w:rPr>
                      <w:rFonts w:hint="eastAsia" w:ascii="Times New Roman" w:hAnsi="Times New Roman" w:eastAsia="宋体" w:cs="Times New Roman"/>
                      <w:b w:val="0"/>
                      <w:bCs w:val="0"/>
                      <w:kern w:val="0"/>
                      <w:sz w:val="21"/>
                      <w:szCs w:val="21"/>
                      <w:vertAlign w:val="baseline"/>
                      <w:lang w:val="en-US" w:eastAsia="zh-CN"/>
                    </w:rPr>
                    <w:t>项目</w:t>
                  </w:r>
                </w:p>
              </w:tc>
              <w:tc>
                <w:tcPr>
                  <w:tcW w:w="601" w:type="pct"/>
                  <w:tcBorders>
                    <w:tl2br w:val="nil"/>
                    <w:tr2bl w:val="nil"/>
                  </w:tcBorders>
                  <w:noWrap w:val="0"/>
                  <w:vAlign w:val="center"/>
                </w:tcPr>
                <w:p w14:paraId="26789C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88DA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372750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二、</w:t>
                  </w:r>
                  <w:r>
                    <w:rPr>
                      <w:rFonts w:hint="default" w:ascii="Times New Roman" w:hAnsi="Times New Roman" w:eastAsia="宋体" w:cs="Times New Roman"/>
                      <w:b w:val="0"/>
                      <w:bCs w:val="0"/>
                      <w:kern w:val="0"/>
                      <w:sz w:val="21"/>
                      <w:szCs w:val="21"/>
                      <w:vertAlign w:val="baseline"/>
                      <w:lang w:val="en-US" w:eastAsia="zh-CN"/>
                    </w:rPr>
                    <w:t>重点区域范围内不予准入的产业</w:t>
                  </w:r>
                </w:p>
              </w:tc>
            </w:tr>
            <w:tr w14:paraId="399DF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2A0947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w:t>
                  </w:r>
                </w:p>
              </w:tc>
              <w:tc>
                <w:tcPr>
                  <w:tcW w:w="2899" w:type="pct"/>
                  <w:tcBorders>
                    <w:tl2br w:val="nil"/>
                    <w:tr2bl w:val="nil"/>
                  </w:tcBorders>
                  <w:noWrap w:val="0"/>
                  <w:vAlign w:val="center"/>
                </w:tcPr>
                <w:p w14:paraId="547C80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外环绕城高速公路以内长江、嘉陵江水域采砂</w:t>
                  </w:r>
                  <w:r>
                    <w:rPr>
                      <w:rFonts w:hint="eastAsia" w:ascii="Times New Roman" w:hAnsi="Times New Roman" w:eastAsia="宋体" w:cs="Times New Roman"/>
                      <w:b w:val="0"/>
                      <w:bCs w:val="0"/>
                      <w:kern w:val="0"/>
                      <w:sz w:val="21"/>
                      <w:szCs w:val="21"/>
                      <w:vertAlign w:val="baseline"/>
                      <w:lang w:val="en-US" w:eastAsia="zh-CN"/>
                    </w:rPr>
                    <w:t>。</w:t>
                  </w:r>
                </w:p>
              </w:tc>
              <w:tc>
                <w:tcPr>
                  <w:tcW w:w="1068" w:type="pct"/>
                  <w:tcBorders>
                    <w:tl2br w:val="nil"/>
                    <w:tr2bl w:val="nil"/>
                  </w:tcBorders>
                  <w:noWrap w:val="0"/>
                  <w:vAlign w:val="center"/>
                </w:tcPr>
                <w:p w14:paraId="15C77A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拟建项目不属于左列项目</w:t>
                  </w:r>
                </w:p>
              </w:tc>
              <w:tc>
                <w:tcPr>
                  <w:tcW w:w="601" w:type="pct"/>
                  <w:tcBorders>
                    <w:tl2br w:val="nil"/>
                    <w:tr2bl w:val="nil"/>
                  </w:tcBorders>
                  <w:noWrap w:val="0"/>
                  <w:vAlign w:val="center"/>
                </w:tcPr>
                <w:p w14:paraId="12EE55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53FB8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27A3A2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w:t>
                  </w:r>
                </w:p>
              </w:tc>
              <w:tc>
                <w:tcPr>
                  <w:tcW w:w="2899" w:type="pct"/>
                  <w:tcBorders>
                    <w:tl2br w:val="nil"/>
                    <w:tr2bl w:val="nil"/>
                  </w:tcBorders>
                  <w:noWrap w:val="0"/>
                  <w:vAlign w:val="center"/>
                </w:tcPr>
                <w:p w14:paraId="539648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二十五度以上陡坡地开垦种植农作物。</w:t>
                  </w:r>
                </w:p>
              </w:tc>
              <w:tc>
                <w:tcPr>
                  <w:tcW w:w="1068" w:type="pct"/>
                  <w:tcBorders>
                    <w:tl2br w:val="nil"/>
                    <w:tr2bl w:val="nil"/>
                  </w:tcBorders>
                  <w:noWrap w:val="0"/>
                  <w:vAlign w:val="center"/>
                </w:tcPr>
                <w:p w14:paraId="0378EA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w:t>
                  </w:r>
                </w:p>
              </w:tc>
              <w:tc>
                <w:tcPr>
                  <w:tcW w:w="601" w:type="pct"/>
                  <w:tcBorders>
                    <w:tl2br w:val="nil"/>
                    <w:tr2bl w:val="nil"/>
                  </w:tcBorders>
                  <w:noWrap w:val="0"/>
                  <w:vAlign w:val="center"/>
                </w:tcPr>
                <w:p w14:paraId="7C5003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2A24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0A8274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3</w:t>
                  </w:r>
                </w:p>
              </w:tc>
              <w:tc>
                <w:tcPr>
                  <w:tcW w:w="2899" w:type="pct"/>
                  <w:tcBorders>
                    <w:tl2br w:val="nil"/>
                    <w:tr2bl w:val="nil"/>
                  </w:tcBorders>
                  <w:noWrap w:val="0"/>
                  <w:vAlign w:val="center"/>
                </w:tcPr>
                <w:p w14:paraId="307EC7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在自然保护区核心区、缓冲区的岸线和河段范围内投资建设旅游和生产经营项目。</w:t>
                  </w:r>
                </w:p>
              </w:tc>
              <w:tc>
                <w:tcPr>
                  <w:tcW w:w="1068" w:type="pct"/>
                  <w:tcBorders>
                    <w:tl2br w:val="nil"/>
                    <w:tr2bl w:val="nil"/>
                  </w:tcBorders>
                  <w:noWrap w:val="0"/>
                  <w:vAlign w:val="center"/>
                </w:tcPr>
                <w:p w14:paraId="1E9D5B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w:t>
                  </w:r>
                </w:p>
              </w:tc>
              <w:tc>
                <w:tcPr>
                  <w:tcW w:w="601" w:type="pct"/>
                  <w:tcBorders>
                    <w:tl2br w:val="nil"/>
                    <w:tr2bl w:val="nil"/>
                  </w:tcBorders>
                  <w:noWrap w:val="0"/>
                  <w:vAlign w:val="center"/>
                </w:tcPr>
                <w:p w14:paraId="73338B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B414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546E17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4</w:t>
                  </w:r>
                </w:p>
              </w:tc>
              <w:tc>
                <w:tcPr>
                  <w:tcW w:w="2899" w:type="pct"/>
                  <w:tcBorders>
                    <w:tl2br w:val="nil"/>
                    <w:tr2bl w:val="nil"/>
                  </w:tcBorders>
                  <w:noWrap w:val="0"/>
                  <w:vAlign w:val="center"/>
                </w:tcPr>
                <w:p w14:paraId="2D6E57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饮用水水源一级保护区的岸线和河段范围内新建、改建、与供水设施和保护水源无关的项目，以及网箱养殖、畜禽养殖、放养畜禽、旅游等可能污染饮用水水体的投资建设项目。在饮用水水源二级保护区的岸线和河段范围内新建、改建、排放污染物的投资建设项目。</w:t>
                  </w:r>
                </w:p>
              </w:tc>
              <w:tc>
                <w:tcPr>
                  <w:tcW w:w="1068" w:type="pct"/>
                  <w:tcBorders>
                    <w:tl2br w:val="nil"/>
                    <w:tr2bl w:val="nil"/>
                  </w:tcBorders>
                  <w:noWrap w:val="0"/>
                  <w:vAlign w:val="center"/>
                </w:tcPr>
                <w:p w14:paraId="525799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不涉及饮用水水源</w:t>
                  </w:r>
                </w:p>
              </w:tc>
              <w:tc>
                <w:tcPr>
                  <w:tcW w:w="601" w:type="pct"/>
                  <w:tcBorders>
                    <w:tl2br w:val="nil"/>
                    <w:tr2bl w:val="nil"/>
                  </w:tcBorders>
                  <w:noWrap w:val="0"/>
                  <w:vAlign w:val="center"/>
                </w:tcPr>
                <w:p w14:paraId="7B66F7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3F0E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35A2A5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5</w:t>
                  </w:r>
                </w:p>
              </w:tc>
              <w:tc>
                <w:tcPr>
                  <w:tcW w:w="2899" w:type="pct"/>
                  <w:tcBorders>
                    <w:tl2br w:val="nil"/>
                    <w:tr2bl w:val="nil"/>
                  </w:tcBorders>
                  <w:noWrap w:val="0"/>
                  <w:vAlign w:val="center"/>
                </w:tcPr>
                <w:p w14:paraId="3C485B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长江干流岸线3公里范围内和重要支流岸线1公里范围内新建、改建、扩建尾矿库、冶炼渣库和磷石膏库</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以提升安全、生态环境保护水平为目的的改建除外</w:t>
                  </w:r>
                  <w:r>
                    <w:rPr>
                      <w:rFonts w:hint="eastAsia" w:ascii="Times New Roman" w:hAnsi="Times New Roman" w:eastAsia="宋体" w:cs="Times New Roman"/>
                      <w:b w:val="0"/>
                      <w:bCs w:val="0"/>
                      <w:kern w:val="0"/>
                      <w:sz w:val="21"/>
                      <w:szCs w:val="21"/>
                      <w:vertAlign w:val="baseline"/>
                      <w:lang w:val="en-US" w:eastAsia="zh-CN"/>
                    </w:rPr>
                    <w:t>）</w:t>
                  </w:r>
                </w:p>
              </w:tc>
              <w:tc>
                <w:tcPr>
                  <w:tcW w:w="1068" w:type="pct"/>
                  <w:tcBorders>
                    <w:tl2br w:val="nil"/>
                    <w:tr2bl w:val="nil"/>
                  </w:tcBorders>
                  <w:noWrap w:val="0"/>
                  <w:vAlign w:val="center"/>
                </w:tcPr>
                <w:p w14:paraId="7A27C1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拟建项目不属于左列项目</w:t>
                  </w:r>
                </w:p>
              </w:tc>
              <w:tc>
                <w:tcPr>
                  <w:tcW w:w="601" w:type="pct"/>
                  <w:tcBorders>
                    <w:tl2br w:val="nil"/>
                    <w:tr2bl w:val="nil"/>
                  </w:tcBorders>
                  <w:noWrap w:val="0"/>
                  <w:vAlign w:val="center"/>
                </w:tcPr>
                <w:p w14:paraId="2DD373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37ADB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340A48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6</w:t>
                  </w:r>
                </w:p>
              </w:tc>
              <w:tc>
                <w:tcPr>
                  <w:tcW w:w="2899" w:type="pct"/>
                  <w:tcBorders>
                    <w:tl2br w:val="nil"/>
                    <w:tr2bl w:val="nil"/>
                  </w:tcBorders>
                  <w:noWrap w:val="0"/>
                  <w:vAlign w:val="center"/>
                </w:tcPr>
                <w:p w14:paraId="2CCC4F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在风景名胜区核心景区的岸线和河段范围内投资建设与风景名胜资源保护无关的项目。</w:t>
                  </w:r>
                </w:p>
              </w:tc>
              <w:tc>
                <w:tcPr>
                  <w:tcW w:w="1068" w:type="pct"/>
                  <w:tcBorders>
                    <w:tl2br w:val="nil"/>
                    <w:tr2bl w:val="nil"/>
                  </w:tcBorders>
                  <w:noWrap w:val="0"/>
                  <w:vAlign w:val="center"/>
                </w:tcPr>
                <w:p w14:paraId="7B1C5DF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w:t>
                  </w:r>
                </w:p>
              </w:tc>
              <w:tc>
                <w:tcPr>
                  <w:tcW w:w="601" w:type="pct"/>
                  <w:tcBorders>
                    <w:tl2br w:val="nil"/>
                    <w:tr2bl w:val="nil"/>
                  </w:tcBorders>
                  <w:noWrap w:val="0"/>
                  <w:vAlign w:val="center"/>
                </w:tcPr>
                <w:p w14:paraId="51E8BE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BE2B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1B8FD08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7</w:t>
                  </w:r>
                </w:p>
              </w:tc>
              <w:tc>
                <w:tcPr>
                  <w:tcW w:w="2899" w:type="pct"/>
                  <w:tcBorders>
                    <w:tl2br w:val="nil"/>
                    <w:tr2bl w:val="nil"/>
                  </w:tcBorders>
                  <w:noWrap w:val="0"/>
                  <w:vAlign w:val="center"/>
                </w:tcPr>
                <w:p w14:paraId="145A78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在国家湿地公园的岸线和河段范围内挖沙、采矿，以及任何不符合主体功能定位的投资建设项目。</w:t>
                  </w:r>
                </w:p>
              </w:tc>
              <w:tc>
                <w:tcPr>
                  <w:tcW w:w="1068" w:type="pct"/>
                  <w:tcBorders>
                    <w:tl2br w:val="nil"/>
                    <w:tr2bl w:val="nil"/>
                  </w:tcBorders>
                  <w:noWrap w:val="0"/>
                  <w:vAlign w:val="center"/>
                </w:tcPr>
                <w:p w14:paraId="5F3C01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w:t>
                  </w:r>
                </w:p>
              </w:tc>
              <w:tc>
                <w:tcPr>
                  <w:tcW w:w="601" w:type="pct"/>
                  <w:tcBorders>
                    <w:tl2br w:val="nil"/>
                    <w:tr2bl w:val="nil"/>
                  </w:tcBorders>
                  <w:noWrap w:val="0"/>
                  <w:vAlign w:val="center"/>
                </w:tcPr>
                <w:p w14:paraId="631CAC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66B31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749A72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8</w:t>
                  </w:r>
                </w:p>
              </w:tc>
              <w:tc>
                <w:tcPr>
                  <w:tcW w:w="2899" w:type="pct"/>
                  <w:tcBorders>
                    <w:tl2br w:val="nil"/>
                    <w:tr2bl w:val="nil"/>
                  </w:tcBorders>
                  <w:noWrap w:val="0"/>
                  <w:vAlign w:val="center"/>
                </w:tcPr>
                <w:p w14:paraId="37E4D6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在《长江岸线保护和开发利用总体规划》划定的岸线保护区和保留区内投资建设除事关公共安全及公众利益的防洪护岸、河道治理、供水、生态环境保护、航道整治、国家重要基础设施以外的项目。</w:t>
                  </w:r>
                </w:p>
              </w:tc>
              <w:tc>
                <w:tcPr>
                  <w:tcW w:w="1068" w:type="pct"/>
                  <w:tcBorders>
                    <w:tl2br w:val="nil"/>
                    <w:tr2bl w:val="nil"/>
                  </w:tcBorders>
                  <w:noWrap w:val="0"/>
                  <w:vAlign w:val="center"/>
                </w:tcPr>
                <w:p w14:paraId="171FBD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w:t>
                  </w:r>
                </w:p>
              </w:tc>
              <w:tc>
                <w:tcPr>
                  <w:tcW w:w="601" w:type="pct"/>
                  <w:tcBorders>
                    <w:tl2br w:val="nil"/>
                    <w:tr2bl w:val="nil"/>
                  </w:tcBorders>
                  <w:noWrap w:val="0"/>
                  <w:vAlign w:val="center"/>
                </w:tcPr>
                <w:p w14:paraId="730F76E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6945D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tcBorders>
                    <w:tl2br w:val="nil"/>
                    <w:tr2bl w:val="nil"/>
                  </w:tcBorders>
                  <w:noWrap w:val="0"/>
                  <w:vAlign w:val="center"/>
                </w:tcPr>
                <w:p w14:paraId="32A715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9</w:t>
                  </w:r>
                </w:p>
              </w:tc>
              <w:tc>
                <w:tcPr>
                  <w:tcW w:w="2899" w:type="pct"/>
                  <w:tcBorders>
                    <w:tl2br w:val="nil"/>
                    <w:tr2bl w:val="nil"/>
                  </w:tcBorders>
                  <w:noWrap w:val="0"/>
                  <w:vAlign w:val="center"/>
                </w:tcPr>
                <w:p w14:paraId="21850B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在《全国重要江河湖泊水功能区划》划定的河段及湖泊保护区、保留区内投资建设不利于水资源及自然生态保护的项目。</w:t>
                  </w:r>
                </w:p>
              </w:tc>
              <w:tc>
                <w:tcPr>
                  <w:tcW w:w="1068" w:type="pct"/>
                  <w:tcBorders>
                    <w:tl2br w:val="nil"/>
                    <w:tr2bl w:val="nil"/>
                  </w:tcBorders>
                  <w:noWrap w:val="0"/>
                  <w:vAlign w:val="center"/>
                </w:tcPr>
                <w:p w14:paraId="127A85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w:t>
                  </w:r>
                  <w:r>
                    <w:rPr>
                      <w:rFonts w:hint="eastAsia" w:ascii="Times New Roman" w:hAnsi="Times New Roman" w:eastAsia="宋体" w:cs="Times New Roman"/>
                      <w:b w:val="0"/>
                      <w:bCs w:val="0"/>
                      <w:kern w:val="0"/>
                      <w:sz w:val="21"/>
                      <w:szCs w:val="21"/>
                      <w:vertAlign w:val="baseline"/>
                      <w:lang w:val="en-US" w:eastAsia="zh-CN"/>
                    </w:rPr>
                    <w:t>不涉及</w:t>
                  </w:r>
                </w:p>
              </w:tc>
              <w:tc>
                <w:tcPr>
                  <w:tcW w:w="601" w:type="pct"/>
                  <w:tcBorders>
                    <w:tl2br w:val="nil"/>
                    <w:tr2bl w:val="nil"/>
                  </w:tcBorders>
                  <w:noWrap w:val="0"/>
                  <w:vAlign w:val="center"/>
                </w:tcPr>
                <w:p w14:paraId="329147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78D8E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603087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三、全市范围内限制准入的产业</w:t>
                  </w:r>
                </w:p>
              </w:tc>
            </w:tr>
            <w:tr w14:paraId="528BC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8" w:hRule="atLeast"/>
              </w:trPr>
              <w:tc>
                <w:tcPr>
                  <w:tcW w:w="3330" w:type="pct"/>
                  <w:gridSpan w:val="2"/>
                  <w:tcBorders>
                    <w:tl2br w:val="nil"/>
                    <w:tr2bl w:val="nil"/>
                  </w:tcBorders>
                  <w:noWrap w:val="0"/>
                  <w:vAlign w:val="center"/>
                </w:tcPr>
                <w:p w14:paraId="2B7772BF">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1</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新建、不符合国家产能置换要求的严重过剩产能行业的项目。新建、不符合要求的高耗能高排放项目。</w:t>
                  </w:r>
                </w:p>
                <w:p w14:paraId="29C6B15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2</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新建、不符合国家石化、现代煤化工等产业布局规划的项目。</w:t>
                  </w:r>
                </w:p>
                <w:p w14:paraId="6B3C1C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3</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在合规园区外新建、钢铁、石化、化工、焦化、建材、有色、制浆造纸等高污染项目。</w:t>
                  </w:r>
                </w:p>
                <w:p w14:paraId="690410C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4</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《汽车产业投资管理规定》</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国家发展和改革委员会令第22号</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明确禁止建设的汽车投资项目。</w:t>
                  </w:r>
                </w:p>
              </w:tc>
              <w:tc>
                <w:tcPr>
                  <w:tcW w:w="1068" w:type="pct"/>
                  <w:tcBorders>
                    <w:tl2br w:val="nil"/>
                    <w:tr2bl w:val="nil"/>
                  </w:tcBorders>
                  <w:noWrap w:val="0"/>
                  <w:vAlign w:val="center"/>
                </w:tcPr>
                <w:p w14:paraId="12E037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1、项目属于宠物医院</w:t>
                  </w:r>
                  <w:r>
                    <w:rPr>
                      <w:rFonts w:hint="eastAsia" w:cs="Times New Roman"/>
                      <w:b w:val="0"/>
                      <w:bCs w:val="0"/>
                      <w:kern w:val="0"/>
                      <w:sz w:val="21"/>
                      <w:szCs w:val="21"/>
                      <w:highlight w:val="none"/>
                      <w:vertAlign w:val="baseline"/>
                      <w:lang w:val="en-US" w:eastAsia="zh-CN"/>
                    </w:rPr>
                    <w:t>扩建项目</w:t>
                  </w:r>
                  <w:r>
                    <w:rPr>
                      <w:rFonts w:hint="default" w:ascii="Times New Roman" w:hAnsi="Times New Roman" w:eastAsia="宋体" w:cs="Times New Roman"/>
                      <w:b w:val="0"/>
                      <w:bCs w:val="0"/>
                      <w:kern w:val="0"/>
                      <w:sz w:val="21"/>
                      <w:szCs w:val="21"/>
                      <w:highlight w:val="none"/>
                      <w:vertAlign w:val="baseline"/>
                      <w:lang w:val="en-US" w:eastAsia="zh-CN"/>
                    </w:rPr>
                    <w:t>，不属于高耗能高排放项目</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2、项目不属于石化、现代煤化工项目</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3、项目不属于新建、钢铁、石化、化工、焦化、建材、有色、制浆造纸等高污染项目</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4、项目不属于文件规定的禁止投资的项目。</w:t>
                  </w:r>
                </w:p>
              </w:tc>
              <w:tc>
                <w:tcPr>
                  <w:tcW w:w="601" w:type="pct"/>
                  <w:tcBorders>
                    <w:tl2br w:val="nil"/>
                    <w:tr2bl w:val="nil"/>
                  </w:tcBorders>
                  <w:noWrap w:val="0"/>
                  <w:vAlign w:val="center"/>
                </w:tcPr>
                <w:p w14:paraId="6C0C70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FA73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tcBorders>
                    <w:tl2br w:val="nil"/>
                    <w:tr2bl w:val="nil"/>
                  </w:tcBorders>
                  <w:noWrap w:val="0"/>
                  <w:vAlign w:val="center"/>
                </w:tcPr>
                <w:p w14:paraId="0F5472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四、重点区域范围内限制准入的产业</w:t>
                  </w:r>
                </w:p>
              </w:tc>
            </w:tr>
            <w:tr w14:paraId="25A92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pct"/>
                  <w:gridSpan w:val="2"/>
                  <w:tcBorders>
                    <w:tl2br w:val="nil"/>
                    <w:tr2bl w:val="nil"/>
                  </w:tcBorders>
                  <w:noWrap w:val="0"/>
                  <w:vAlign w:val="center"/>
                </w:tcPr>
                <w:p w14:paraId="1385931D">
                  <w:pPr>
                    <w:keepNext w:val="0"/>
                    <w:keepLines w:val="0"/>
                    <w:pageBreakBefore w:val="0"/>
                    <w:widowControl w:val="0"/>
                    <w:numPr>
                      <w:ilvl w:val="0"/>
                      <w:numId w:val="4"/>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长江干支流、重要湖泊岸线1公里范围内新建、化工园区和化工项目，长江、嘉陵江、乌江岸线1公里范围内布局新建纸浆制造、印染等存在环境风险的项目。</w:t>
                  </w:r>
                </w:p>
                <w:p w14:paraId="336D68B3">
                  <w:pPr>
                    <w:keepNext w:val="0"/>
                    <w:keepLines w:val="0"/>
                    <w:pageBreakBefore w:val="0"/>
                    <w:widowControl w:val="0"/>
                    <w:numPr>
                      <w:ilvl w:val="0"/>
                      <w:numId w:val="4"/>
                    </w:numPr>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在水产种质资源保护区的岸线和河段范围内新建围湖造田等投资建设项目。</w:t>
                  </w:r>
                </w:p>
              </w:tc>
              <w:tc>
                <w:tcPr>
                  <w:tcW w:w="1068" w:type="pct"/>
                  <w:tcBorders>
                    <w:tl2br w:val="nil"/>
                    <w:tr2bl w:val="nil"/>
                  </w:tcBorders>
                  <w:noWrap w:val="0"/>
                  <w:vAlign w:val="center"/>
                </w:tcPr>
                <w:p w14:paraId="44CA0CA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项目属于宠物医院</w:t>
                  </w:r>
                  <w:r>
                    <w:rPr>
                      <w:rFonts w:hint="eastAsia" w:cs="Times New Roman"/>
                      <w:b w:val="0"/>
                      <w:bCs w:val="0"/>
                      <w:kern w:val="0"/>
                      <w:sz w:val="21"/>
                      <w:szCs w:val="21"/>
                      <w:highlight w:val="none"/>
                      <w:vertAlign w:val="baseline"/>
                      <w:lang w:val="en-US" w:eastAsia="zh-CN"/>
                    </w:rPr>
                    <w:t>扩建项目</w:t>
                  </w:r>
                  <w:r>
                    <w:rPr>
                      <w:rFonts w:hint="default" w:ascii="Times New Roman" w:hAnsi="Times New Roman" w:eastAsia="宋体" w:cs="Times New Roman"/>
                      <w:b w:val="0"/>
                      <w:bCs w:val="0"/>
                      <w:kern w:val="0"/>
                      <w:sz w:val="21"/>
                      <w:szCs w:val="21"/>
                      <w:highlight w:val="none"/>
                      <w:vertAlign w:val="baseline"/>
                      <w:lang w:val="en-US" w:eastAsia="zh-CN"/>
                    </w:rPr>
                    <w:t>，项目不属于新建、化工园区和化工项目，不属于新建纸浆制造、印染等存在环境风险的项目</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不属于围湖造田等</w:t>
                  </w:r>
                  <w:r>
                    <w:rPr>
                      <w:rFonts w:hint="eastAsia" w:ascii="Times New Roman" w:hAnsi="Times New Roman" w:eastAsia="宋体" w:cs="Times New Roman"/>
                      <w:b w:val="0"/>
                      <w:bCs w:val="0"/>
                      <w:kern w:val="0"/>
                      <w:sz w:val="21"/>
                      <w:szCs w:val="21"/>
                      <w:highlight w:val="none"/>
                      <w:vertAlign w:val="baseline"/>
                      <w:lang w:val="en-US" w:eastAsia="zh-CN"/>
                    </w:rPr>
                    <w:t>项目</w:t>
                  </w:r>
                </w:p>
              </w:tc>
              <w:tc>
                <w:tcPr>
                  <w:tcW w:w="601" w:type="pct"/>
                  <w:tcBorders>
                    <w:tl2br w:val="nil"/>
                    <w:tr2bl w:val="nil"/>
                  </w:tcBorders>
                  <w:noWrap w:val="0"/>
                  <w:vAlign w:val="center"/>
                </w:tcPr>
                <w:p w14:paraId="749B8E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bl>
          <w:p w14:paraId="3193416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kern w:val="0"/>
                <w:sz w:val="24"/>
                <w:szCs w:val="24"/>
                <w:vertAlign w:val="baseline"/>
                <w:lang w:val="en-US" w:eastAsia="zh-CN"/>
              </w:rPr>
            </w:pPr>
            <w:r>
              <w:rPr>
                <w:rFonts w:hint="default" w:ascii="Times New Roman" w:hAnsi="Times New Roman" w:eastAsia="宋体" w:cs="Times New Roman"/>
                <w:b w:val="0"/>
                <w:bCs w:val="0"/>
                <w:kern w:val="0"/>
                <w:sz w:val="24"/>
                <w:szCs w:val="24"/>
                <w:lang w:val="en-US" w:eastAsia="zh-CN"/>
              </w:rPr>
              <w:t>由表1-2可见，拟建项目的建设符合《重庆市发展和改革委员会重庆市经济和信息化委员会关于严格工业布局和准入的通知》的相关要求。</w:t>
            </w:r>
          </w:p>
          <w:p w14:paraId="47AE81F8">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kern w:val="0"/>
                <w:sz w:val="24"/>
                <w:szCs w:val="24"/>
                <w:vertAlign w:val="baseline"/>
                <w:lang w:val="en-US" w:eastAsia="zh-CN"/>
              </w:rPr>
            </w:pPr>
            <w:r>
              <w:rPr>
                <w:rFonts w:hint="default" w:ascii="Times New Roman" w:hAnsi="Times New Roman" w:eastAsia="宋体" w:cs="Times New Roman"/>
                <w:b/>
                <w:bCs/>
                <w:kern w:val="0"/>
                <w:sz w:val="24"/>
                <w:szCs w:val="24"/>
                <w:vertAlign w:val="baseline"/>
                <w:lang w:val="en-US" w:eastAsia="zh-CN"/>
              </w:rPr>
              <w:t>3.</w:t>
            </w:r>
            <w:r>
              <w:rPr>
                <w:rFonts w:hint="eastAsia" w:cs="Times New Roman"/>
                <w:b/>
                <w:bCs/>
                <w:kern w:val="0"/>
                <w:sz w:val="24"/>
                <w:szCs w:val="24"/>
                <w:vertAlign w:val="baseline"/>
                <w:lang w:val="en-US" w:eastAsia="zh-CN"/>
              </w:rPr>
              <w:t>2</w:t>
            </w:r>
            <w:r>
              <w:rPr>
                <w:rFonts w:hint="default" w:ascii="Times New Roman" w:hAnsi="Times New Roman" w:eastAsia="宋体" w:cs="Times New Roman"/>
                <w:b/>
                <w:bCs/>
                <w:kern w:val="0"/>
                <w:sz w:val="24"/>
                <w:szCs w:val="24"/>
                <w:vertAlign w:val="baseline"/>
                <w:lang w:val="en-US" w:eastAsia="zh-CN"/>
              </w:rPr>
              <w:t>与《四川省、重庆市长江经济带发展负面清单实施细则</w:t>
            </w:r>
            <w:r>
              <w:rPr>
                <w:rFonts w:hint="eastAsia" w:ascii="Times New Roman" w:hAnsi="Times New Roman" w:eastAsia="宋体" w:cs="Times New Roman"/>
                <w:b/>
                <w:bCs/>
                <w:kern w:val="0"/>
                <w:sz w:val="24"/>
                <w:szCs w:val="24"/>
                <w:vertAlign w:val="baseline"/>
                <w:lang w:val="en-US" w:eastAsia="zh-CN"/>
              </w:rPr>
              <w:t>（</w:t>
            </w:r>
            <w:r>
              <w:rPr>
                <w:rFonts w:hint="default" w:ascii="Times New Roman" w:hAnsi="Times New Roman" w:eastAsia="宋体" w:cs="Times New Roman"/>
                <w:b/>
                <w:bCs/>
                <w:kern w:val="0"/>
                <w:sz w:val="24"/>
                <w:szCs w:val="24"/>
                <w:vertAlign w:val="baseline"/>
                <w:lang w:val="en-US" w:eastAsia="zh-CN"/>
              </w:rPr>
              <w:t>试行2022年版</w:t>
            </w:r>
            <w:r>
              <w:rPr>
                <w:rFonts w:hint="eastAsia" w:ascii="Times New Roman" w:hAnsi="Times New Roman" w:eastAsia="宋体" w:cs="Times New Roman"/>
                <w:b/>
                <w:bCs/>
                <w:kern w:val="0"/>
                <w:sz w:val="24"/>
                <w:szCs w:val="24"/>
                <w:vertAlign w:val="baseline"/>
                <w:lang w:val="en-US" w:eastAsia="zh-CN"/>
              </w:rPr>
              <w:t>）</w:t>
            </w:r>
            <w:r>
              <w:rPr>
                <w:rFonts w:hint="default" w:ascii="Times New Roman" w:hAnsi="Times New Roman" w:eastAsia="宋体" w:cs="Times New Roman"/>
                <w:b/>
                <w:bCs/>
                <w:kern w:val="0"/>
                <w:sz w:val="24"/>
                <w:szCs w:val="24"/>
                <w:vertAlign w:val="baseline"/>
                <w:lang w:val="en-US" w:eastAsia="zh-CN"/>
              </w:rPr>
              <w:t>》符合性分析</w:t>
            </w:r>
          </w:p>
          <w:p w14:paraId="014A03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sz w:val="24"/>
                <w:szCs w:val="24"/>
                <w:vertAlign w:val="baseline"/>
              </w:rPr>
            </w:pPr>
            <w:r>
              <w:rPr>
                <w:rFonts w:hint="default" w:ascii="Times New Roman" w:hAnsi="Times New Roman" w:eastAsia="宋体" w:cs="Times New Roman"/>
                <w:b w:val="0"/>
                <w:bCs w:val="0"/>
                <w:kern w:val="0"/>
                <w:sz w:val="24"/>
                <w:szCs w:val="24"/>
                <w:lang w:val="en-US" w:eastAsia="zh-CN"/>
              </w:rPr>
              <w:t>表1.</w:t>
            </w:r>
            <w:r>
              <w:rPr>
                <w:rFonts w:hint="eastAsia" w:cs="Times New Roman"/>
                <w:b w:val="0"/>
                <w:bCs w:val="0"/>
                <w:kern w:val="0"/>
                <w:sz w:val="24"/>
                <w:szCs w:val="24"/>
                <w:lang w:val="en-US" w:eastAsia="zh-CN"/>
              </w:rPr>
              <w:t>-3</w:t>
            </w:r>
            <w:r>
              <w:rPr>
                <w:rFonts w:hint="eastAsia" w:ascii="Times New Roman" w:hAnsi="Times New Roman" w:eastAsia="宋体" w:cs="Times New Roman"/>
                <w:b w:val="0"/>
                <w:bCs w:val="0"/>
                <w:kern w:val="0"/>
                <w:sz w:val="24"/>
                <w:szCs w:val="24"/>
                <w:lang w:val="en-US" w:eastAsia="zh-CN"/>
              </w:rPr>
              <w:t>四</w:t>
            </w:r>
            <w:r>
              <w:rPr>
                <w:rFonts w:hint="default" w:ascii="Times New Roman" w:hAnsi="Times New Roman" w:eastAsia="宋体" w:cs="Times New Roman"/>
                <w:b w:val="0"/>
                <w:bCs w:val="0"/>
                <w:kern w:val="0"/>
                <w:sz w:val="24"/>
                <w:szCs w:val="24"/>
                <w:lang w:val="en-US" w:eastAsia="zh-CN"/>
              </w:rPr>
              <w:t>川省、重庆市长江经济带发展负面清单实施细则</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试行，2022年版</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》符合性分析表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4593"/>
              <w:gridCol w:w="1913"/>
              <w:gridCol w:w="1029"/>
            </w:tblGrid>
            <w:tr w14:paraId="579CE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6F8147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序号</w:t>
                  </w:r>
                </w:p>
              </w:tc>
              <w:tc>
                <w:tcPr>
                  <w:tcW w:w="2763" w:type="pct"/>
                  <w:tcBorders>
                    <w:tl2br w:val="nil"/>
                    <w:tr2bl w:val="nil"/>
                  </w:tcBorders>
                  <w:noWrap w:val="0"/>
                  <w:vAlign w:val="center"/>
                </w:tcPr>
                <w:p w14:paraId="3FECAB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相关管控内容要求</w:t>
                  </w:r>
                </w:p>
              </w:tc>
              <w:tc>
                <w:tcPr>
                  <w:tcW w:w="1151" w:type="pct"/>
                  <w:tcBorders>
                    <w:tl2br w:val="nil"/>
                    <w:tr2bl w:val="nil"/>
                  </w:tcBorders>
                  <w:noWrap w:val="0"/>
                  <w:vAlign w:val="center"/>
                </w:tcPr>
                <w:p w14:paraId="3DA3E9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项目情况</w:t>
                  </w:r>
                </w:p>
              </w:tc>
              <w:tc>
                <w:tcPr>
                  <w:tcW w:w="619" w:type="pct"/>
                  <w:tcBorders>
                    <w:tl2br w:val="nil"/>
                    <w:tr2bl w:val="nil"/>
                  </w:tcBorders>
                  <w:noWrap w:val="0"/>
                  <w:vAlign w:val="center"/>
                </w:tcPr>
                <w:p w14:paraId="043305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符合性</w:t>
                  </w:r>
                </w:p>
              </w:tc>
            </w:tr>
            <w:tr w14:paraId="3DEFF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4B936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w:t>
                  </w:r>
                </w:p>
              </w:tc>
              <w:tc>
                <w:tcPr>
                  <w:tcW w:w="2763" w:type="pct"/>
                  <w:tcBorders>
                    <w:tl2br w:val="nil"/>
                    <w:tr2bl w:val="nil"/>
                  </w:tcBorders>
                  <w:noWrap w:val="0"/>
                  <w:vAlign w:val="center"/>
                </w:tcPr>
                <w:p w14:paraId="7F1DF9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第五条 禁止新建、改建和扩建不符合全国港口布局规划，以及《四川省内河水运发展规划》</w:t>
                  </w:r>
                  <w:r>
                    <w:rPr>
                      <w:rFonts w:hint="eastAsia" w:ascii="Times New Roman" w:hAnsi="Times New Roman" w:eastAsia="宋体" w:cs="Times New Roman"/>
                      <w:b w:val="0"/>
                      <w:bCs w:val="0"/>
                      <w:kern w:val="0"/>
                      <w:sz w:val="21"/>
                      <w:szCs w:val="21"/>
                      <w:vertAlign w:val="baseline"/>
                      <w:lang w:val="en-US" w:eastAsia="zh-CN"/>
                    </w:rPr>
                    <w:t xml:space="preserve"> </w:t>
                  </w:r>
                  <w:r>
                    <w:rPr>
                      <w:rFonts w:hint="default" w:ascii="Times New Roman" w:hAnsi="Times New Roman" w:eastAsia="宋体" w:cs="Times New Roman"/>
                      <w:b w:val="0"/>
                      <w:bCs w:val="0"/>
                      <w:kern w:val="0"/>
                      <w:sz w:val="21"/>
                      <w:szCs w:val="21"/>
                      <w:vertAlign w:val="baseline"/>
                      <w:lang w:val="en-US" w:eastAsia="zh-CN"/>
                    </w:rPr>
                    <w:t>《泸州一宜宾一乐山港口群布局规划》《重庆港总体规划(2035年)》等省级港口布局规划及市级港口总体规划的码头项目。</w:t>
                  </w:r>
                </w:p>
              </w:tc>
              <w:tc>
                <w:tcPr>
                  <w:tcW w:w="1151" w:type="pct"/>
                  <w:tcBorders>
                    <w:tl2br w:val="nil"/>
                    <w:tr2bl w:val="nil"/>
                  </w:tcBorders>
                  <w:noWrap w:val="0"/>
                  <w:vAlign w:val="center"/>
                </w:tcPr>
                <w:p w14:paraId="0CF94E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非上述港口建设</w:t>
                  </w:r>
                </w:p>
                <w:p w14:paraId="6F5753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rPr>
                    <w:t>项目</w:t>
                  </w:r>
                </w:p>
              </w:tc>
              <w:tc>
                <w:tcPr>
                  <w:tcW w:w="619" w:type="pct"/>
                  <w:vMerge w:val="restart"/>
                  <w:tcBorders>
                    <w:tl2br w:val="nil"/>
                    <w:tr2bl w:val="nil"/>
                  </w:tcBorders>
                  <w:noWrap w:val="0"/>
                  <w:vAlign w:val="center"/>
                </w:tcPr>
                <w:p w14:paraId="10120B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50D32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0E3356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w:t>
                  </w:r>
                </w:p>
              </w:tc>
              <w:tc>
                <w:tcPr>
                  <w:tcW w:w="2763" w:type="pct"/>
                  <w:tcBorders>
                    <w:tl2br w:val="nil"/>
                    <w:tr2bl w:val="nil"/>
                  </w:tcBorders>
                  <w:noWrap w:val="0"/>
                  <w:vAlign w:val="center"/>
                </w:tcPr>
                <w:p w14:paraId="113893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第六条 禁止新建、改建和扩建不符合《长江干线过江通道布局规划</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2020</w:t>
                  </w:r>
                  <w:r>
                    <w:rPr>
                      <w:rFonts w:hint="eastAsia"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2035年</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》的过长江通道项目</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含桥梁、隧道</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，国家发展改革委同意过长江通道线位调整的除外。</w:t>
                  </w:r>
                </w:p>
              </w:tc>
              <w:tc>
                <w:tcPr>
                  <w:tcW w:w="1151" w:type="pct"/>
                  <w:tcBorders>
                    <w:tl2br w:val="nil"/>
                    <w:tr2bl w:val="nil"/>
                  </w:tcBorders>
                  <w:noWrap w:val="0"/>
                  <w:vAlign w:val="center"/>
                </w:tcPr>
                <w:p w14:paraId="49B9E6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不属于过长江通道项目</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含桥梁、隧道</w:t>
                  </w:r>
                  <w:r>
                    <w:rPr>
                      <w:rFonts w:hint="eastAsia" w:ascii="Times New Roman" w:hAnsi="Times New Roman" w:eastAsia="宋体" w:cs="Times New Roman"/>
                      <w:b w:val="0"/>
                      <w:bCs w:val="0"/>
                      <w:kern w:val="0"/>
                      <w:sz w:val="21"/>
                      <w:szCs w:val="21"/>
                      <w:vertAlign w:val="baseline"/>
                      <w:lang w:val="en-US" w:eastAsia="zh-CN"/>
                    </w:rPr>
                    <w:t>）</w:t>
                  </w:r>
                </w:p>
              </w:tc>
              <w:tc>
                <w:tcPr>
                  <w:tcW w:w="619" w:type="pct"/>
                  <w:vMerge w:val="continue"/>
                  <w:tcBorders>
                    <w:tl2br w:val="nil"/>
                    <w:tr2bl w:val="nil"/>
                  </w:tcBorders>
                  <w:noWrap w:val="0"/>
                  <w:vAlign w:val="center"/>
                </w:tcPr>
                <w:p w14:paraId="51C074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14:paraId="67BF6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A6280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3</w:t>
                  </w:r>
                </w:p>
              </w:tc>
              <w:tc>
                <w:tcPr>
                  <w:tcW w:w="2763" w:type="pct"/>
                  <w:tcBorders>
                    <w:tl2br w:val="nil"/>
                    <w:tr2bl w:val="nil"/>
                  </w:tcBorders>
                  <w:noWrap w:val="0"/>
                  <w:vAlign w:val="center"/>
                </w:tcPr>
                <w:p w14:paraId="272B81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第七条 禁止在自然保护区核心区、缓冲区的岸线和河段范围内投资建设旅游和生产经营项目。自然保护区的内部未分区的，依照核心区和缓冲区的规定管控。</w:t>
                  </w:r>
                </w:p>
              </w:tc>
              <w:tc>
                <w:tcPr>
                  <w:tcW w:w="1151" w:type="pct"/>
                  <w:tcBorders>
                    <w:tl2br w:val="nil"/>
                    <w:tr2bl w:val="nil"/>
                  </w:tcBorders>
                  <w:noWrap w:val="0"/>
                  <w:vAlign w:val="center"/>
                </w:tcPr>
                <w:p w14:paraId="320BD5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7ED55D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B5EA8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1D947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4</w:t>
                  </w:r>
                </w:p>
              </w:tc>
              <w:tc>
                <w:tcPr>
                  <w:tcW w:w="2763" w:type="pct"/>
                  <w:tcBorders>
                    <w:tl2br w:val="nil"/>
                    <w:tr2bl w:val="nil"/>
                  </w:tcBorders>
                  <w:noWrap w:val="0"/>
                  <w:vAlign w:val="center"/>
                </w:tcPr>
                <w:p w14:paraId="00693D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第八条 禁止违反风景名胜区规划，在风景名胜区内设立各类开发区。禁止在风景名胜区核心景区的岸线和河段范围内建设宾馆、招待所、培训中心、疗养院以及与风景名胜资源保护无关的项目。</w:t>
                  </w:r>
                </w:p>
              </w:tc>
              <w:tc>
                <w:tcPr>
                  <w:tcW w:w="1151" w:type="pct"/>
                  <w:tcBorders>
                    <w:tl2br w:val="nil"/>
                    <w:tr2bl w:val="nil"/>
                  </w:tcBorders>
                  <w:noWrap w:val="0"/>
                  <w:vAlign w:val="center"/>
                </w:tcPr>
                <w:p w14:paraId="3413ED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6B855E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3E925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3043C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5</w:t>
                  </w:r>
                </w:p>
              </w:tc>
              <w:tc>
                <w:tcPr>
                  <w:tcW w:w="2763" w:type="pct"/>
                  <w:tcBorders>
                    <w:tl2br w:val="nil"/>
                    <w:tr2bl w:val="nil"/>
                  </w:tcBorders>
                  <w:noWrap w:val="0"/>
                  <w:vAlign w:val="center"/>
                </w:tcPr>
                <w:p w14:paraId="28D224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第九条 禁止在饮用水</w:t>
                  </w:r>
                  <w:r>
                    <w:rPr>
                      <w:rFonts w:hint="eastAsia" w:cs="Times New Roman"/>
                      <w:b w:val="0"/>
                      <w:bCs w:val="0"/>
                      <w:kern w:val="0"/>
                      <w:sz w:val="21"/>
                      <w:szCs w:val="21"/>
                      <w:vertAlign w:val="baseline"/>
                      <w:lang w:val="en-US" w:eastAsia="zh-CN"/>
                    </w:rPr>
                    <w:t>水源地</w:t>
                  </w:r>
                  <w:r>
                    <w:rPr>
                      <w:rFonts w:hint="default" w:ascii="Times New Roman" w:hAnsi="Times New Roman" w:eastAsia="宋体" w:cs="Times New Roman"/>
                      <w:b w:val="0"/>
                      <w:bCs w:val="0"/>
                      <w:kern w:val="0"/>
                      <w:sz w:val="21"/>
                      <w:szCs w:val="21"/>
                      <w:vertAlign w:val="baseline"/>
                      <w:lang w:val="en-US" w:eastAsia="zh-CN"/>
                    </w:rPr>
                    <w:t>保护区的岸线和河段范围内新建、扩建对水体污染严重的建设项目，禁止改建增加排污量的建设项目。</w:t>
                  </w:r>
                </w:p>
              </w:tc>
              <w:tc>
                <w:tcPr>
                  <w:tcW w:w="1151" w:type="pct"/>
                  <w:tcBorders>
                    <w:tl2br w:val="nil"/>
                    <w:tr2bl w:val="nil"/>
                  </w:tcBorders>
                  <w:noWrap w:val="0"/>
                  <w:vAlign w:val="center"/>
                </w:tcPr>
                <w:p w14:paraId="327C38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63DAD5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CAC5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6C47B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6</w:t>
                  </w:r>
                </w:p>
              </w:tc>
              <w:tc>
                <w:tcPr>
                  <w:tcW w:w="2763" w:type="pct"/>
                  <w:tcBorders>
                    <w:tl2br w:val="nil"/>
                    <w:tr2bl w:val="nil"/>
                  </w:tcBorders>
                  <w:noWrap w:val="0"/>
                  <w:vAlign w:val="center"/>
                </w:tcPr>
                <w:p w14:paraId="00B266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第十条 饮用水水源二级保护区的岸线和河段范围内，除遵守准保护区规定外，禁止新建、改建、扩建排放污染物的投资建设项目</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禁止从事对水体有污染的水产养殖等活动。</w:t>
                  </w:r>
                </w:p>
              </w:tc>
              <w:tc>
                <w:tcPr>
                  <w:tcW w:w="1151" w:type="pct"/>
                  <w:tcBorders>
                    <w:tl2br w:val="nil"/>
                    <w:tr2bl w:val="nil"/>
                  </w:tcBorders>
                  <w:noWrap w:val="0"/>
                  <w:vAlign w:val="center"/>
                </w:tcPr>
                <w:p w14:paraId="760CC6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41294C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54840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355BE7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7</w:t>
                  </w:r>
                </w:p>
              </w:tc>
              <w:tc>
                <w:tcPr>
                  <w:tcW w:w="2763" w:type="pct"/>
                  <w:tcBorders>
                    <w:tl2br w:val="nil"/>
                    <w:tr2bl w:val="nil"/>
                  </w:tcBorders>
                  <w:noWrap w:val="0"/>
                  <w:vAlign w:val="center"/>
                </w:tcPr>
                <w:p w14:paraId="322E60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151" w:type="pct"/>
                  <w:tcBorders>
                    <w:tl2br w:val="nil"/>
                    <w:tr2bl w:val="nil"/>
                  </w:tcBorders>
                  <w:noWrap w:val="0"/>
                  <w:vAlign w:val="center"/>
                </w:tcPr>
                <w:p w14:paraId="6C2723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2E63D6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55F9F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4471D8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8</w:t>
                  </w:r>
                </w:p>
              </w:tc>
              <w:tc>
                <w:tcPr>
                  <w:tcW w:w="2763" w:type="pct"/>
                  <w:tcBorders>
                    <w:tl2br w:val="nil"/>
                    <w:tr2bl w:val="nil"/>
                  </w:tcBorders>
                  <w:noWrap w:val="0"/>
                  <w:vAlign w:val="center"/>
                </w:tcPr>
                <w:p w14:paraId="0E52FA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第十二条 禁止在水产种质资源保护区岸线和河段范围内新建围湖造田、围湖造地或挖沙采石等投资建设项目。</w:t>
                  </w:r>
                </w:p>
              </w:tc>
              <w:tc>
                <w:tcPr>
                  <w:tcW w:w="1151" w:type="pct"/>
                  <w:tcBorders>
                    <w:tl2br w:val="nil"/>
                    <w:tr2bl w:val="nil"/>
                  </w:tcBorders>
                  <w:noWrap w:val="0"/>
                  <w:vAlign w:val="center"/>
                </w:tcPr>
                <w:p w14:paraId="03707F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3C368C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5C88F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3FB650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9</w:t>
                  </w:r>
                </w:p>
              </w:tc>
              <w:tc>
                <w:tcPr>
                  <w:tcW w:w="2763" w:type="pct"/>
                  <w:tcBorders>
                    <w:tl2br w:val="nil"/>
                    <w:tr2bl w:val="nil"/>
                  </w:tcBorders>
                  <w:noWrap w:val="0"/>
                  <w:vAlign w:val="center"/>
                </w:tcPr>
                <w:p w14:paraId="5DD38B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cs="Times New Roman"/>
                      <w:b w:val="0"/>
                      <w:bCs w:val="0"/>
                      <w:kern w:val="0"/>
                      <w:sz w:val="21"/>
                      <w:szCs w:val="21"/>
                      <w:vertAlign w:val="baseline"/>
                      <w:lang w:val="en-US" w:eastAsia="zh-CN"/>
                    </w:rPr>
                    <w:t>洄游</w:t>
                  </w:r>
                  <w:r>
                    <w:rPr>
                      <w:rFonts w:hint="default" w:ascii="Times New Roman" w:hAnsi="Times New Roman" w:eastAsia="宋体" w:cs="Times New Roman"/>
                      <w:b w:val="0"/>
                      <w:bCs w:val="0"/>
                      <w:kern w:val="0"/>
                      <w:sz w:val="21"/>
                      <w:szCs w:val="21"/>
                      <w:vertAlign w:val="baseline"/>
                      <w:lang w:val="en-US" w:eastAsia="zh-CN"/>
                    </w:rPr>
                    <w:t>通道。</w:t>
                  </w:r>
                </w:p>
              </w:tc>
              <w:tc>
                <w:tcPr>
                  <w:tcW w:w="1151" w:type="pct"/>
                  <w:tcBorders>
                    <w:tl2br w:val="nil"/>
                    <w:tr2bl w:val="nil"/>
                  </w:tcBorders>
                  <w:noWrap w:val="0"/>
                  <w:vAlign w:val="center"/>
                </w:tcPr>
                <w:p w14:paraId="6988535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67FF54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06348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6464D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10</w:t>
                  </w:r>
                </w:p>
              </w:tc>
              <w:tc>
                <w:tcPr>
                  <w:tcW w:w="2763" w:type="pct"/>
                  <w:tcBorders>
                    <w:tl2br w:val="nil"/>
                    <w:tr2bl w:val="nil"/>
                  </w:tcBorders>
                  <w:noWrap w:val="0"/>
                  <w:vAlign w:val="center"/>
                </w:tcPr>
                <w:p w14:paraId="4B2C0E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151" w:type="pct"/>
                  <w:tcBorders>
                    <w:tl2br w:val="nil"/>
                    <w:tr2bl w:val="nil"/>
                  </w:tcBorders>
                  <w:noWrap w:val="0"/>
                  <w:vAlign w:val="center"/>
                </w:tcPr>
                <w:p w14:paraId="334A9F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485226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2AF1D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C6632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11</w:t>
                  </w:r>
                </w:p>
              </w:tc>
              <w:tc>
                <w:tcPr>
                  <w:tcW w:w="2763" w:type="pct"/>
                  <w:tcBorders>
                    <w:tl2br w:val="nil"/>
                    <w:tr2bl w:val="nil"/>
                  </w:tcBorders>
                  <w:noWrap w:val="0"/>
                  <w:vAlign w:val="center"/>
                </w:tcPr>
                <w:p w14:paraId="2984366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第十五条禁止在《全国重要江河湖泊水功能区划》划定的河段及湖泊保护区、保留区内投资建设不利于水资源及自然生态保护的</w:t>
                  </w:r>
                  <w:r>
                    <w:rPr>
                      <w:rFonts w:hint="eastAsia" w:ascii="Times New Roman" w:hAnsi="Times New Roman" w:eastAsia="宋体" w:cs="Times New Roman"/>
                      <w:b w:val="0"/>
                      <w:bCs w:val="0"/>
                      <w:kern w:val="0"/>
                      <w:sz w:val="21"/>
                      <w:szCs w:val="21"/>
                      <w:vertAlign w:val="baseline"/>
                      <w:lang w:val="en-US" w:eastAsia="zh-CN"/>
                    </w:rPr>
                    <w:t>项目</w:t>
                  </w:r>
                </w:p>
              </w:tc>
              <w:tc>
                <w:tcPr>
                  <w:tcW w:w="1151" w:type="pct"/>
                  <w:tcBorders>
                    <w:tl2br w:val="nil"/>
                    <w:tr2bl w:val="nil"/>
                  </w:tcBorders>
                  <w:noWrap w:val="0"/>
                  <w:vAlign w:val="center"/>
                </w:tcPr>
                <w:p w14:paraId="4ED9A0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项目不涉及新增</w:t>
                  </w:r>
                </w:p>
                <w:p w14:paraId="174459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排污口。</w:t>
                  </w:r>
                </w:p>
              </w:tc>
              <w:tc>
                <w:tcPr>
                  <w:tcW w:w="619" w:type="pct"/>
                  <w:tcBorders>
                    <w:tl2br w:val="nil"/>
                    <w:tr2bl w:val="nil"/>
                  </w:tcBorders>
                  <w:noWrap w:val="0"/>
                  <w:vAlign w:val="center"/>
                </w:tcPr>
                <w:p w14:paraId="45B22D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06F10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16CB9B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12</w:t>
                  </w:r>
                </w:p>
              </w:tc>
              <w:tc>
                <w:tcPr>
                  <w:tcW w:w="2763" w:type="pct"/>
                  <w:tcBorders>
                    <w:tl2br w:val="nil"/>
                    <w:tr2bl w:val="nil"/>
                  </w:tcBorders>
                  <w:noWrap w:val="0"/>
                  <w:vAlign w:val="center"/>
                </w:tcPr>
                <w:p w14:paraId="2BA1A6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第十六条禁止在长江流域江河、湖泊新设、改设或者扩大排污口，经有管辖权的生态环境主管部门或者长江流域生态环境监督管理机构同意的除外。</w:t>
                  </w:r>
                </w:p>
              </w:tc>
              <w:tc>
                <w:tcPr>
                  <w:tcW w:w="1151" w:type="pct"/>
                  <w:tcBorders>
                    <w:tl2br w:val="nil"/>
                    <w:tr2bl w:val="nil"/>
                  </w:tcBorders>
                  <w:noWrap w:val="0"/>
                  <w:vAlign w:val="center"/>
                </w:tcPr>
                <w:p w14:paraId="7088D8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项目不涉及</w:t>
                  </w:r>
                </w:p>
              </w:tc>
              <w:tc>
                <w:tcPr>
                  <w:tcW w:w="619" w:type="pct"/>
                  <w:tcBorders>
                    <w:tl2br w:val="nil"/>
                    <w:tr2bl w:val="nil"/>
                  </w:tcBorders>
                  <w:noWrap w:val="0"/>
                  <w:vAlign w:val="center"/>
                </w:tcPr>
                <w:p w14:paraId="2D4BC5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22891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1FB83D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13</w:t>
                  </w:r>
                </w:p>
              </w:tc>
              <w:tc>
                <w:tcPr>
                  <w:tcW w:w="2763" w:type="pct"/>
                  <w:tcBorders>
                    <w:tl2br w:val="nil"/>
                    <w:tr2bl w:val="nil"/>
                  </w:tcBorders>
                  <w:noWrap w:val="0"/>
                  <w:vAlign w:val="center"/>
                </w:tcPr>
                <w:p w14:paraId="40063F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第十七条禁止在长江干流、大渡河、岷江、赤水河、</w:t>
                  </w:r>
                  <w:r>
                    <w:rPr>
                      <w:rFonts w:hint="eastAsia" w:cs="Times New Roman"/>
                      <w:b w:val="0"/>
                      <w:bCs w:val="0"/>
                      <w:kern w:val="0"/>
                      <w:sz w:val="21"/>
                      <w:szCs w:val="21"/>
                      <w:vertAlign w:val="baseline"/>
                      <w:lang w:val="en-US" w:eastAsia="zh-CN"/>
                    </w:rPr>
                    <w:t>沱江</w:t>
                  </w:r>
                  <w:r>
                    <w:rPr>
                      <w:rFonts w:hint="default" w:ascii="Times New Roman" w:hAnsi="Times New Roman" w:eastAsia="宋体" w:cs="Times New Roman"/>
                      <w:b w:val="0"/>
                      <w:bCs w:val="0"/>
                      <w:kern w:val="0"/>
                      <w:sz w:val="21"/>
                      <w:szCs w:val="21"/>
                      <w:vertAlign w:val="baseline"/>
                      <w:lang w:val="en-US" w:eastAsia="zh-CN"/>
                    </w:rPr>
                    <w:t>、嘉陵江、乌江、汉江和 51个</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四川省45个、重庆市6个</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水生生物保护区开展生产性捕捞。</w:t>
                  </w:r>
                </w:p>
              </w:tc>
              <w:tc>
                <w:tcPr>
                  <w:tcW w:w="1151" w:type="pct"/>
                  <w:tcBorders>
                    <w:tl2br w:val="nil"/>
                    <w:tr2bl w:val="nil"/>
                  </w:tcBorders>
                  <w:noWrap w:val="0"/>
                  <w:vAlign w:val="center"/>
                </w:tcPr>
                <w:p w14:paraId="75CBF4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拟建项目不涉及左列水域。</w:t>
                  </w:r>
                </w:p>
              </w:tc>
              <w:tc>
                <w:tcPr>
                  <w:tcW w:w="619" w:type="pct"/>
                  <w:tcBorders>
                    <w:tl2br w:val="nil"/>
                    <w:tr2bl w:val="nil"/>
                  </w:tcBorders>
                  <w:noWrap w:val="0"/>
                  <w:vAlign w:val="center"/>
                </w:tcPr>
                <w:p w14:paraId="481948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59D6C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4EAD1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14</w:t>
                  </w:r>
                </w:p>
              </w:tc>
              <w:tc>
                <w:tcPr>
                  <w:tcW w:w="2763" w:type="pct"/>
                  <w:tcBorders>
                    <w:tl2br w:val="nil"/>
                    <w:tr2bl w:val="nil"/>
                  </w:tcBorders>
                  <w:noWrap w:val="0"/>
                  <w:vAlign w:val="center"/>
                </w:tcPr>
                <w:p w14:paraId="4B54D3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第十八条 禁止在长江</w:t>
                  </w:r>
                  <w:r>
                    <w:rPr>
                      <w:rFonts w:hint="eastAsia" w:cs="Times New Roman"/>
                      <w:b w:val="0"/>
                      <w:bCs w:val="0"/>
                      <w:kern w:val="0"/>
                      <w:sz w:val="21"/>
                      <w:szCs w:val="21"/>
                      <w:vertAlign w:val="baseline"/>
                      <w:lang w:val="en-US" w:eastAsia="zh-CN"/>
                    </w:rPr>
                    <w:t>干支流</w:t>
                  </w:r>
                  <w:r>
                    <w:rPr>
                      <w:rFonts w:hint="default" w:ascii="Times New Roman" w:hAnsi="Times New Roman" w:eastAsia="宋体" w:cs="Times New Roman"/>
                      <w:b w:val="0"/>
                      <w:bCs w:val="0"/>
                      <w:kern w:val="0"/>
                      <w:sz w:val="21"/>
                      <w:szCs w:val="21"/>
                      <w:vertAlign w:val="baseline"/>
                      <w:lang w:val="en-US" w:eastAsia="zh-CN"/>
                    </w:rPr>
                    <w:t>、重要湖泊岸线一公里范围内新建、扩建化工园区和化工项目。</w:t>
                  </w:r>
                </w:p>
              </w:tc>
              <w:tc>
                <w:tcPr>
                  <w:tcW w:w="1151" w:type="pct"/>
                  <w:vMerge w:val="restart"/>
                  <w:tcBorders>
                    <w:tl2br w:val="nil"/>
                    <w:tr2bl w:val="nil"/>
                  </w:tcBorders>
                  <w:noWrap w:val="0"/>
                  <w:vAlign w:val="center"/>
                </w:tcPr>
                <w:p w14:paraId="7F43CD0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项目不属于化工园区及化工项目</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项目不属于尾矿库、冶炼渣车、磷石膏库。</w:t>
                  </w:r>
                </w:p>
              </w:tc>
              <w:tc>
                <w:tcPr>
                  <w:tcW w:w="619" w:type="pct"/>
                  <w:vMerge w:val="restart"/>
                  <w:tcBorders>
                    <w:tl2br w:val="nil"/>
                    <w:tr2bl w:val="nil"/>
                  </w:tcBorders>
                  <w:noWrap w:val="0"/>
                  <w:vAlign w:val="center"/>
                </w:tcPr>
                <w:p w14:paraId="1E2264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4B8BB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772771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15</w:t>
                  </w:r>
                </w:p>
              </w:tc>
              <w:tc>
                <w:tcPr>
                  <w:tcW w:w="2763" w:type="pct"/>
                  <w:tcBorders>
                    <w:tl2br w:val="nil"/>
                    <w:tr2bl w:val="nil"/>
                  </w:tcBorders>
                  <w:noWrap w:val="0"/>
                  <w:vAlign w:val="center"/>
                </w:tcPr>
                <w:p w14:paraId="609A70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第十九条 禁止在长江干流岸线三公里范围内和重要支流岸线一公里范围内新建、改建、扩建尾矿库、冶炼渣库、磷石膏库，以提升安全、生态环境保护水平为目的的改建除外。</w:t>
                  </w:r>
                </w:p>
              </w:tc>
              <w:tc>
                <w:tcPr>
                  <w:tcW w:w="1151" w:type="pct"/>
                  <w:vMerge w:val="continue"/>
                  <w:tcBorders>
                    <w:tl2br w:val="nil"/>
                    <w:tr2bl w:val="nil"/>
                  </w:tcBorders>
                  <w:noWrap w:val="0"/>
                  <w:vAlign w:val="center"/>
                </w:tcPr>
                <w:p w14:paraId="64F107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619" w:type="pct"/>
                  <w:vMerge w:val="continue"/>
                  <w:tcBorders>
                    <w:tl2br w:val="nil"/>
                    <w:tr2bl w:val="nil"/>
                  </w:tcBorders>
                  <w:noWrap w:val="0"/>
                  <w:vAlign w:val="center"/>
                </w:tcPr>
                <w:p w14:paraId="1EE77A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14:paraId="77BD5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63889F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16</w:t>
                  </w:r>
                </w:p>
              </w:tc>
              <w:tc>
                <w:tcPr>
                  <w:tcW w:w="2763" w:type="pct"/>
                  <w:tcBorders>
                    <w:tl2br w:val="nil"/>
                    <w:tr2bl w:val="nil"/>
                  </w:tcBorders>
                  <w:noWrap w:val="0"/>
                  <w:vAlign w:val="center"/>
                </w:tcPr>
                <w:p w14:paraId="723622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第二十条 禁止在生态保护红线区域、永久基本农田集中区域和其他需要特别保护的区域内选址建设尾矿库、冶炼渣库、磷石膏库。</w:t>
                  </w:r>
                </w:p>
              </w:tc>
              <w:tc>
                <w:tcPr>
                  <w:tcW w:w="1151" w:type="pct"/>
                  <w:tcBorders>
                    <w:tl2br w:val="nil"/>
                    <w:tr2bl w:val="nil"/>
                  </w:tcBorders>
                  <w:noWrap w:val="0"/>
                  <w:vAlign w:val="center"/>
                </w:tcPr>
                <w:p w14:paraId="39739A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项目不涉及，且不属于上述</w:t>
                  </w:r>
                  <w:r>
                    <w:rPr>
                      <w:rFonts w:hint="eastAsia" w:ascii="Times New Roman" w:hAnsi="Times New Roman" w:eastAsia="宋体" w:cs="Times New Roman"/>
                      <w:b w:val="0"/>
                      <w:bCs w:val="0"/>
                      <w:kern w:val="0"/>
                      <w:sz w:val="21"/>
                      <w:szCs w:val="21"/>
                      <w:vertAlign w:val="baseline"/>
                      <w:lang w:val="en-US" w:eastAsia="zh-CN"/>
                    </w:rPr>
                    <w:t>项目</w:t>
                  </w:r>
                </w:p>
              </w:tc>
              <w:tc>
                <w:tcPr>
                  <w:tcW w:w="619" w:type="pct"/>
                  <w:tcBorders>
                    <w:tl2br w:val="nil"/>
                    <w:tr2bl w:val="nil"/>
                  </w:tcBorders>
                  <w:noWrap w:val="0"/>
                  <w:vAlign w:val="center"/>
                </w:tcPr>
                <w:p w14:paraId="12267BD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5A8A3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4606A51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17</w:t>
                  </w:r>
                </w:p>
              </w:tc>
              <w:tc>
                <w:tcPr>
                  <w:tcW w:w="2763" w:type="pct"/>
                  <w:tcBorders>
                    <w:tl2br w:val="nil"/>
                    <w:tr2bl w:val="nil"/>
                  </w:tcBorders>
                  <w:noWrap w:val="0"/>
                  <w:vAlign w:val="center"/>
                </w:tcPr>
                <w:p w14:paraId="6381A5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第二十一条 禁止在合规园区外新建、扩建钢铁、石化、化工、焦化、建材、有色、制浆造纸等高污染项目。</w:t>
                  </w:r>
                </w:p>
              </w:tc>
              <w:tc>
                <w:tcPr>
                  <w:tcW w:w="1151" w:type="pct"/>
                  <w:tcBorders>
                    <w:tl2br w:val="nil"/>
                    <w:tr2bl w:val="nil"/>
                  </w:tcBorders>
                  <w:noWrap w:val="0"/>
                  <w:vAlign w:val="center"/>
                </w:tcPr>
                <w:p w14:paraId="74F0F1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项目属</w:t>
                  </w:r>
                  <w:r>
                    <w:rPr>
                      <w:rFonts w:hint="default" w:ascii="Times New Roman" w:hAnsi="Times New Roman" w:eastAsia="宋体" w:cs="Times New Roman"/>
                      <w:b w:val="0"/>
                      <w:bCs w:val="0"/>
                      <w:kern w:val="0"/>
                      <w:sz w:val="21"/>
                      <w:szCs w:val="21"/>
                      <w:highlight w:val="none"/>
                      <w:vertAlign w:val="baseline"/>
                      <w:lang w:val="en-US" w:eastAsia="zh-CN"/>
                    </w:rPr>
                    <w:t>于宠物医院</w:t>
                  </w:r>
                  <w:r>
                    <w:rPr>
                      <w:rFonts w:hint="eastAsia" w:cs="Times New Roman"/>
                      <w:b w:val="0"/>
                      <w:bCs w:val="0"/>
                      <w:kern w:val="0"/>
                      <w:sz w:val="21"/>
                      <w:szCs w:val="21"/>
                      <w:highlight w:val="none"/>
                      <w:vertAlign w:val="baseline"/>
                      <w:lang w:val="en-US" w:eastAsia="zh-CN"/>
                    </w:rPr>
                    <w:t>扩建项目</w:t>
                  </w:r>
                  <w:r>
                    <w:rPr>
                      <w:rFonts w:hint="default" w:ascii="Times New Roman" w:hAnsi="Times New Roman" w:eastAsia="宋体" w:cs="Times New Roman"/>
                      <w:b w:val="0"/>
                      <w:bCs w:val="0"/>
                      <w:kern w:val="0"/>
                      <w:sz w:val="21"/>
                      <w:szCs w:val="21"/>
                      <w:highlight w:val="none"/>
                      <w:vertAlign w:val="baseline"/>
                      <w:lang w:val="en-US" w:eastAsia="zh-CN"/>
                    </w:rPr>
                    <w:t>，不属于以上高污</w:t>
                  </w:r>
                  <w:r>
                    <w:rPr>
                      <w:rFonts w:hint="default" w:ascii="Times New Roman" w:hAnsi="Times New Roman" w:eastAsia="宋体" w:cs="Times New Roman"/>
                      <w:b w:val="0"/>
                      <w:bCs w:val="0"/>
                      <w:kern w:val="0"/>
                      <w:sz w:val="21"/>
                      <w:szCs w:val="21"/>
                      <w:vertAlign w:val="baseline"/>
                      <w:lang w:val="en-US" w:eastAsia="zh-CN"/>
                    </w:rPr>
                    <w:t>染项目</w:t>
                  </w:r>
                </w:p>
              </w:tc>
              <w:tc>
                <w:tcPr>
                  <w:tcW w:w="619" w:type="pct"/>
                  <w:tcBorders>
                    <w:tl2br w:val="nil"/>
                    <w:tr2bl w:val="nil"/>
                  </w:tcBorders>
                  <w:noWrap w:val="0"/>
                  <w:vAlign w:val="center"/>
                </w:tcPr>
                <w:p w14:paraId="2C08E2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3B9CA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43E5D3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18</w:t>
                  </w:r>
                </w:p>
              </w:tc>
              <w:tc>
                <w:tcPr>
                  <w:tcW w:w="2763" w:type="pct"/>
                  <w:tcBorders>
                    <w:tl2br w:val="nil"/>
                    <w:tr2bl w:val="nil"/>
                  </w:tcBorders>
                  <w:noWrap w:val="0"/>
                  <w:vAlign w:val="center"/>
                </w:tcPr>
                <w:p w14:paraId="419021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第二十二条 禁止新建、扩建不符合国家石化、现代煤化工等产业布局规划的项目</w:t>
                  </w:r>
                </w:p>
                <w:p w14:paraId="551AE60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（一）</w:t>
                  </w:r>
                  <w:r>
                    <w:rPr>
                      <w:rFonts w:hint="default" w:ascii="Times New Roman" w:hAnsi="Times New Roman" w:eastAsia="宋体" w:cs="Times New Roman"/>
                      <w:b w:val="0"/>
                      <w:bCs w:val="0"/>
                      <w:kern w:val="0"/>
                      <w:sz w:val="21"/>
                      <w:szCs w:val="21"/>
                      <w:vertAlign w:val="baseline"/>
                      <w:lang w:val="en-US" w:eastAsia="zh-CN"/>
                    </w:rPr>
                    <w:t>严格控制新增炼油产能，未列入《石化产业规划布局方案</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修订版</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》的新增炼油产能一律不得建设。</w:t>
                  </w:r>
                </w:p>
                <w:p w14:paraId="28A3D4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（二）</w:t>
                  </w:r>
                  <w:r>
                    <w:rPr>
                      <w:rFonts w:hint="default" w:ascii="Times New Roman" w:hAnsi="Times New Roman" w:eastAsia="宋体" w:cs="Times New Roman"/>
                      <w:b w:val="0"/>
                      <w:bCs w:val="0"/>
                      <w:kern w:val="0"/>
                      <w:sz w:val="21"/>
                      <w:szCs w:val="21"/>
                      <w:vertAlign w:val="baseline"/>
                      <w:lang w:val="en-US" w:eastAsia="zh-CN"/>
                    </w:rPr>
                    <w:t>新建煤制烯烃、煤制芳烃项目必须列入《现代煤化工产业创新发展布局方案》，必须符合《现代煤化工建设项目环境准入条件</w:t>
                  </w:r>
                  <w:r>
                    <w:rPr>
                      <w:rFonts w:hint="eastAsia" w:ascii="Times New Roman" w:hAnsi="Times New Roman" w:eastAsia="宋体" w:cs="Times New Roman"/>
                      <w:b w:val="0"/>
                      <w:bCs w:val="0"/>
                      <w:kern w:val="0"/>
                      <w:sz w:val="21"/>
                      <w:szCs w:val="21"/>
                      <w:vertAlign w:val="baseline"/>
                      <w:lang w:val="en-US" w:eastAsia="zh-CN"/>
                    </w:rPr>
                    <w:t>（试行）</w:t>
                  </w:r>
                  <w:r>
                    <w:rPr>
                      <w:rFonts w:hint="default" w:ascii="Times New Roman" w:hAnsi="Times New Roman" w:eastAsia="宋体" w:cs="Times New Roman"/>
                      <w:b w:val="0"/>
                      <w:bCs w:val="0"/>
                      <w:kern w:val="0"/>
                      <w:sz w:val="21"/>
                      <w:szCs w:val="21"/>
                      <w:vertAlign w:val="baseline"/>
                      <w:lang w:val="en-US" w:eastAsia="zh-CN"/>
                    </w:rPr>
                    <w:t>》要求。</w:t>
                  </w:r>
                </w:p>
              </w:tc>
              <w:tc>
                <w:tcPr>
                  <w:tcW w:w="1151" w:type="pct"/>
                  <w:tcBorders>
                    <w:tl2br w:val="nil"/>
                    <w:tr2bl w:val="nil"/>
                  </w:tcBorders>
                  <w:noWrap w:val="0"/>
                  <w:vAlign w:val="center"/>
                </w:tcPr>
                <w:p w14:paraId="56ABDD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不属于石化、现代煤化工项目。</w:t>
                  </w:r>
                </w:p>
              </w:tc>
              <w:tc>
                <w:tcPr>
                  <w:tcW w:w="619" w:type="pct"/>
                  <w:tcBorders>
                    <w:tl2br w:val="nil"/>
                    <w:tr2bl w:val="nil"/>
                  </w:tcBorders>
                  <w:noWrap w:val="0"/>
                  <w:vAlign w:val="center"/>
                </w:tcPr>
                <w:p w14:paraId="03BC526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47B4A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2E8E8AE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19</w:t>
                  </w:r>
                </w:p>
              </w:tc>
              <w:tc>
                <w:tcPr>
                  <w:tcW w:w="2763" w:type="pct"/>
                  <w:tcBorders>
                    <w:tl2br w:val="nil"/>
                    <w:tr2bl w:val="nil"/>
                  </w:tcBorders>
                  <w:noWrap w:val="0"/>
                  <w:vAlign w:val="center"/>
                </w:tcPr>
                <w:p w14:paraId="1CC97E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第二十三条 禁止新建、扩建法律法规和相关政策明令禁止的落后产能项目。对《产业结构调整指导目录》中淘汰类项目，禁止投资限制类的</w:t>
                  </w:r>
                  <w:r>
                    <w:rPr>
                      <w:rFonts w:hint="eastAsia" w:cs="Times New Roman"/>
                      <w:b w:val="0"/>
                      <w:bCs w:val="0"/>
                      <w:kern w:val="0"/>
                      <w:sz w:val="21"/>
                      <w:szCs w:val="21"/>
                      <w:vertAlign w:val="baseline"/>
                      <w:lang w:val="en-US" w:eastAsia="zh-CN"/>
                    </w:rPr>
                    <w:t>扩建项目</w:t>
                  </w:r>
                  <w:r>
                    <w:rPr>
                      <w:rFonts w:hint="default" w:ascii="Times New Roman" w:hAnsi="Times New Roman" w:eastAsia="宋体" w:cs="Times New Roman"/>
                      <w:b w:val="0"/>
                      <w:bCs w:val="0"/>
                      <w:kern w:val="0"/>
                      <w:sz w:val="21"/>
                      <w:szCs w:val="21"/>
                      <w:vertAlign w:val="baseline"/>
                      <w:lang w:val="en-US" w:eastAsia="zh-CN"/>
                    </w:rPr>
                    <w:t>，禁止投资，对属于限制类的现有生产能力，允许企业在一定期限内采取措施改造升级。</w:t>
                  </w:r>
                </w:p>
              </w:tc>
              <w:tc>
                <w:tcPr>
                  <w:tcW w:w="1151" w:type="pct"/>
                  <w:tcBorders>
                    <w:tl2br w:val="nil"/>
                    <w:tr2bl w:val="nil"/>
                  </w:tcBorders>
                  <w:noWrap w:val="0"/>
                  <w:vAlign w:val="center"/>
                </w:tcPr>
                <w:p w14:paraId="52DDF1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项目属于允许类项目</w:t>
                  </w:r>
                </w:p>
              </w:tc>
              <w:tc>
                <w:tcPr>
                  <w:tcW w:w="619" w:type="pct"/>
                  <w:vMerge w:val="restart"/>
                  <w:tcBorders>
                    <w:tl2br w:val="nil"/>
                    <w:tr2bl w:val="nil"/>
                  </w:tcBorders>
                  <w:noWrap w:val="0"/>
                  <w:vAlign w:val="center"/>
                </w:tcPr>
                <w:p w14:paraId="21C2DC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eastAsia="宋体" w:cs="Times New Roman"/>
                      <w:b w:val="0"/>
                      <w:bCs w:val="0"/>
                      <w:kern w:val="0"/>
                      <w:sz w:val="21"/>
                      <w:szCs w:val="21"/>
                      <w:vertAlign w:val="baseline"/>
                      <w:lang w:val="en-US" w:eastAsia="zh-CN"/>
                    </w:rPr>
                    <w:t>符合</w:t>
                  </w:r>
                </w:p>
              </w:tc>
            </w:tr>
            <w:tr w14:paraId="46BDF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4D6C74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20</w:t>
                  </w:r>
                </w:p>
              </w:tc>
              <w:tc>
                <w:tcPr>
                  <w:tcW w:w="2763" w:type="pct"/>
                  <w:tcBorders>
                    <w:tl2br w:val="nil"/>
                    <w:tr2bl w:val="nil"/>
                  </w:tcBorders>
                  <w:noWrap w:val="0"/>
                  <w:vAlign w:val="center"/>
                </w:tcPr>
                <w:p w14:paraId="4E0E49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第二十四条 禁止新建、扩建不符合国家产能置换要求的严重过剩产能行业的项目。对于不符合国家产能置换要求的严重过剩产能行业，不得以其他任何名义、任何方式备案新增产能项目。</w:t>
                  </w:r>
                </w:p>
              </w:tc>
              <w:tc>
                <w:tcPr>
                  <w:tcW w:w="1151" w:type="pct"/>
                  <w:tcBorders>
                    <w:tl2br w:val="nil"/>
                    <w:tr2bl w:val="nil"/>
                  </w:tcBorders>
                  <w:noWrap w:val="0"/>
                  <w:vAlign w:val="center"/>
                </w:tcPr>
                <w:p w14:paraId="2CD06A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不属于产能过剩项目</w:t>
                  </w:r>
                </w:p>
              </w:tc>
              <w:tc>
                <w:tcPr>
                  <w:tcW w:w="619" w:type="pct"/>
                  <w:vMerge w:val="continue"/>
                  <w:tcBorders>
                    <w:tl2br w:val="nil"/>
                    <w:tr2bl w:val="nil"/>
                  </w:tcBorders>
                  <w:noWrap w:val="0"/>
                  <w:vAlign w:val="center"/>
                </w:tcPr>
                <w:p w14:paraId="6246D0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14:paraId="14C92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6" w:type="pct"/>
                  <w:tcBorders>
                    <w:tl2br w:val="nil"/>
                    <w:tr2bl w:val="nil"/>
                  </w:tcBorders>
                  <w:noWrap w:val="0"/>
                  <w:vAlign w:val="center"/>
                </w:tcPr>
                <w:p w14:paraId="567282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21</w:t>
                  </w:r>
                </w:p>
              </w:tc>
              <w:tc>
                <w:tcPr>
                  <w:tcW w:w="2763" w:type="pct"/>
                  <w:tcBorders>
                    <w:tl2br w:val="nil"/>
                    <w:tr2bl w:val="nil"/>
                  </w:tcBorders>
                  <w:noWrap w:val="0"/>
                  <w:vAlign w:val="center"/>
                </w:tcPr>
                <w:p w14:paraId="628807C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第二十五条 禁止建设以下燃油汽车投资项目</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不在中国境内销售产品的投资项目除外</w:t>
                  </w:r>
                  <w:r>
                    <w:rPr>
                      <w:rFonts w:hint="eastAsia" w:ascii="Times New Roman" w:hAnsi="Times New Roman" w:eastAsia="宋体" w:cs="Times New Roman"/>
                      <w:b w:val="0"/>
                      <w:bCs w:val="0"/>
                      <w:kern w:val="0"/>
                      <w:sz w:val="21"/>
                      <w:szCs w:val="21"/>
                      <w:vertAlign w:val="baseline"/>
                      <w:lang w:val="en-US" w:eastAsia="zh-CN"/>
                    </w:rPr>
                    <w:t>）：</w:t>
                  </w:r>
                </w:p>
                <w:p w14:paraId="569AB9EA">
                  <w:pPr>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新建独立燃油汽车企业</w:t>
                  </w:r>
                  <w:r>
                    <w:rPr>
                      <w:rFonts w:hint="eastAsia" w:ascii="Times New Roman" w:hAnsi="Times New Roman" w:eastAsia="宋体" w:cs="Times New Roman"/>
                      <w:b w:val="0"/>
                      <w:bCs w:val="0"/>
                      <w:kern w:val="0"/>
                      <w:sz w:val="21"/>
                      <w:szCs w:val="21"/>
                      <w:vertAlign w:val="baseline"/>
                      <w:lang w:val="en-US" w:eastAsia="zh-CN"/>
                    </w:rPr>
                    <w:t>；</w:t>
                  </w:r>
                </w:p>
                <w:p w14:paraId="35A622E4">
                  <w:pPr>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现有汽车企业跨乘用车、商用车类别建设燃油汽车生产能力</w:t>
                  </w:r>
                  <w:r>
                    <w:rPr>
                      <w:rFonts w:hint="eastAsia" w:ascii="Times New Roman" w:hAnsi="Times New Roman" w:eastAsia="宋体" w:cs="Times New Roman"/>
                      <w:b w:val="0"/>
                      <w:bCs w:val="0"/>
                      <w:kern w:val="0"/>
                      <w:sz w:val="21"/>
                      <w:szCs w:val="21"/>
                      <w:vertAlign w:val="baseline"/>
                      <w:lang w:val="en-US" w:eastAsia="zh-CN"/>
                    </w:rPr>
                    <w:t>；</w:t>
                  </w:r>
                </w:p>
                <w:p w14:paraId="12F371AB">
                  <w:pPr>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外省现有燃油汽车企业整体搬迁至本省</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列入国家级区域发展规划或不改变企业</w:t>
                  </w:r>
                  <w:r>
                    <w:rPr>
                      <w:rFonts w:hint="eastAsia" w:cs="Times New Roman"/>
                      <w:b w:val="0"/>
                      <w:bCs w:val="0"/>
                      <w:kern w:val="0"/>
                      <w:sz w:val="21"/>
                      <w:szCs w:val="21"/>
                      <w:vertAlign w:val="baseline"/>
                      <w:lang w:val="en-US" w:eastAsia="zh-CN"/>
                    </w:rPr>
                    <w:t>股权</w:t>
                  </w:r>
                  <w:r>
                    <w:rPr>
                      <w:rFonts w:hint="default" w:ascii="Times New Roman" w:hAnsi="Times New Roman" w:eastAsia="宋体" w:cs="Times New Roman"/>
                      <w:b w:val="0"/>
                      <w:bCs w:val="0"/>
                      <w:kern w:val="0"/>
                      <w:sz w:val="21"/>
                      <w:szCs w:val="21"/>
                      <w:vertAlign w:val="baseline"/>
                      <w:lang w:val="en-US" w:eastAsia="zh-CN"/>
                    </w:rPr>
                    <w:t>结构的项目除外</w:t>
                  </w:r>
                  <w:r>
                    <w:rPr>
                      <w:rFonts w:hint="eastAsia" w:ascii="Times New Roman" w:hAnsi="Times New Roman" w:eastAsia="宋体" w:cs="Times New Roman"/>
                      <w:b w:val="0"/>
                      <w:bCs w:val="0"/>
                      <w:kern w:val="0"/>
                      <w:sz w:val="21"/>
                      <w:szCs w:val="21"/>
                      <w:vertAlign w:val="baseline"/>
                      <w:lang w:val="en-US" w:eastAsia="zh-CN"/>
                    </w:rPr>
                    <w:t>）；</w:t>
                  </w:r>
                </w:p>
                <w:p w14:paraId="71FFBA52">
                  <w:pPr>
                    <w:keepNext w:val="0"/>
                    <w:keepLines w:val="0"/>
                    <w:pageBreakBefore w:val="0"/>
                    <w:widowControl w:val="0"/>
                    <w:numPr>
                      <w:ilvl w:val="0"/>
                      <w:numId w:val="5"/>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对行业管理部门特别公示的燃油汽车企业进行投资</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企业原有股东投资或将该企业转为非独立法人的投资项目除外</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w:t>
                  </w:r>
                </w:p>
              </w:tc>
              <w:tc>
                <w:tcPr>
                  <w:tcW w:w="1151" w:type="pct"/>
                  <w:tcBorders>
                    <w:tl2br w:val="nil"/>
                    <w:tr2bl w:val="nil"/>
                  </w:tcBorders>
                  <w:noWrap w:val="0"/>
                  <w:vAlign w:val="center"/>
                </w:tcPr>
                <w:p w14:paraId="5FAD0C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不属于燃油汽车生产项目</w:t>
                  </w:r>
                </w:p>
              </w:tc>
              <w:tc>
                <w:tcPr>
                  <w:tcW w:w="619" w:type="pct"/>
                  <w:vMerge w:val="continue"/>
                  <w:tcBorders>
                    <w:tl2br w:val="nil"/>
                    <w:tr2bl w:val="nil"/>
                  </w:tcBorders>
                  <w:noWrap w:val="0"/>
                  <w:vAlign w:val="center"/>
                </w:tcPr>
                <w:p w14:paraId="1B02D6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r>
            <w:tr w14:paraId="1FA4D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466" w:type="pct"/>
                  <w:tcBorders>
                    <w:tl2br w:val="nil"/>
                    <w:tr2bl w:val="nil"/>
                  </w:tcBorders>
                  <w:noWrap w:val="0"/>
                  <w:vAlign w:val="center"/>
                </w:tcPr>
                <w:p w14:paraId="3DCAC0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22</w:t>
                  </w:r>
                </w:p>
              </w:tc>
              <w:tc>
                <w:tcPr>
                  <w:tcW w:w="2763" w:type="pct"/>
                  <w:tcBorders>
                    <w:tl2br w:val="nil"/>
                    <w:tr2bl w:val="nil"/>
                  </w:tcBorders>
                  <w:noWrap w:val="0"/>
                  <w:vAlign w:val="center"/>
                </w:tcPr>
                <w:p w14:paraId="46B831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第二十六条 禁止新建、扩建不符合要求的高耗能、高排放、低水平项目。</w:t>
                  </w:r>
                </w:p>
              </w:tc>
              <w:tc>
                <w:tcPr>
                  <w:tcW w:w="1151" w:type="pct"/>
                  <w:tcBorders>
                    <w:tl2br w:val="nil"/>
                    <w:tr2bl w:val="nil"/>
                  </w:tcBorders>
                  <w:noWrap w:val="0"/>
                  <w:vAlign w:val="center"/>
                </w:tcPr>
                <w:p w14:paraId="5AB5C3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拟建项目属于</w:t>
                  </w:r>
                  <w:r>
                    <w:rPr>
                      <w:rFonts w:hint="eastAsia" w:ascii="Times New Roman" w:hAnsi="Times New Roman" w:eastAsia="宋体" w:cs="Times New Roman"/>
                      <w:b w:val="0"/>
                      <w:bCs w:val="0"/>
                      <w:kern w:val="0"/>
                      <w:sz w:val="21"/>
                      <w:szCs w:val="21"/>
                      <w:vertAlign w:val="baseline"/>
                      <w:lang w:val="en-US" w:eastAsia="zh-CN"/>
                    </w:rPr>
                    <w:t>O8222 宠物医院服务</w:t>
                  </w:r>
                  <w:r>
                    <w:rPr>
                      <w:rFonts w:hint="default" w:ascii="Times New Roman" w:hAnsi="Times New Roman" w:eastAsia="宋体" w:cs="Times New Roman"/>
                      <w:b w:val="0"/>
                      <w:bCs w:val="0"/>
                      <w:kern w:val="0"/>
                      <w:sz w:val="21"/>
                      <w:szCs w:val="21"/>
                      <w:vertAlign w:val="baseline"/>
                      <w:lang w:val="en-US" w:eastAsia="zh-CN"/>
                    </w:rPr>
                    <w:t>，不属于高耗能、高排放、低水平项目。</w:t>
                  </w:r>
                </w:p>
              </w:tc>
              <w:tc>
                <w:tcPr>
                  <w:tcW w:w="619" w:type="pct"/>
                  <w:tcBorders>
                    <w:tl2br w:val="nil"/>
                    <w:tr2bl w:val="nil"/>
                  </w:tcBorders>
                  <w:noWrap w:val="0"/>
                  <w:vAlign w:val="center"/>
                </w:tcPr>
                <w:p w14:paraId="23C3EC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bl>
          <w:p w14:paraId="5625E70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由上表1-4知，拟建项目符合《四川省、重庆市长江经济带发展负面清单实施细则</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试行，2022年版</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》相关要求</w:t>
            </w:r>
            <w:r>
              <w:rPr>
                <w:rFonts w:hint="eastAsia" w:ascii="Times New Roman" w:hAnsi="Times New Roman" w:eastAsia="宋体" w:cs="Times New Roman"/>
                <w:b w:val="0"/>
                <w:bCs w:val="0"/>
                <w:kern w:val="0"/>
                <w:sz w:val="24"/>
                <w:szCs w:val="24"/>
                <w:lang w:val="en-US" w:eastAsia="zh-CN"/>
              </w:rPr>
              <w:t>。</w:t>
            </w:r>
          </w:p>
          <w:p w14:paraId="6256A6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sz w:val="24"/>
                <w:szCs w:val="24"/>
                <w:vertAlign w:val="baseline"/>
              </w:rPr>
            </w:pPr>
            <w:r>
              <w:rPr>
                <w:rFonts w:hint="default" w:ascii="Times New Roman" w:hAnsi="Times New Roman" w:eastAsia="宋体" w:cs="Times New Roman"/>
                <w:b/>
                <w:bCs/>
                <w:sz w:val="24"/>
                <w:szCs w:val="24"/>
                <w:vertAlign w:val="baseline"/>
              </w:rPr>
              <w:t>3.</w:t>
            </w:r>
            <w:r>
              <w:rPr>
                <w:rFonts w:hint="eastAsia" w:cs="Times New Roman"/>
                <w:b/>
                <w:bCs/>
                <w:sz w:val="24"/>
                <w:szCs w:val="24"/>
                <w:vertAlign w:val="baseline"/>
                <w:lang w:val="en-US" w:eastAsia="zh-CN"/>
              </w:rPr>
              <w:t>3</w:t>
            </w:r>
            <w:r>
              <w:rPr>
                <w:rFonts w:hint="default" w:ascii="Times New Roman" w:hAnsi="Times New Roman" w:eastAsia="宋体" w:cs="Times New Roman"/>
                <w:b/>
                <w:bCs/>
                <w:sz w:val="24"/>
                <w:szCs w:val="24"/>
                <w:vertAlign w:val="baseline"/>
              </w:rPr>
              <w:t xml:space="preserve"> 与《动物诊疗机构管理办法》</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农业农村部令2022年第5号</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符合性分析</w:t>
            </w:r>
          </w:p>
          <w:p w14:paraId="109A71F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项目与《动物诊疗机构管理办法》</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农业农村部令2022年第5号</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的符合性分析见下表。</w:t>
            </w:r>
          </w:p>
          <w:p w14:paraId="285D93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4"/>
                <w:szCs w:val="24"/>
                <w:vertAlign w:val="baseline"/>
                <w:lang w:val="en-US" w:eastAsia="zh-CN"/>
              </w:rPr>
            </w:pPr>
            <w:r>
              <w:rPr>
                <w:rFonts w:hint="default" w:ascii="Times New Roman" w:hAnsi="Times New Roman" w:eastAsia="宋体" w:cs="Times New Roman"/>
                <w:b w:val="0"/>
                <w:bCs w:val="0"/>
                <w:kern w:val="0"/>
                <w:sz w:val="24"/>
                <w:szCs w:val="24"/>
                <w:lang w:val="en-US" w:eastAsia="zh-CN"/>
              </w:rPr>
              <w:t>表1-</w:t>
            </w:r>
            <w:r>
              <w:rPr>
                <w:rFonts w:hint="eastAsia" w:cs="Times New Roman"/>
                <w:b w:val="0"/>
                <w:bCs w:val="0"/>
                <w:kern w:val="0"/>
                <w:sz w:val="24"/>
                <w:szCs w:val="24"/>
                <w:lang w:val="en-US" w:eastAsia="zh-CN"/>
              </w:rPr>
              <w:t>4</w:t>
            </w:r>
            <w:r>
              <w:rPr>
                <w:rFonts w:hint="eastAsia" w:ascii="Times New Roman" w:hAnsi="Times New Roman" w:eastAsia="宋体" w:cs="Times New Roman"/>
                <w:b w:val="0"/>
                <w:bCs w:val="0"/>
                <w:kern w:val="0"/>
                <w:sz w:val="24"/>
                <w:szCs w:val="24"/>
                <w:lang w:val="en-US" w:eastAsia="zh-CN"/>
              </w:rPr>
              <w:t xml:space="preserve"> </w:t>
            </w:r>
            <w:r>
              <w:rPr>
                <w:rFonts w:hint="default" w:ascii="Times New Roman" w:hAnsi="Times New Roman" w:eastAsia="宋体" w:cs="Times New Roman"/>
                <w:b w:val="0"/>
                <w:bCs w:val="0"/>
                <w:kern w:val="0"/>
                <w:sz w:val="24"/>
                <w:szCs w:val="24"/>
                <w:lang w:val="en-US" w:eastAsia="zh-CN"/>
              </w:rPr>
              <w:t>与《动物诊疗机构管理办法》符合性分析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4"/>
              <w:gridCol w:w="2595"/>
              <w:gridCol w:w="1320"/>
            </w:tblGrid>
            <w:tr w14:paraId="68753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16A6F3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申请设立动物诊疗机构应具备的条件</w:t>
                  </w:r>
                </w:p>
              </w:tc>
              <w:tc>
                <w:tcPr>
                  <w:tcW w:w="1561" w:type="pct"/>
                  <w:tcBorders>
                    <w:tl2br w:val="nil"/>
                    <w:tr2bl w:val="nil"/>
                  </w:tcBorders>
                  <w:noWrap w:val="0"/>
                  <w:vAlign w:val="center"/>
                </w:tcPr>
                <w:p w14:paraId="7F1FE40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项目情况</w:t>
                  </w:r>
                </w:p>
              </w:tc>
              <w:tc>
                <w:tcPr>
                  <w:tcW w:w="794" w:type="pct"/>
                  <w:tcBorders>
                    <w:tl2br w:val="nil"/>
                    <w:tr2bl w:val="nil"/>
                  </w:tcBorders>
                  <w:noWrap w:val="0"/>
                  <w:vAlign w:val="center"/>
                </w:tcPr>
                <w:p w14:paraId="5E2FD1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符合性</w:t>
                  </w:r>
                </w:p>
              </w:tc>
            </w:tr>
            <w:tr w14:paraId="50862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6C6C28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（一）</w:t>
                  </w:r>
                  <w:r>
                    <w:rPr>
                      <w:rFonts w:hint="default" w:ascii="Times New Roman" w:hAnsi="Times New Roman" w:eastAsia="宋体" w:cs="Times New Roman"/>
                      <w:b w:val="0"/>
                      <w:bCs w:val="0"/>
                      <w:kern w:val="0"/>
                      <w:sz w:val="21"/>
                      <w:szCs w:val="21"/>
                      <w:vertAlign w:val="baseline"/>
                      <w:lang w:val="en-US" w:eastAsia="zh-CN"/>
                    </w:rPr>
                    <w:t>有固定的动物诊疗场所，且动物诊疗场所使用面积符合省、自治区、直辖市人民政府农业农村主管部门的规定</w:t>
                  </w:r>
                </w:p>
              </w:tc>
              <w:tc>
                <w:tcPr>
                  <w:tcW w:w="1561" w:type="pct"/>
                  <w:tcBorders>
                    <w:tl2br w:val="nil"/>
                    <w:tr2bl w:val="nil"/>
                  </w:tcBorders>
                  <w:noWrap w:val="0"/>
                  <w:vAlign w:val="center"/>
                </w:tcPr>
                <w:p w14:paraId="167497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项目具有固定诊疗场所，设施及配套较为完善</w:t>
                  </w:r>
                  <w:r>
                    <w:rPr>
                      <w:rFonts w:hint="eastAsia" w:ascii="Times New Roman" w:hAnsi="Times New Roman" w:eastAsia="宋体" w:cs="Times New Roman"/>
                      <w:b w:val="0"/>
                      <w:bCs w:val="0"/>
                      <w:kern w:val="0"/>
                      <w:sz w:val="21"/>
                      <w:szCs w:val="21"/>
                      <w:highlight w:val="none"/>
                      <w:vertAlign w:val="baseline"/>
                      <w:lang w:val="en-US" w:eastAsia="zh-CN"/>
                    </w:rPr>
                    <w:t>。</w:t>
                  </w:r>
                </w:p>
              </w:tc>
              <w:tc>
                <w:tcPr>
                  <w:tcW w:w="794" w:type="pct"/>
                  <w:tcBorders>
                    <w:tl2br w:val="nil"/>
                    <w:tr2bl w:val="nil"/>
                  </w:tcBorders>
                  <w:noWrap w:val="0"/>
                  <w:vAlign w:val="center"/>
                </w:tcPr>
                <w:p w14:paraId="274BE8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6D66C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1657FC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（二）</w:t>
                  </w:r>
                  <w:r>
                    <w:rPr>
                      <w:rFonts w:hint="default" w:ascii="Times New Roman" w:hAnsi="Times New Roman" w:eastAsia="宋体" w:cs="Times New Roman"/>
                      <w:b w:val="0"/>
                      <w:bCs w:val="0"/>
                      <w:kern w:val="0"/>
                      <w:sz w:val="21"/>
                      <w:szCs w:val="21"/>
                      <w:vertAlign w:val="baseline"/>
                      <w:lang w:val="en-US" w:eastAsia="zh-CN"/>
                    </w:rPr>
                    <w:t>动物诊疗场所选址距离动物饲养场、动物屠宰加工场所、经营动物的集贸市场不少于200米</w:t>
                  </w:r>
                </w:p>
              </w:tc>
              <w:tc>
                <w:tcPr>
                  <w:tcW w:w="1561" w:type="pct"/>
                  <w:tcBorders>
                    <w:tl2br w:val="nil"/>
                    <w:tr2bl w:val="nil"/>
                  </w:tcBorders>
                  <w:noWrap w:val="0"/>
                  <w:vAlign w:val="center"/>
                </w:tcPr>
                <w:p w14:paraId="3E4FC7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项目周边200m范围内无动物饲养场、动物屠宰加工场所、经营动物的集贸市场等</w:t>
                  </w:r>
                </w:p>
              </w:tc>
              <w:tc>
                <w:tcPr>
                  <w:tcW w:w="794" w:type="pct"/>
                  <w:tcBorders>
                    <w:tl2br w:val="nil"/>
                    <w:tr2bl w:val="nil"/>
                  </w:tcBorders>
                  <w:noWrap w:val="0"/>
                  <w:vAlign w:val="center"/>
                </w:tcPr>
                <w:p w14:paraId="7A4027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57CB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51E02A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（三）</w:t>
                  </w:r>
                  <w:r>
                    <w:rPr>
                      <w:rFonts w:hint="default" w:ascii="Times New Roman" w:hAnsi="Times New Roman" w:eastAsia="宋体" w:cs="Times New Roman"/>
                      <w:b w:val="0"/>
                      <w:bCs w:val="0"/>
                      <w:kern w:val="0"/>
                      <w:sz w:val="21"/>
                      <w:szCs w:val="21"/>
                      <w:vertAlign w:val="baseline"/>
                      <w:lang w:val="en-US" w:eastAsia="zh-CN"/>
                    </w:rPr>
                    <w:t>动物诊疗场所设有独立的出入口，出入口不得设在居民住宅楼内或院内，不得与同一建筑物的其他用户共用通道</w:t>
                  </w:r>
                </w:p>
              </w:tc>
              <w:tc>
                <w:tcPr>
                  <w:tcW w:w="1561" w:type="pct"/>
                  <w:tcBorders>
                    <w:tl2br w:val="nil"/>
                    <w:tr2bl w:val="nil"/>
                  </w:tcBorders>
                  <w:noWrap w:val="0"/>
                  <w:vAlign w:val="center"/>
                </w:tcPr>
                <w:p w14:paraId="7809AA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项目所在区域为商业</w:t>
                  </w:r>
                  <w:r>
                    <w:rPr>
                      <w:rFonts w:hint="eastAsia" w:cs="Times New Roman"/>
                      <w:b w:val="0"/>
                      <w:bCs w:val="0"/>
                      <w:kern w:val="0"/>
                      <w:sz w:val="21"/>
                      <w:szCs w:val="21"/>
                      <w:highlight w:val="none"/>
                      <w:vertAlign w:val="baseline"/>
                      <w:lang w:val="en-US" w:eastAsia="zh-CN"/>
                    </w:rPr>
                    <w:t>裙楼</w:t>
                  </w:r>
                  <w:r>
                    <w:rPr>
                      <w:rFonts w:hint="default" w:ascii="Times New Roman" w:hAnsi="Times New Roman" w:eastAsia="宋体" w:cs="Times New Roman"/>
                      <w:b w:val="0"/>
                      <w:bCs w:val="0"/>
                      <w:kern w:val="0"/>
                      <w:sz w:val="21"/>
                      <w:szCs w:val="21"/>
                      <w:highlight w:val="none"/>
                      <w:vertAlign w:val="baseline"/>
                      <w:lang w:val="en-US" w:eastAsia="zh-CN"/>
                    </w:rPr>
                    <w:t>，设置了独立的出入口，没有与其他用户共用通道</w:t>
                  </w:r>
                </w:p>
              </w:tc>
              <w:tc>
                <w:tcPr>
                  <w:tcW w:w="794" w:type="pct"/>
                  <w:tcBorders>
                    <w:tl2br w:val="nil"/>
                    <w:tr2bl w:val="nil"/>
                  </w:tcBorders>
                  <w:noWrap w:val="0"/>
                  <w:vAlign w:val="center"/>
                </w:tcPr>
                <w:p w14:paraId="51330B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034E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49131235">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（四）</w:t>
                  </w:r>
                  <w:r>
                    <w:rPr>
                      <w:rFonts w:hint="default" w:ascii="Times New Roman" w:hAnsi="Times New Roman" w:eastAsia="宋体" w:cs="Times New Roman"/>
                      <w:b w:val="0"/>
                      <w:bCs w:val="0"/>
                      <w:kern w:val="0"/>
                      <w:sz w:val="21"/>
                      <w:szCs w:val="21"/>
                      <w:vertAlign w:val="baseline"/>
                      <w:lang w:val="en-US" w:eastAsia="zh-CN"/>
                    </w:rPr>
                    <w:t>具有布局合理的诊疗室、隔离室、药房等设施</w:t>
                  </w:r>
                </w:p>
              </w:tc>
              <w:tc>
                <w:tcPr>
                  <w:tcW w:w="1561" w:type="pct"/>
                  <w:tcBorders>
                    <w:tl2br w:val="nil"/>
                    <w:tr2bl w:val="nil"/>
                  </w:tcBorders>
                  <w:noWrap w:val="0"/>
                  <w:vAlign w:val="center"/>
                </w:tcPr>
                <w:p w14:paraId="4A349E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医院设置有诊疗室、隔离室</w:t>
                  </w:r>
                  <w:r>
                    <w:rPr>
                      <w:rFonts w:hint="eastAsia" w:ascii="Times New Roman" w:hAnsi="Times New Roman" w:eastAsia="宋体" w:cs="Times New Roman"/>
                      <w:b w:val="0"/>
                      <w:bCs w:val="0"/>
                      <w:kern w:val="0"/>
                      <w:sz w:val="21"/>
                      <w:szCs w:val="21"/>
                      <w:highlight w:val="none"/>
                      <w:vertAlign w:val="baseline"/>
                      <w:lang w:val="en-US" w:eastAsia="zh-CN"/>
                    </w:rPr>
                    <w:t>、</w:t>
                  </w:r>
                  <w:r>
                    <w:rPr>
                      <w:rFonts w:hint="default" w:ascii="Times New Roman" w:hAnsi="Times New Roman" w:eastAsia="宋体" w:cs="Times New Roman"/>
                      <w:b w:val="0"/>
                      <w:bCs w:val="0"/>
                      <w:kern w:val="0"/>
                      <w:sz w:val="21"/>
                      <w:szCs w:val="21"/>
                      <w:highlight w:val="none"/>
                      <w:vertAlign w:val="baseline"/>
                      <w:lang w:val="en-US" w:eastAsia="zh-CN"/>
                    </w:rPr>
                    <w:t>药房等设施。</w:t>
                  </w:r>
                </w:p>
              </w:tc>
              <w:tc>
                <w:tcPr>
                  <w:tcW w:w="794" w:type="pct"/>
                  <w:tcBorders>
                    <w:tl2br w:val="nil"/>
                    <w:tr2bl w:val="nil"/>
                  </w:tcBorders>
                  <w:noWrap w:val="0"/>
                  <w:vAlign w:val="center"/>
                </w:tcPr>
                <w:p w14:paraId="2700BD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6DFC5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587A8957">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（五）</w:t>
                  </w:r>
                  <w:r>
                    <w:rPr>
                      <w:rFonts w:hint="default" w:ascii="Times New Roman" w:hAnsi="Times New Roman" w:eastAsia="宋体" w:cs="Times New Roman"/>
                      <w:b w:val="0"/>
                      <w:bCs w:val="0"/>
                      <w:kern w:val="0"/>
                      <w:sz w:val="21"/>
                      <w:szCs w:val="21"/>
                      <w:vertAlign w:val="baseline"/>
                      <w:lang w:val="en-US" w:eastAsia="zh-CN"/>
                    </w:rPr>
                    <w:t>具有诊断、消毒、冷藏、常规化验污水处理等器械设备</w:t>
                  </w:r>
                </w:p>
              </w:tc>
              <w:tc>
                <w:tcPr>
                  <w:tcW w:w="1561" w:type="pct"/>
                  <w:tcBorders>
                    <w:tl2br w:val="nil"/>
                    <w:tr2bl w:val="nil"/>
                  </w:tcBorders>
                  <w:noWrap w:val="0"/>
                  <w:vAlign w:val="center"/>
                </w:tcPr>
                <w:p w14:paraId="71C50D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项目具有诊断、消毒、冷藏、常规化验、</w:t>
                  </w:r>
                  <w:r>
                    <w:rPr>
                      <w:rFonts w:hint="eastAsia" w:cs="Times New Roman"/>
                      <w:b w:val="0"/>
                      <w:bCs w:val="0"/>
                      <w:kern w:val="0"/>
                      <w:sz w:val="21"/>
                      <w:szCs w:val="21"/>
                      <w:highlight w:val="none"/>
                      <w:vertAlign w:val="baseline"/>
                      <w:lang w:val="en-US" w:eastAsia="zh-CN"/>
                    </w:rPr>
                    <w:t>消毒设施</w:t>
                  </w:r>
                  <w:r>
                    <w:rPr>
                      <w:rFonts w:hint="default" w:ascii="Times New Roman" w:hAnsi="Times New Roman" w:eastAsia="宋体" w:cs="Times New Roman"/>
                      <w:b w:val="0"/>
                      <w:bCs w:val="0"/>
                      <w:kern w:val="0"/>
                      <w:sz w:val="21"/>
                      <w:szCs w:val="21"/>
                      <w:highlight w:val="none"/>
                      <w:vertAlign w:val="baseline"/>
                      <w:lang w:val="en-US" w:eastAsia="zh-CN"/>
                    </w:rPr>
                    <w:t>等器械设备</w:t>
                  </w:r>
                </w:p>
              </w:tc>
              <w:tc>
                <w:tcPr>
                  <w:tcW w:w="794" w:type="pct"/>
                  <w:tcBorders>
                    <w:tl2br w:val="nil"/>
                    <w:tr2bl w:val="nil"/>
                  </w:tcBorders>
                  <w:noWrap w:val="0"/>
                  <w:vAlign w:val="center"/>
                </w:tcPr>
                <w:p w14:paraId="49CB12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0E75C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6DEDF4AB">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（六）</w:t>
                  </w:r>
                  <w:r>
                    <w:rPr>
                      <w:rFonts w:hint="default" w:ascii="Times New Roman" w:hAnsi="Times New Roman" w:eastAsia="宋体" w:cs="Times New Roman"/>
                      <w:b w:val="0"/>
                      <w:bCs w:val="0"/>
                      <w:kern w:val="0"/>
                      <w:sz w:val="21"/>
                      <w:szCs w:val="21"/>
                      <w:vertAlign w:val="baseline"/>
                      <w:lang w:val="en-US" w:eastAsia="zh-CN"/>
                    </w:rPr>
                    <w:t>具有诊疗废弃物暂存处理设施，并委托专业处理机构处理</w:t>
                  </w:r>
                </w:p>
              </w:tc>
              <w:tc>
                <w:tcPr>
                  <w:tcW w:w="1561" w:type="pct"/>
                  <w:tcBorders>
                    <w:tl2br w:val="nil"/>
                    <w:tr2bl w:val="nil"/>
                  </w:tcBorders>
                  <w:noWrap w:val="0"/>
                  <w:vAlign w:val="center"/>
                </w:tcPr>
                <w:p w14:paraId="276B32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项目设有医废</w:t>
                  </w:r>
                  <w:r>
                    <w:rPr>
                      <w:rFonts w:hint="eastAsia" w:cs="Times New Roman"/>
                      <w:b w:val="0"/>
                      <w:bCs w:val="0"/>
                      <w:kern w:val="0"/>
                      <w:sz w:val="21"/>
                      <w:szCs w:val="21"/>
                      <w:highlight w:val="none"/>
                      <w:vertAlign w:val="baseline"/>
                      <w:lang w:val="en-US" w:eastAsia="zh-CN"/>
                    </w:rPr>
                    <w:t>点</w:t>
                  </w:r>
                  <w:r>
                    <w:rPr>
                      <w:rFonts w:hint="default" w:ascii="Times New Roman" w:hAnsi="Times New Roman" w:eastAsia="宋体" w:cs="Times New Roman"/>
                      <w:b w:val="0"/>
                      <w:bCs w:val="0"/>
                      <w:kern w:val="0"/>
                      <w:sz w:val="21"/>
                      <w:szCs w:val="21"/>
                      <w:highlight w:val="none"/>
                      <w:vertAlign w:val="baseline"/>
                      <w:lang w:val="en-US" w:eastAsia="zh-CN"/>
                    </w:rPr>
                    <w:t>，并委托有资质单位进行处理。</w:t>
                  </w:r>
                </w:p>
              </w:tc>
              <w:tc>
                <w:tcPr>
                  <w:tcW w:w="794" w:type="pct"/>
                  <w:tcBorders>
                    <w:tl2br w:val="nil"/>
                    <w:tr2bl w:val="nil"/>
                  </w:tcBorders>
                  <w:noWrap w:val="0"/>
                  <w:vAlign w:val="center"/>
                </w:tcPr>
                <w:p w14:paraId="0C0FFE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4816F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672A4900">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（七）</w:t>
                  </w:r>
                  <w:r>
                    <w:rPr>
                      <w:rFonts w:hint="default" w:ascii="Times New Roman" w:hAnsi="Times New Roman" w:eastAsia="宋体" w:cs="Times New Roman"/>
                      <w:b w:val="0"/>
                      <w:bCs w:val="0"/>
                      <w:kern w:val="0"/>
                      <w:sz w:val="21"/>
                      <w:szCs w:val="21"/>
                      <w:vertAlign w:val="baseline"/>
                      <w:lang w:val="en-US" w:eastAsia="zh-CN"/>
                    </w:rPr>
                    <w:t>具有染疫或者疑似染疫动物的隔离控制措施及设施设备</w:t>
                  </w:r>
                </w:p>
              </w:tc>
              <w:tc>
                <w:tcPr>
                  <w:tcW w:w="1561" w:type="pct"/>
                  <w:tcBorders>
                    <w:tl2br w:val="nil"/>
                    <w:tr2bl w:val="nil"/>
                  </w:tcBorders>
                  <w:noWrap w:val="0"/>
                  <w:vAlign w:val="center"/>
                </w:tcPr>
                <w:p w14:paraId="3C3ECF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项目设有隔离室</w:t>
                  </w:r>
                </w:p>
              </w:tc>
              <w:tc>
                <w:tcPr>
                  <w:tcW w:w="794" w:type="pct"/>
                  <w:tcBorders>
                    <w:tl2br w:val="nil"/>
                    <w:tr2bl w:val="nil"/>
                  </w:tcBorders>
                  <w:noWrap w:val="0"/>
                  <w:vAlign w:val="center"/>
                </w:tcPr>
                <w:p w14:paraId="7A5ECB3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3F71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65D2AB9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（八）</w:t>
                  </w:r>
                  <w:r>
                    <w:rPr>
                      <w:rFonts w:hint="default" w:ascii="Times New Roman" w:hAnsi="Times New Roman" w:eastAsia="宋体" w:cs="Times New Roman"/>
                      <w:b w:val="0"/>
                      <w:bCs w:val="0"/>
                      <w:kern w:val="0"/>
                      <w:sz w:val="21"/>
                      <w:szCs w:val="21"/>
                      <w:vertAlign w:val="baseline"/>
                      <w:lang w:val="en-US" w:eastAsia="zh-CN"/>
                    </w:rPr>
                    <w:t>具有与动物诊疗活动相适应的执业兽医</w:t>
                  </w:r>
                </w:p>
              </w:tc>
              <w:tc>
                <w:tcPr>
                  <w:tcW w:w="1561" w:type="pct"/>
                  <w:tcBorders>
                    <w:tl2br w:val="nil"/>
                    <w:tr2bl w:val="nil"/>
                  </w:tcBorders>
                  <w:noWrap w:val="0"/>
                  <w:vAlign w:val="center"/>
                </w:tcPr>
                <w:p w14:paraId="7E9EC6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项目拥有已取得执业兽医师资格证书的人员</w:t>
                  </w:r>
                </w:p>
              </w:tc>
              <w:tc>
                <w:tcPr>
                  <w:tcW w:w="794" w:type="pct"/>
                  <w:tcBorders>
                    <w:tl2br w:val="nil"/>
                    <w:tr2bl w:val="nil"/>
                  </w:tcBorders>
                  <w:noWrap w:val="0"/>
                  <w:vAlign w:val="center"/>
                </w:tcPr>
                <w:p w14:paraId="67B0EE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74E7B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44" w:type="pct"/>
                  <w:tcBorders>
                    <w:tl2br w:val="nil"/>
                    <w:tr2bl w:val="nil"/>
                  </w:tcBorders>
                  <w:noWrap w:val="0"/>
                  <w:vAlign w:val="center"/>
                </w:tcPr>
                <w:p w14:paraId="4A1032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（九）</w:t>
                  </w:r>
                  <w:r>
                    <w:rPr>
                      <w:rFonts w:hint="default" w:ascii="Times New Roman" w:hAnsi="Times New Roman" w:eastAsia="宋体" w:cs="Times New Roman"/>
                      <w:b w:val="0"/>
                      <w:bCs w:val="0"/>
                      <w:kern w:val="0"/>
                      <w:sz w:val="21"/>
                      <w:szCs w:val="21"/>
                      <w:vertAlign w:val="baseline"/>
                      <w:lang w:val="en-US" w:eastAsia="zh-CN"/>
                    </w:rPr>
                    <w:t>具有完善的诊疗服务、疫情报告、卫生安全防护、消毒、隔离、诊疗废弃物暂存、兽医器械、兽药处方、药物和无害化处理等管理制度</w:t>
                  </w:r>
                </w:p>
              </w:tc>
              <w:tc>
                <w:tcPr>
                  <w:tcW w:w="1561" w:type="pct"/>
                  <w:tcBorders>
                    <w:tl2br w:val="nil"/>
                    <w:tr2bl w:val="nil"/>
                  </w:tcBorders>
                  <w:noWrap w:val="0"/>
                  <w:vAlign w:val="center"/>
                </w:tcPr>
                <w:p w14:paraId="7AC9F3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highlight w:val="none"/>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项目拥有完善的诊疗服务、疫情报告、卫生安全防护、消毒、隔离、诊疗废弃物暂存、兽医器械、兽药处方、药物和无害化处理等管理制度</w:t>
                  </w:r>
                </w:p>
              </w:tc>
              <w:tc>
                <w:tcPr>
                  <w:tcW w:w="794" w:type="pct"/>
                  <w:tcBorders>
                    <w:tl2br w:val="nil"/>
                    <w:tr2bl w:val="nil"/>
                  </w:tcBorders>
                  <w:noWrap w:val="0"/>
                  <w:vAlign w:val="center"/>
                </w:tcPr>
                <w:p w14:paraId="5F9122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bl>
          <w:p w14:paraId="23460AC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综上所述</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项目的建设符合《动物诊疗机构管理办法》</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农业农村部令2022年第5号</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的相关要求。</w:t>
            </w:r>
          </w:p>
          <w:p w14:paraId="3BD5C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sz w:val="24"/>
                <w:szCs w:val="24"/>
                <w:vertAlign w:val="baseline"/>
              </w:rPr>
            </w:pPr>
            <w:r>
              <w:rPr>
                <w:rFonts w:hint="default" w:ascii="Times New Roman" w:hAnsi="Times New Roman" w:eastAsia="宋体" w:cs="Times New Roman"/>
                <w:b/>
                <w:bCs/>
                <w:sz w:val="24"/>
                <w:szCs w:val="24"/>
                <w:vertAlign w:val="baseline"/>
              </w:rPr>
              <w:t>3.</w:t>
            </w:r>
            <w:r>
              <w:rPr>
                <w:rFonts w:hint="eastAsia" w:cs="Times New Roman"/>
                <w:b/>
                <w:bCs/>
                <w:sz w:val="24"/>
                <w:szCs w:val="24"/>
                <w:vertAlign w:val="baseline"/>
                <w:lang w:val="en-US" w:eastAsia="zh-CN"/>
              </w:rPr>
              <w:t>4</w:t>
            </w:r>
            <w:r>
              <w:rPr>
                <w:rFonts w:hint="default" w:ascii="Times New Roman" w:hAnsi="Times New Roman" w:eastAsia="宋体" w:cs="Times New Roman"/>
                <w:b/>
                <w:bCs/>
                <w:sz w:val="24"/>
                <w:szCs w:val="24"/>
                <w:vertAlign w:val="baseline"/>
              </w:rPr>
              <w:t xml:space="preserve"> 与《中华人民共和国动物防疫法》</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2021版</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农业农村部令2022年第5号</w:t>
            </w:r>
            <w:r>
              <w:rPr>
                <w:rFonts w:hint="eastAsia" w:ascii="Times New Roman" w:hAnsi="Times New Roman" w:eastAsia="宋体" w:cs="Times New Roman"/>
                <w:b/>
                <w:bCs/>
                <w:sz w:val="24"/>
                <w:szCs w:val="24"/>
                <w:vertAlign w:val="baseline"/>
                <w:lang w:eastAsia="zh-CN"/>
              </w:rPr>
              <w:t>）</w:t>
            </w:r>
            <w:r>
              <w:rPr>
                <w:rFonts w:hint="default" w:ascii="Times New Roman" w:hAnsi="Times New Roman" w:eastAsia="宋体" w:cs="Times New Roman"/>
                <w:b/>
                <w:bCs/>
                <w:sz w:val="24"/>
                <w:szCs w:val="24"/>
                <w:vertAlign w:val="baseline"/>
              </w:rPr>
              <w:t>符合性分析</w:t>
            </w:r>
          </w:p>
          <w:p w14:paraId="67D0E8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vertAlign w:val="baseline"/>
              </w:rPr>
            </w:pPr>
            <w:r>
              <w:rPr>
                <w:rFonts w:hint="default" w:ascii="Times New Roman" w:hAnsi="Times New Roman" w:eastAsia="宋体" w:cs="Times New Roman"/>
                <w:b w:val="0"/>
                <w:bCs w:val="0"/>
                <w:sz w:val="24"/>
                <w:szCs w:val="24"/>
                <w:vertAlign w:val="baseline"/>
              </w:rPr>
              <w:t>项目与《中华人民共和国动物防疫法》</w:t>
            </w:r>
            <w:r>
              <w:rPr>
                <w:rFonts w:hint="eastAsia" w:ascii="Times New Roman" w:hAnsi="Times New Roman" w:eastAsia="宋体" w:cs="Times New Roman"/>
                <w:b w:val="0"/>
                <w:bCs w:val="0"/>
                <w:sz w:val="24"/>
                <w:szCs w:val="24"/>
                <w:vertAlign w:val="baseline"/>
                <w:lang w:eastAsia="zh-CN"/>
              </w:rPr>
              <w:t>（</w:t>
            </w:r>
            <w:r>
              <w:rPr>
                <w:rFonts w:hint="default" w:ascii="Times New Roman" w:hAnsi="Times New Roman" w:eastAsia="宋体" w:cs="Times New Roman"/>
                <w:b w:val="0"/>
                <w:bCs w:val="0"/>
                <w:sz w:val="24"/>
                <w:szCs w:val="24"/>
                <w:vertAlign w:val="baseline"/>
              </w:rPr>
              <w:t>2021版</w:t>
            </w:r>
            <w:r>
              <w:rPr>
                <w:rFonts w:hint="eastAsia" w:ascii="Times New Roman" w:hAnsi="Times New Roman" w:eastAsia="宋体" w:cs="Times New Roman"/>
                <w:b w:val="0"/>
                <w:bCs w:val="0"/>
                <w:sz w:val="24"/>
                <w:szCs w:val="24"/>
                <w:vertAlign w:val="baseline"/>
                <w:lang w:eastAsia="zh-CN"/>
              </w:rPr>
              <w:t>）</w:t>
            </w:r>
            <w:r>
              <w:rPr>
                <w:rFonts w:hint="default" w:ascii="Times New Roman" w:hAnsi="Times New Roman" w:eastAsia="宋体" w:cs="Times New Roman"/>
                <w:b w:val="0"/>
                <w:bCs w:val="0"/>
                <w:sz w:val="24"/>
                <w:szCs w:val="24"/>
                <w:vertAlign w:val="baseline"/>
              </w:rPr>
              <w:t>的符合性分析详见下表。</w:t>
            </w:r>
          </w:p>
          <w:p w14:paraId="5A233A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0"/>
              <w:rPr>
                <w:rFonts w:hint="default" w:ascii="Times New Roman" w:hAnsi="Times New Roman" w:eastAsia="宋体" w:cs="Times New Roman"/>
                <w:b w:val="0"/>
                <w:bCs w:val="0"/>
                <w:sz w:val="24"/>
                <w:szCs w:val="24"/>
                <w:vertAlign w:val="baseline"/>
              </w:rPr>
            </w:pPr>
            <w:r>
              <w:rPr>
                <w:rFonts w:hint="default" w:ascii="Times New Roman" w:hAnsi="Times New Roman" w:eastAsia="宋体" w:cs="Times New Roman"/>
                <w:b w:val="0"/>
                <w:bCs w:val="0"/>
                <w:sz w:val="24"/>
                <w:szCs w:val="24"/>
                <w:vertAlign w:val="baseline"/>
              </w:rPr>
              <w:t>表1-5 项目与《中华人民共和国动物防疫法》符合性分析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19"/>
              <w:gridCol w:w="2610"/>
              <w:gridCol w:w="1380"/>
            </w:tblGrid>
            <w:tr w14:paraId="22503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1AE44C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《中华人民共和国动物防疫法》</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2021版</w:t>
                  </w:r>
                  <w:r>
                    <w:rPr>
                      <w:rFonts w:hint="eastAsia" w:ascii="Times New Roman" w:hAnsi="Times New Roman" w:eastAsia="宋体" w:cs="Times New Roman"/>
                      <w:b w:val="0"/>
                      <w:bCs w:val="0"/>
                      <w:kern w:val="0"/>
                      <w:sz w:val="21"/>
                      <w:szCs w:val="21"/>
                      <w:vertAlign w:val="baseline"/>
                      <w:lang w:val="en-US" w:eastAsia="zh-CN"/>
                    </w:rPr>
                    <w:t>）</w:t>
                  </w:r>
                </w:p>
              </w:tc>
              <w:tc>
                <w:tcPr>
                  <w:tcW w:w="1570" w:type="pct"/>
                  <w:tcBorders>
                    <w:tl2br w:val="nil"/>
                    <w:tr2bl w:val="nil"/>
                  </w:tcBorders>
                  <w:vAlign w:val="center"/>
                </w:tcPr>
                <w:p w14:paraId="0188FE6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项目情况</w:t>
                  </w:r>
                </w:p>
              </w:tc>
              <w:tc>
                <w:tcPr>
                  <w:tcW w:w="830" w:type="pct"/>
                  <w:tcBorders>
                    <w:tl2br w:val="nil"/>
                    <w:tr2bl w:val="nil"/>
                  </w:tcBorders>
                  <w:vAlign w:val="center"/>
                </w:tcPr>
                <w:p w14:paraId="27C9E3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符合性</w:t>
                  </w:r>
                </w:p>
              </w:tc>
            </w:tr>
            <w:tr w14:paraId="225B9A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72A710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从事动物诊疗活动的机构，应当向县级以上地方人民政府农业农村主管部门申请动物诊疗许可证。受理申请的农业农村主管部门应当依照本法和《中华人民共和国行政许可法》的规定进行审查。经审查合格的，发给动物诊疗许可证</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不合格的，应当通知申请人并说明理由。</w:t>
                  </w:r>
                </w:p>
              </w:tc>
              <w:tc>
                <w:tcPr>
                  <w:tcW w:w="1570" w:type="pct"/>
                  <w:tcBorders>
                    <w:tl2br w:val="nil"/>
                    <w:tr2bl w:val="nil"/>
                  </w:tcBorders>
                  <w:vAlign w:val="center"/>
                </w:tcPr>
                <w:p w14:paraId="0E768B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highlight w:val="none"/>
                      <w:vertAlign w:val="baseline"/>
                      <w:lang w:val="en-US" w:eastAsia="zh-CN"/>
                    </w:rPr>
                    <w:t>项目</w:t>
                  </w:r>
                  <w:r>
                    <w:rPr>
                      <w:rFonts w:hint="eastAsia" w:cs="Times New Roman"/>
                      <w:b w:val="0"/>
                      <w:bCs w:val="0"/>
                      <w:kern w:val="0"/>
                      <w:sz w:val="21"/>
                      <w:szCs w:val="21"/>
                      <w:highlight w:val="none"/>
                      <w:vertAlign w:val="baseline"/>
                      <w:lang w:val="en-US" w:eastAsia="zh-CN"/>
                    </w:rPr>
                    <w:t>已</w:t>
                  </w:r>
                  <w:r>
                    <w:rPr>
                      <w:rFonts w:hint="default" w:ascii="Times New Roman" w:hAnsi="Times New Roman" w:eastAsia="宋体" w:cs="Times New Roman"/>
                      <w:b w:val="0"/>
                      <w:bCs w:val="0"/>
                      <w:kern w:val="0"/>
                      <w:sz w:val="21"/>
                      <w:szCs w:val="21"/>
                      <w:highlight w:val="none"/>
                      <w:vertAlign w:val="baseline"/>
                      <w:lang w:val="en-US" w:eastAsia="zh-CN"/>
                    </w:rPr>
                    <w:t>取得动物诊疗许可证(动诊证[</w:t>
                  </w:r>
                  <w:r>
                    <w:rPr>
                      <w:rFonts w:hint="eastAsia" w:cs="Times New Roman"/>
                      <w:b w:val="0"/>
                      <w:bCs w:val="0"/>
                      <w:kern w:val="0"/>
                      <w:sz w:val="21"/>
                      <w:szCs w:val="21"/>
                      <w:highlight w:val="none"/>
                      <w:vertAlign w:val="baseline"/>
                      <w:lang w:val="en-US" w:eastAsia="zh-CN"/>
                    </w:rPr>
                    <w:t>渝璧</w:t>
                  </w:r>
                  <w:r>
                    <w:rPr>
                      <w:rFonts w:hint="default" w:ascii="Times New Roman" w:hAnsi="Times New Roman" w:eastAsia="宋体" w:cs="Times New Roman"/>
                      <w:b w:val="0"/>
                      <w:bCs w:val="0"/>
                      <w:kern w:val="0"/>
                      <w:sz w:val="21"/>
                      <w:szCs w:val="21"/>
                      <w:highlight w:val="none"/>
                      <w:vertAlign w:val="baseline"/>
                      <w:lang w:val="en-US" w:eastAsia="zh-CN"/>
                    </w:rPr>
                    <w:t>]第</w:t>
                  </w:r>
                  <w:r>
                    <w:rPr>
                      <w:rFonts w:hint="eastAsia" w:cs="Times New Roman"/>
                      <w:b w:val="0"/>
                      <w:bCs w:val="0"/>
                      <w:kern w:val="0"/>
                      <w:sz w:val="21"/>
                      <w:szCs w:val="21"/>
                      <w:highlight w:val="none"/>
                      <w:vertAlign w:val="baseline"/>
                      <w:lang w:val="en-US" w:eastAsia="zh-CN"/>
                    </w:rPr>
                    <w:t>0001</w:t>
                  </w:r>
                  <w:r>
                    <w:rPr>
                      <w:rFonts w:hint="default" w:ascii="Times New Roman" w:hAnsi="Times New Roman" w:eastAsia="宋体" w:cs="Times New Roman"/>
                      <w:b w:val="0"/>
                      <w:bCs w:val="0"/>
                      <w:kern w:val="0"/>
                      <w:sz w:val="21"/>
                      <w:szCs w:val="21"/>
                      <w:highlight w:val="none"/>
                      <w:vertAlign w:val="baseline"/>
                      <w:lang w:val="en-US" w:eastAsia="zh-CN"/>
                    </w:rPr>
                    <w:t>号)</w:t>
                  </w:r>
                </w:p>
              </w:tc>
              <w:tc>
                <w:tcPr>
                  <w:tcW w:w="830" w:type="pct"/>
                  <w:tcBorders>
                    <w:tl2br w:val="nil"/>
                    <w:tr2bl w:val="nil"/>
                  </w:tcBorders>
                  <w:vAlign w:val="center"/>
                </w:tcPr>
                <w:p w14:paraId="303C7A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58AC0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5C1379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动物诊疗机构应当按照国务院农业农村主管部门的规定，做好诊疗活动中的卫生安全防护、消毒、隔离和诊疗废弃物处置等工作。</w:t>
                  </w:r>
                </w:p>
              </w:tc>
              <w:tc>
                <w:tcPr>
                  <w:tcW w:w="1570" w:type="pct"/>
                  <w:tcBorders>
                    <w:tl2br w:val="nil"/>
                    <w:tr2bl w:val="nil"/>
                  </w:tcBorders>
                  <w:vAlign w:val="center"/>
                </w:tcPr>
                <w:p w14:paraId="5CA0FFA9">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项目按相关规定及环评要求做好诊疗活动中的卫生安全防护、消毒、隔离诊疗废弃物处置等</w:t>
                  </w:r>
                </w:p>
              </w:tc>
              <w:tc>
                <w:tcPr>
                  <w:tcW w:w="830" w:type="pct"/>
                  <w:tcBorders>
                    <w:tl2br w:val="nil"/>
                    <w:tr2bl w:val="nil"/>
                  </w:tcBorders>
                  <w:vAlign w:val="center"/>
                </w:tcPr>
                <w:p w14:paraId="100E99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1A8C7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98" w:type="pct"/>
                  <w:tcBorders>
                    <w:tl2br w:val="nil"/>
                    <w:tr2bl w:val="nil"/>
                  </w:tcBorders>
                  <w:vAlign w:val="center"/>
                </w:tcPr>
                <w:p w14:paraId="1B9D9C18">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从事动物诊疗活动，应当遵守有关动物诊疗的操作技术规范，使用符合规定的兽药和兽药器械。</w:t>
                  </w:r>
                </w:p>
              </w:tc>
              <w:tc>
                <w:tcPr>
                  <w:tcW w:w="1570" w:type="pct"/>
                  <w:tcBorders>
                    <w:tl2br w:val="nil"/>
                    <w:tr2bl w:val="nil"/>
                  </w:tcBorders>
                  <w:vAlign w:val="center"/>
                </w:tcPr>
                <w:p w14:paraId="25F827B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项目使用符合规定的器械和药品</w:t>
                  </w:r>
                </w:p>
              </w:tc>
              <w:tc>
                <w:tcPr>
                  <w:tcW w:w="830" w:type="pct"/>
                  <w:tcBorders>
                    <w:tl2br w:val="nil"/>
                    <w:tr2bl w:val="nil"/>
                  </w:tcBorders>
                  <w:vAlign w:val="center"/>
                </w:tcPr>
                <w:p w14:paraId="75564B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bl>
          <w:p w14:paraId="665B0796">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3.</w:t>
            </w:r>
            <w:r>
              <w:rPr>
                <w:rFonts w:hint="eastAsia" w:cs="Times New Roman"/>
                <w:b/>
                <w:bCs/>
                <w:kern w:val="0"/>
                <w:sz w:val="24"/>
                <w:szCs w:val="24"/>
                <w:lang w:val="en-US" w:eastAsia="zh-CN"/>
              </w:rPr>
              <w:t>5</w:t>
            </w:r>
            <w:r>
              <w:rPr>
                <w:rFonts w:hint="eastAsia" w:ascii="Times New Roman" w:hAnsi="Times New Roman" w:eastAsia="宋体" w:cs="Times New Roman"/>
                <w:b/>
                <w:bCs/>
                <w:kern w:val="0"/>
                <w:sz w:val="24"/>
                <w:szCs w:val="24"/>
                <w:lang w:val="en-US" w:eastAsia="zh-CN"/>
              </w:rPr>
              <w:t xml:space="preserve"> </w:t>
            </w:r>
            <w:r>
              <w:rPr>
                <w:rFonts w:hint="default" w:ascii="Times New Roman" w:hAnsi="Times New Roman" w:eastAsia="宋体" w:cs="Times New Roman"/>
                <w:b/>
                <w:bCs/>
                <w:kern w:val="0"/>
                <w:sz w:val="24"/>
                <w:szCs w:val="24"/>
                <w:lang w:val="en-US" w:eastAsia="zh-CN"/>
              </w:rPr>
              <w:t>与《重庆市生态环境局重庆市农业农村委员会关于规范动物诊疗机构医疗废物集中无害化处置的通知》渝环</w:t>
            </w:r>
            <w:r>
              <w:rPr>
                <w:rFonts w:hint="eastAsia" w:cs="Times New Roman"/>
                <w:b/>
                <w:bCs/>
                <w:kern w:val="0"/>
                <w:sz w:val="24"/>
                <w:szCs w:val="24"/>
                <w:lang w:val="en-US" w:eastAsia="zh-CN"/>
              </w:rPr>
              <w:t>〔2019〕185号</w:t>
            </w:r>
            <w:r>
              <w:rPr>
                <w:rFonts w:hint="default" w:ascii="Times New Roman" w:hAnsi="Times New Roman" w:eastAsia="宋体" w:cs="Times New Roman"/>
                <w:b/>
                <w:bCs/>
                <w:kern w:val="0"/>
                <w:sz w:val="24"/>
                <w:szCs w:val="24"/>
                <w:lang w:val="en-US" w:eastAsia="zh-CN"/>
              </w:rPr>
              <w:t>的符合性分析</w:t>
            </w:r>
          </w:p>
          <w:p w14:paraId="10EB5C5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项目与《重庆市生态环境局重庆市农业农村委员会关于规范动物诊疗机构医疗废物集中无害化处置的通知》详见下表。</w:t>
            </w:r>
          </w:p>
          <w:p w14:paraId="418899F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表1-6</w:t>
            </w:r>
            <w:r>
              <w:rPr>
                <w:rFonts w:hint="eastAsia" w:ascii="Times New Roman" w:hAnsi="Times New Roman" w:eastAsia="宋体" w:cs="Times New Roman"/>
                <w:b w:val="0"/>
                <w:bCs w:val="0"/>
                <w:kern w:val="0"/>
                <w:sz w:val="24"/>
                <w:szCs w:val="24"/>
                <w:lang w:val="en-US" w:eastAsia="zh-CN"/>
              </w:rPr>
              <w:t xml:space="preserve"> </w:t>
            </w:r>
            <w:r>
              <w:rPr>
                <w:rFonts w:hint="default" w:ascii="Times New Roman" w:hAnsi="Times New Roman" w:eastAsia="宋体" w:cs="Times New Roman"/>
                <w:b w:val="0"/>
                <w:bCs w:val="0"/>
                <w:kern w:val="0"/>
                <w:sz w:val="24"/>
                <w:szCs w:val="24"/>
                <w:lang w:val="en-US" w:eastAsia="zh-CN"/>
              </w:rPr>
              <w:t>项目与《重庆市生态环境局重庆市农业农村委员会关于规范动物诊疗机构医疗废物集中无害化处置的通知》符合性分析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55"/>
              <w:gridCol w:w="1981"/>
              <w:gridCol w:w="1373"/>
            </w:tblGrid>
            <w:tr w14:paraId="2CD3A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4D0955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通知内容</w:t>
                  </w:r>
                </w:p>
              </w:tc>
              <w:tc>
                <w:tcPr>
                  <w:tcW w:w="1192" w:type="pct"/>
                  <w:tcBorders>
                    <w:tl2br w:val="nil"/>
                    <w:tr2bl w:val="nil"/>
                  </w:tcBorders>
                  <w:vAlign w:val="center"/>
                </w:tcPr>
                <w:p w14:paraId="7EEEE0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项目情况</w:t>
                  </w:r>
                </w:p>
              </w:tc>
              <w:tc>
                <w:tcPr>
                  <w:tcW w:w="826" w:type="pct"/>
                  <w:tcBorders>
                    <w:tl2br w:val="nil"/>
                    <w:tr2bl w:val="nil"/>
                  </w:tcBorders>
                  <w:vAlign w:val="center"/>
                </w:tcPr>
                <w:p w14:paraId="47F27D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符合性</w:t>
                  </w:r>
                </w:p>
              </w:tc>
            </w:tr>
            <w:tr w14:paraId="5A9D3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58D840BD">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一、</w:t>
                  </w:r>
                  <w:r>
                    <w:rPr>
                      <w:rFonts w:hint="default" w:ascii="Times New Roman" w:hAnsi="Times New Roman" w:eastAsia="宋体" w:cs="Times New Roman"/>
                      <w:b w:val="0"/>
                      <w:bCs w:val="0"/>
                      <w:kern w:val="0"/>
                      <w:sz w:val="21"/>
                      <w:szCs w:val="21"/>
                      <w:vertAlign w:val="baseline"/>
                      <w:lang w:val="en-US" w:eastAsia="zh-CN"/>
                    </w:rPr>
                    <w:t>根据《国家危险废物名录》和《动物诊疗机构管理办法》，动物诊疗机构为动物诊治产生的废物</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不含病死动物和动物病理组织</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属于HW01医疗废物</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废物代码</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900-001-01</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，应当参照《医疗废物管理条例》的有关规定交具有相应资质的医疗废物处置单位进行集中处置，不得非法转移、倾倒及处置。</w:t>
                  </w:r>
                </w:p>
              </w:tc>
              <w:tc>
                <w:tcPr>
                  <w:tcW w:w="1192" w:type="pct"/>
                  <w:tcBorders>
                    <w:tl2br w:val="nil"/>
                    <w:tr2bl w:val="nil"/>
                  </w:tcBorders>
                  <w:vAlign w:val="center"/>
                </w:tcPr>
                <w:p w14:paraId="52BE30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项目产生的医疗废物经医废</w:t>
                  </w:r>
                  <w:r>
                    <w:rPr>
                      <w:rFonts w:hint="eastAsia" w:cs="Times New Roman"/>
                      <w:b w:val="0"/>
                      <w:bCs w:val="0"/>
                      <w:kern w:val="0"/>
                      <w:sz w:val="21"/>
                      <w:szCs w:val="21"/>
                      <w:vertAlign w:val="baseline"/>
                      <w:lang w:val="en-US" w:eastAsia="zh-CN"/>
                    </w:rPr>
                    <w:t>点</w:t>
                  </w:r>
                  <w:r>
                    <w:rPr>
                      <w:rFonts w:hint="default" w:ascii="Times New Roman" w:hAnsi="Times New Roman" w:eastAsia="宋体" w:cs="Times New Roman"/>
                      <w:b w:val="0"/>
                      <w:bCs w:val="0"/>
                      <w:kern w:val="0"/>
                      <w:sz w:val="21"/>
                      <w:szCs w:val="21"/>
                      <w:vertAlign w:val="baseline"/>
                      <w:lang w:val="en-US" w:eastAsia="zh-CN"/>
                    </w:rPr>
                    <w:t>暂存后，定期交资质单位进行处置。</w:t>
                  </w:r>
                </w:p>
              </w:tc>
              <w:tc>
                <w:tcPr>
                  <w:tcW w:w="826" w:type="pct"/>
                  <w:tcBorders>
                    <w:tl2br w:val="nil"/>
                    <w:tr2bl w:val="nil"/>
                  </w:tcBorders>
                  <w:vAlign w:val="center"/>
                </w:tcPr>
                <w:p w14:paraId="441931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22469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430ED0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二、各动物诊疗机构应提高对医疗废物管理工作重要性的认识，建立管理责任制，加强对医疗废物的管理切实履行环境保护主体责任。使用后的针头、一次性输液器、输液管等医疗废物应专门收集，不得混入生活垃圾。各动物诊疗机构应规范医疗废物收集、贮存及移交等工作，建立医疗废物的贮存设施、设备，不得露天存放医疗废物</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医疗废物应交由医疗废物处置单位进行集中处置，并做好有关交接、登记和统计等工作，转移医疗废物应执行危险废物转移联单制度保证医疗废物的可追溯性。</w:t>
                  </w:r>
                </w:p>
              </w:tc>
              <w:tc>
                <w:tcPr>
                  <w:tcW w:w="1192" w:type="pct"/>
                  <w:tcBorders>
                    <w:tl2br w:val="nil"/>
                    <w:tr2bl w:val="nil"/>
                  </w:tcBorders>
                  <w:vAlign w:val="center"/>
                </w:tcPr>
                <w:p w14:paraId="142C5C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项目已设置医废</w:t>
                  </w:r>
                  <w:r>
                    <w:rPr>
                      <w:rFonts w:hint="eastAsia" w:cs="Times New Roman"/>
                      <w:b w:val="0"/>
                      <w:bCs w:val="0"/>
                      <w:kern w:val="0"/>
                      <w:sz w:val="21"/>
                      <w:szCs w:val="21"/>
                      <w:vertAlign w:val="baseline"/>
                      <w:lang w:val="en-US" w:eastAsia="zh-CN"/>
                    </w:rPr>
                    <w:t>点</w:t>
                  </w:r>
                  <w:r>
                    <w:rPr>
                      <w:rFonts w:hint="default" w:ascii="Times New Roman" w:hAnsi="Times New Roman" w:eastAsia="宋体" w:cs="Times New Roman"/>
                      <w:b w:val="0"/>
                      <w:bCs w:val="0"/>
                      <w:kern w:val="0"/>
                      <w:sz w:val="21"/>
                      <w:szCs w:val="21"/>
                      <w:vertAlign w:val="baseline"/>
                      <w:lang w:val="en-US" w:eastAsia="zh-CN"/>
                    </w:rPr>
                    <w:t>，对产生的医疗废物进行暂存，已与医疗废物资质单位签订协议，定期交资质单位处置。</w:t>
                  </w:r>
                </w:p>
              </w:tc>
              <w:tc>
                <w:tcPr>
                  <w:tcW w:w="826" w:type="pct"/>
                  <w:tcBorders>
                    <w:tl2br w:val="nil"/>
                    <w:tr2bl w:val="nil"/>
                  </w:tcBorders>
                  <w:vAlign w:val="center"/>
                </w:tcPr>
                <w:p w14:paraId="44EFAC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r w14:paraId="301BE7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81" w:type="pct"/>
                  <w:tcBorders>
                    <w:tl2br w:val="nil"/>
                    <w:tr2bl w:val="nil"/>
                  </w:tcBorders>
                  <w:vAlign w:val="center"/>
                </w:tcPr>
                <w:p w14:paraId="638038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三、各医疗废物处置单位应严格按照医疗废物处置的有关技术规范开展对动物诊疗机构医疗废物收集、运输、贮存及处置的工作，其中动物诊疗机构医疗废物和医疗卫生机构医疗废物应分类收运、贮存及处置</w:t>
                  </w:r>
                  <w:r>
                    <w:rPr>
                      <w:rFonts w:hint="eastAsia" w:ascii="Times New Roman" w:hAnsi="Times New Roman" w:eastAsia="宋体" w:cs="Times New Roman"/>
                      <w:b w:val="0"/>
                      <w:bCs w:val="0"/>
                      <w:kern w:val="0"/>
                      <w:sz w:val="21"/>
                      <w:szCs w:val="21"/>
                      <w:vertAlign w:val="baseline"/>
                      <w:lang w:val="en-US" w:eastAsia="zh-CN"/>
                    </w:rPr>
                    <w:t>；情况，并定期向生态环境部门报告。</w:t>
                  </w:r>
                  <w:r>
                    <w:rPr>
                      <w:rFonts w:hint="default" w:ascii="Times New Roman" w:hAnsi="Times New Roman" w:eastAsia="宋体" w:cs="Times New Roman"/>
                      <w:b w:val="0"/>
                      <w:bCs w:val="0"/>
                      <w:kern w:val="0"/>
                      <w:sz w:val="21"/>
                      <w:szCs w:val="21"/>
                      <w:vertAlign w:val="baseline"/>
                      <w:lang w:val="en-US" w:eastAsia="zh-CN"/>
                    </w:rPr>
                    <w:t>处置单位要加强对动物诊疗机构医疗废物处置过程的管控，制定并严格执行操作规程，做好处置人员的培训和职业卫生防护;建立危险废物经营情况记录簿，如实记录动物诊疗机构医疗废物的转移、贮存及处置</w:t>
                  </w:r>
                </w:p>
              </w:tc>
              <w:tc>
                <w:tcPr>
                  <w:tcW w:w="1192" w:type="pct"/>
                  <w:tcBorders>
                    <w:tl2br w:val="nil"/>
                    <w:tr2bl w:val="nil"/>
                  </w:tcBorders>
                  <w:vAlign w:val="center"/>
                </w:tcPr>
                <w:p w14:paraId="39208B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default" w:ascii="Times New Roman" w:hAnsi="Times New Roman" w:eastAsia="宋体" w:cs="Times New Roman"/>
                      <w:b w:val="0"/>
                      <w:bCs w:val="0"/>
                      <w:kern w:val="0"/>
                      <w:sz w:val="21"/>
                      <w:szCs w:val="21"/>
                      <w:vertAlign w:val="baseline"/>
                      <w:lang w:val="en-US" w:eastAsia="zh-CN"/>
                    </w:rPr>
                    <w:t>企业建立了管理责任制，使用后的针头、一次性输液器、输液管等医疗废物分类收集于医疗废物收集桶，并分类别置于医废</w:t>
                  </w:r>
                  <w:r>
                    <w:rPr>
                      <w:rFonts w:hint="eastAsia" w:cs="Times New Roman"/>
                      <w:b w:val="0"/>
                      <w:bCs w:val="0"/>
                      <w:kern w:val="0"/>
                      <w:sz w:val="21"/>
                      <w:szCs w:val="21"/>
                      <w:vertAlign w:val="baseline"/>
                      <w:lang w:val="en-US" w:eastAsia="zh-CN"/>
                    </w:rPr>
                    <w:t>点</w:t>
                  </w:r>
                  <w:r>
                    <w:rPr>
                      <w:rFonts w:hint="eastAsia" w:ascii="Times New Roman" w:hAnsi="Times New Roman" w:eastAsia="宋体" w:cs="Times New Roman"/>
                      <w:b w:val="0"/>
                      <w:bCs w:val="0"/>
                      <w:kern w:val="0"/>
                      <w:sz w:val="21"/>
                      <w:szCs w:val="21"/>
                      <w:vertAlign w:val="baseline"/>
                      <w:lang w:val="en-US" w:eastAsia="zh-CN"/>
                    </w:rPr>
                    <w:t>；</w:t>
                  </w:r>
                  <w:r>
                    <w:rPr>
                      <w:rFonts w:hint="default" w:ascii="Times New Roman" w:hAnsi="Times New Roman" w:eastAsia="宋体" w:cs="Times New Roman"/>
                      <w:b w:val="0"/>
                      <w:bCs w:val="0"/>
                      <w:kern w:val="0"/>
                      <w:sz w:val="21"/>
                      <w:szCs w:val="21"/>
                      <w:vertAlign w:val="baseline"/>
                      <w:lang w:val="en-US" w:eastAsia="zh-CN"/>
                    </w:rPr>
                    <w:t>产生的医疗废物交有资质单位处置，并按照危险废物转移管理办法执行。</w:t>
                  </w:r>
                </w:p>
              </w:tc>
              <w:tc>
                <w:tcPr>
                  <w:tcW w:w="826" w:type="pct"/>
                  <w:tcBorders>
                    <w:tl2br w:val="nil"/>
                    <w:tr2bl w:val="nil"/>
                  </w:tcBorders>
                  <w:vAlign w:val="center"/>
                </w:tcPr>
                <w:p w14:paraId="2463A7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符合</w:t>
                  </w:r>
                </w:p>
              </w:tc>
            </w:tr>
          </w:tbl>
          <w:p w14:paraId="71E616E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b w:val="0"/>
                <w:bCs w:val="0"/>
                <w:kern w:val="0"/>
                <w:sz w:val="24"/>
                <w:szCs w:val="24"/>
                <w:lang w:val="en-US" w:eastAsia="zh-CN"/>
              </w:rPr>
              <w:t>综上所述</w:t>
            </w:r>
            <w:r>
              <w:rPr>
                <w:rFonts w:hint="eastAsia" w:ascii="Times New Roman" w:hAnsi="Times New Roman" w:eastAsia="宋体"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eastAsia="zh-CN"/>
              </w:rPr>
              <w:t>项目的建设符合《重庆市生态环境局重庆市农业农村委员会关于规范动物诊疗机构医疗废物集中无害化处置的通知》的相关要求。</w:t>
            </w:r>
          </w:p>
          <w:p w14:paraId="145336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default" w:ascii="Times New Roman" w:hAnsi="Times New Roman" w:eastAsia="宋体" w:cs="Times New Roman"/>
                <w:b/>
                <w:bCs/>
                <w:sz w:val="24"/>
                <w:szCs w:val="24"/>
                <w:vertAlign w:val="baseline"/>
                <w:lang w:val="en-US" w:eastAsia="zh-CN"/>
              </w:rPr>
            </w:pPr>
            <w:r>
              <w:rPr>
                <w:rFonts w:hint="default" w:ascii="Times New Roman" w:hAnsi="Times New Roman" w:eastAsia="宋体" w:cs="Times New Roman"/>
                <w:b/>
                <w:bCs/>
                <w:sz w:val="24"/>
                <w:szCs w:val="24"/>
                <w:vertAlign w:val="baseline"/>
                <w:lang w:val="en-US" w:eastAsia="zh-CN"/>
              </w:rPr>
              <w:t>3.</w:t>
            </w:r>
            <w:r>
              <w:rPr>
                <w:rFonts w:hint="eastAsia" w:cs="Times New Roman"/>
                <w:b/>
                <w:bCs/>
                <w:sz w:val="24"/>
                <w:szCs w:val="24"/>
                <w:vertAlign w:val="baseline"/>
                <w:lang w:val="en-US" w:eastAsia="zh-CN"/>
              </w:rPr>
              <w:t>6</w:t>
            </w:r>
            <w:r>
              <w:rPr>
                <w:rFonts w:hint="default" w:ascii="Times New Roman" w:hAnsi="Times New Roman" w:eastAsia="宋体" w:cs="Times New Roman"/>
                <w:b/>
                <w:bCs/>
                <w:sz w:val="24"/>
                <w:szCs w:val="24"/>
                <w:vertAlign w:val="baseline"/>
                <w:lang w:val="en-US" w:eastAsia="zh-CN"/>
              </w:rPr>
              <w:t xml:space="preserve"> 与《重庆市动物防疫条例》</w:t>
            </w:r>
            <w:r>
              <w:rPr>
                <w:rFonts w:hint="eastAsia"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baseline"/>
                <w:lang w:val="en-US" w:eastAsia="zh-CN"/>
              </w:rPr>
              <w:t>2023年9月27日修订</w:t>
            </w:r>
            <w:r>
              <w:rPr>
                <w:rFonts w:hint="eastAsia" w:ascii="Times New Roman" w:hAnsi="Times New Roman" w:eastAsia="宋体" w:cs="Times New Roman"/>
                <w:b/>
                <w:bCs/>
                <w:sz w:val="24"/>
                <w:szCs w:val="24"/>
                <w:vertAlign w:val="baseline"/>
                <w:lang w:val="en-US" w:eastAsia="zh-CN"/>
              </w:rPr>
              <w:t>）</w:t>
            </w:r>
            <w:r>
              <w:rPr>
                <w:rFonts w:hint="default" w:ascii="Times New Roman" w:hAnsi="Times New Roman" w:eastAsia="宋体" w:cs="Times New Roman"/>
                <w:b/>
                <w:bCs/>
                <w:sz w:val="24"/>
                <w:szCs w:val="24"/>
                <w:vertAlign w:val="baseline"/>
                <w:lang w:val="en-US" w:eastAsia="zh-CN"/>
              </w:rPr>
              <w:t>符合性分析</w:t>
            </w:r>
          </w:p>
          <w:p w14:paraId="4FA487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vertAlign w:val="baseline"/>
              </w:rPr>
            </w:pPr>
            <w:r>
              <w:rPr>
                <w:rFonts w:hint="default" w:ascii="Times New Roman" w:hAnsi="Times New Roman" w:eastAsia="宋体" w:cs="Times New Roman"/>
                <w:b w:val="0"/>
                <w:bCs w:val="0"/>
                <w:sz w:val="24"/>
                <w:szCs w:val="24"/>
                <w:vertAlign w:val="baseline"/>
              </w:rPr>
              <w:t>项目与</w:t>
            </w:r>
            <w:r>
              <w:rPr>
                <w:rFonts w:hint="default" w:ascii="Times New Roman" w:hAnsi="Times New Roman" w:eastAsia="宋体" w:cs="Times New Roman"/>
                <w:b w:val="0"/>
                <w:bCs w:val="0"/>
                <w:sz w:val="24"/>
                <w:szCs w:val="24"/>
                <w:vertAlign w:val="baseline"/>
                <w:lang w:val="en-US" w:eastAsia="zh-CN"/>
              </w:rPr>
              <w:t>《重庆市动物防疫条例》</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lang w:val="en-US" w:eastAsia="zh-CN"/>
              </w:rPr>
              <w:t>2023年9月27日修订</w:t>
            </w:r>
            <w:r>
              <w:rPr>
                <w:rFonts w:hint="eastAsia" w:ascii="Times New Roman" w:hAnsi="Times New Roman" w:eastAsia="宋体" w:cs="Times New Roman"/>
                <w:b w:val="0"/>
                <w:bCs w:val="0"/>
                <w:sz w:val="24"/>
                <w:szCs w:val="24"/>
                <w:vertAlign w:val="baseline"/>
                <w:lang w:val="en-US" w:eastAsia="zh-CN"/>
              </w:rPr>
              <w:t>）</w:t>
            </w:r>
            <w:r>
              <w:rPr>
                <w:rFonts w:hint="default" w:ascii="Times New Roman" w:hAnsi="Times New Roman" w:eastAsia="宋体" w:cs="Times New Roman"/>
                <w:b w:val="0"/>
                <w:bCs w:val="0"/>
                <w:sz w:val="24"/>
                <w:szCs w:val="24"/>
                <w:vertAlign w:val="baseline"/>
              </w:rPr>
              <w:t>的符合性分析详见下表。</w:t>
            </w:r>
          </w:p>
          <w:p w14:paraId="4762E6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0" w:firstLineChars="0"/>
              <w:jc w:val="center"/>
              <w:textAlignment w:val="auto"/>
              <w:outlineLvl w:val="0"/>
              <w:rPr>
                <w:rFonts w:hint="default" w:ascii="Times New Roman" w:hAnsi="Times New Roman" w:eastAsia="宋体" w:cs="Times New Roman"/>
                <w:b w:val="0"/>
                <w:bCs w:val="0"/>
                <w:sz w:val="24"/>
                <w:szCs w:val="24"/>
                <w:vertAlign w:val="baseline"/>
              </w:rPr>
            </w:pPr>
            <w:r>
              <w:rPr>
                <w:rFonts w:hint="default" w:ascii="Times New Roman" w:hAnsi="Times New Roman" w:eastAsia="宋体" w:cs="Times New Roman"/>
                <w:b w:val="0"/>
                <w:bCs w:val="0"/>
                <w:sz w:val="24"/>
                <w:szCs w:val="24"/>
                <w:vertAlign w:val="baseline"/>
              </w:rPr>
              <w:t>表1-7与《重庆市动物防疫条例》符合性分析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49"/>
              <w:gridCol w:w="1980"/>
              <w:gridCol w:w="1380"/>
            </w:tblGrid>
            <w:tr w14:paraId="74A86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68AC37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《重庆市动物防疫条例》相关规定要求</w:t>
                  </w:r>
                </w:p>
              </w:tc>
              <w:tc>
                <w:tcPr>
                  <w:tcW w:w="1191" w:type="pct"/>
                  <w:tcBorders>
                    <w:tl2br w:val="nil"/>
                    <w:tr2bl w:val="nil"/>
                  </w:tcBorders>
                  <w:vAlign w:val="center"/>
                </w:tcPr>
                <w:p w14:paraId="1E4972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项目情况</w:t>
                  </w:r>
                </w:p>
              </w:tc>
              <w:tc>
                <w:tcPr>
                  <w:tcW w:w="830" w:type="pct"/>
                  <w:tcBorders>
                    <w:tl2br w:val="nil"/>
                    <w:tr2bl w:val="nil"/>
                  </w:tcBorders>
                  <w:vAlign w:val="center"/>
                </w:tcPr>
                <w:p w14:paraId="194D92D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符合性</w:t>
                  </w:r>
                </w:p>
              </w:tc>
            </w:tr>
            <w:tr w14:paraId="46570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6EB8501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0"/>
                    <w:rPr>
                      <w:rFonts w:hint="default" w:ascii="Times New Roman" w:hAnsi="Times New Roman" w:eastAsia="宋体" w:cs="Times New Roman"/>
                      <w:b w:val="0"/>
                      <w:bCs w:val="0"/>
                      <w:sz w:val="21"/>
                      <w:szCs w:val="21"/>
                      <w:vertAlign w:val="baseline"/>
                    </w:rPr>
                  </w:pPr>
                  <w:r>
                    <w:rPr>
                      <w:rFonts w:hint="default" w:ascii="Times New Roman" w:hAnsi="Times New Roman" w:eastAsia="宋体" w:cs="Times New Roman"/>
                      <w:b w:val="0"/>
                      <w:bCs w:val="0"/>
                      <w:sz w:val="21"/>
                      <w:szCs w:val="21"/>
                      <w:vertAlign w:val="baseline"/>
                    </w:rPr>
                    <w:t>第六条从事动物饲养、屠宰、经营、隔离、运输、诊疗以及动物产品生产、经营、加工贮藏等活动的单位和个人，应当依法做好免疫、消毒、检测、隔离、净化、消灭、无害化处理等动物防疫工作，承担动物防疫相关</w:t>
                  </w:r>
                  <w:r>
                    <w:rPr>
                      <w:rFonts w:hint="eastAsia" w:cs="Times New Roman"/>
                      <w:b w:val="0"/>
                      <w:bCs w:val="0"/>
                      <w:sz w:val="21"/>
                      <w:szCs w:val="21"/>
                      <w:vertAlign w:val="baseline"/>
                      <w:lang w:eastAsia="zh-CN"/>
                    </w:rPr>
                    <w:t>责任</w:t>
                  </w:r>
                  <w:r>
                    <w:rPr>
                      <w:rFonts w:hint="default" w:ascii="Times New Roman" w:hAnsi="Times New Roman" w:eastAsia="宋体" w:cs="Times New Roman"/>
                      <w:b w:val="0"/>
                      <w:bCs w:val="0"/>
                      <w:sz w:val="21"/>
                      <w:szCs w:val="21"/>
                      <w:vertAlign w:val="baseline"/>
                    </w:rPr>
                    <w:t>。</w:t>
                  </w:r>
                </w:p>
              </w:tc>
              <w:tc>
                <w:tcPr>
                  <w:tcW w:w="1191" w:type="pct"/>
                  <w:tcBorders>
                    <w:tl2br w:val="nil"/>
                    <w:tr2bl w:val="nil"/>
                  </w:tcBorders>
                  <w:vAlign w:val="center"/>
                </w:tcPr>
                <w:p w14:paraId="3862CF2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项目为动物医院，设置了隔离病房，并做好免疫、消毒等动物防疫工作，项目</w:t>
                  </w:r>
                  <w:r>
                    <w:rPr>
                      <w:rFonts w:hint="eastAsia" w:cs="Times New Roman"/>
                      <w:b w:val="0"/>
                      <w:bCs w:val="0"/>
                      <w:sz w:val="21"/>
                      <w:szCs w:val="21"/>
                      <w:highlight w:val="none"/>
                      <w:vertAlign w:val="baseline"/>
                      <w:lang w:eastAsia="zh-CN"/>
                    </w:rPr>
                    <w:t>动物尸体交</w:t>
                  </w:r>
                  <w:r>
                    <w:rPr>
                      <w:rFonts w:hint="default" w:ascii="Times New Roman" w:hAnsi="Times New Roman" w:eastAsia="宋体" w:cs="Times New Roman"/>
                      <w:b w:val="0"/>
                      <w:bCs w:val="0"/>
                      <w:sz w:val="21"/>
                      <w:szCs w:val="21"/>
                      <w:highlight w:val="none"/>
                      <w:vertAlign w:val="baseline"/>
                    </w:rPr>
                    <w:t>由</w:t>
                  </w:r>
                  <w:r>
                    <w:rPr>
                      <w:rFonts w:hint="eastAsia" w:cs="Times New Roman"/>
                      <w:b w:val="0"/>
                      <w:bCs w:val="0"/>
                      <w:sz w:val="21"/>
                      <w:szCs w:val="21"/>
                      <w:highlight w:val="none"/>
                      <w:vertAlign w:val="baseline"/>
                      <w:lang w:eastAsia="zh-CN"/>
                    </w:rPr>
                    <w:t>重庆市正羽环保科技有限公司</w:t>
                  </w:r>
                  <w:r>
                    <w:rPr>
                      <w:rFonts w:hint="default" w:ascii="Times New Roman" w:hAnsi="Times New Roman" w:eastAsia="宋体" w:cs="Times New Roman"/>
                      <w:b w:val="0"/>
                      <w:bCs w:val="0"/>
                      <w:sz w:val="21"/>
                      <w:szCs w:val="21"/>
                      <w:highlight w:val="none"/>
                      <w:vertAlign w:val="baseline"/>
                    </w:rPr>
                    <w:t>进行无害化处置</w:t>
                  </w:r>
                </w:p>
              </w:tc>
              <w:tc>
                <w:tcPr>
                  <w:tcW w:w="830" w:type="pct"/>
                  <w:tcBorders>
                    <w:tl2br w:val="nil"/>
                    <w:tr2bl w:val="nil"/>
                  </w:tcBorders>
                  <w:vAlign w:val="center"/>
                </w:tcPr>
                <w:p w14:paraId="464F22A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符合</w:t>
                  </w:r>
                </w:p>
              </w:tc>
            </w:tr>
            <w:tr w14:paraId="03D5E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8" w:type="pct"/>
                  <w:tcBorders>
                    <w:tl2br w:val="nil"/>
                    <w:tr2bl w:val="nil"/>
                  </w:tcBorders>
                  <w:vAlign w:val="center"/>
                </w:tcPr>
                <w:p w14:paraId="56EC904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0"/>
                    <w:rPr>
                      <w:rFonts w:hint="eastAsia"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rPr>
                    <w:t>第二十二条从事动物饲养、屠宰、经营、隔离以及动物产品生产、经营加工、贮藏等活动的单位和个人，应当按照国家有关规定做好病死动物和病害动物产品的无害化处理，或者委托动物和动物产品集中无害化处理场所处理。</w:t>
                  </w:r>
                  <w:r>
                    <w:rPr>
                      <w:rFonts w:hint="eastAsia" w:ascii="Times New Roman" w:hAnsi="Times New Roman" w:eastAsia="宋体" w:cs="Times New Roman"/>
                      <w:b w:val="0"/>
                      <w:bCs w:val="0"/>
                      <w:sz w:val="21"/>
                      <w:szCs w:val="21"/>
                      <w:vertAlign w:val="baseline"/>
                      <w:lang w:val="en-US" w:eastAsia="zh-CN"/>
                    </w:rPr>
                    <w:t>从事</w:t>
                  </w:r>
                  <w:r>
                    <w:rPr>
                      <w:rFonts w:hint="default" w:ascii="Times New Roman" w:hAnsi="Times New Roman" w:eastAsia="宋体" w:cs="Times New Roman"/>
                      <w:b w:val="0"/>
                      <w:bCs w:val="0"/>
                      <w:sz w:val="21"/>
                      <w:szCs w:val="21"/>
                      <w:vertAlign w:val="baseline"/>
                    </w:rPr>
                    <w:t>动物、动物产品运输的单位和个人，应当配合做好病死动物和病害动物产品的无害化处理，不得擅自弃置和处理有关动物和动物产品。任何单位和个人不得买卖、加工、随意弃置病死动物和病害动物产品</w:t>
                  </w:r>
                  <w:r>
                    <w:rPr>
                      <w:rFonts w:hint="eastAsia" w:ascii="Times New Roman" w:hAnsi="Times New Roman" w:eastAsia="宋体" w:cs="Times New Roman"/>
                      <w:b w:val="0"/>
                      <w:bCs w:val="0"/>
                      <w:sz w:val="21"/>
                      <w:szCs w:val="21"/>
                      <w:vertAlign w:val="baseline"/>
                      <w:lang w:eastAsia="zh-CN"/>
                    </w:rPr>
                    <w:t>。</w:t>
                  </w:r>
                </w:p>
              </w:tc>
              <w:tc>
                <w:tcPr>
                  <w:tcW w:w="1191" w:type="pct"/>
                  <w:tcBorders>
                    <w:tl2br w:val="nil"/>
                    <w:tr2bl w:val="nil"/>
                  </w:tcBorders>
                  <w:vAlign w:val="center"/>
                </w:tcPr>
                <w:p w14:paraId="3C45AB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sz w:val="21"/>
                      <w:szCs w:val="21"/>
                      <w:highlight w:val="none"/>
                      <w:vertAlign w:val="baseline"/>
                    </w:rPr>
                  </w:pPr>
                  <w:r>
                    <w:rPr>
                      <w:rFonts w:hint="default" w:ascii="Times New Roman" w:hAnsi="Times New Roman" w:eastAsia="宋体" w:cs="Times New Roman"/>
                      <w:b w:val="0"/>
                      <w:bCs w:val="0"/>
                      <w:sz w:val="21"/>
                      <w:szCs w:val="21"/>
                      <w:highlight w:val="none"/>
                      <w:vertAlign w:val="baseline"/>
                    </w:rPr>
                    <w:t>项目为动物医院，</w:t>
                  </w:r>
                  <w:r>
                    <w:rPr>
                      <w:rFonts w:hint="eastAsia" w:cs="Times New Roman"/>
                      <w:b w:val="0"/>
                      <w:bCs w:val="0"/>
                      <w:sz w:val="21"/>
                      <w:szCs w:val="21"/>
                      <w:highlight w:val="none"/>
                      <w:vertAlign w:val="baseline"/>
                      <w:lang w:eastAsia="zh-CN"/>
                    </w:rPr>
                    <w:t>设</w:t>
                  </w:r>
                  <w:r>
                    <w:rPr>
                      <w:rFonts w:hint="default" w:ascii="Times New Roman" w:hAnsi="Times New Roman" w:eastAsia="宋体" w:cs="Times New Roman"/>
                      <w:b w:val="0"/>
                      <w:bCs w:val="0"/>
                      <w:sz w:val="21"/>
                      <w:szCs w:val="21"/>
                      <w:highlight w:val="none"/>
                      <w:vertAlign w:val="baseline"/>
                    </w:rPr>
                    <w:t>了隔离病房，病死动物及病害动物交动物尸体交由</w:t>
                  </w:r>
                  <w:r>
                    <w:rPr>
                      <w:rFonts w:hint="eastAsia" w:cs="Times New Roman"/>
                      <w:b w:val="0"/>
                      <w:bCs w:val="0"/>
                      <w:sz w:val="21"/>
                      <w:szCs w:val="21"/>
                      <w:highlight w:val="none"/>
                      <w:vertAlign w:val="baseline"/>
                      <w:lang w:eastAsia="zh-CN"/>
                    </w:rPr>
                    <w:t>重庆市正羽环保科技有限公司</w:t>
                  </w:r>
                  <w:r>
                    <w:rPr>
                      <w:rFonts w:hint="default" w:ascii="Times New Roman" w:hAnsi="Times New Roman" w:eastAsia="宋体" w:cs="Times New Roman"/>
                      <w:b w:val="0"/>
                      <w:bCs w:val="0"/>
                      <w:sz w:val="21"/>
                      <w:szCs w:val="21"/>
                      <w:highlight w:val="none"/>
                      <w:vertAlign w:val="baseline"/>
                    </w:rPr>
                    <w:t>进行无害化处置</w:t>
                  </w:r>
                </w:p>
              </w:tc>
              <w:tc>
                <w:tcPr>
                  <w:tcW w:w="830" w:type="pct"/>
                  <w:tcBorders>
                    <w:tl2br w:val="nil"/>
                    <w:tr2bl w:val="nil"/>
                  </w:tcBorders>
                  <w:vAlign w:val="center"/>
                </w:tcPr>
                <w:p w14:paraId="54CC60B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val="0"/>
                      <w:bCs w:val="0"/>
                      <w:sz w:val="21"/>
                      <w:szCs w:val="21"/>
                      <w:vertAlign w:val="baseline"/>
                    </w:rPr>
                  </w:pPr>
                  <w:r>
                    <w:rPr>
                      <w:rFonts w:hint="eastAsia" w:ascii="Times New Roman" w:hAnsi="Times New Roman" w:eastAsia="宋体" w:cs="Times New Roman"/>
                      <w:b w:val="0"/>
                      <w:bCs w:val="0"/>
                      <w:sz w:val="21"/>
                      <w:szCs w:val="21"/>
                      <w:vertAlign w:val="baseline"/>
                      <w:lang w:val="en-US" w:eastAsia="zh-CN"/>
                    </w:rPr>
                    <w:t>符合</w:t>
                  </w:r>
                </w:p>
              </w:tc>
            </w:tr>
          </w:tbl>
          <w:p w14:paraId="038F89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outlineLvl w:val="0"/>
              <w:rPr>
                <w:rFonts w:hint="eastAsia" w:ascii="Times New Roman" w:hAnsi="Times New Roman" w:eastAsia="宋体" w:cs="Times New Roman"/>
                <w:b/>
                <w:bCs/>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3.8 选址合理性</w:t>
            </w:r>
          </w:p>
          <w:p w14:paraId="297D07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项目位于</w:t>
            </w:r>
            <w:r>
              <w:rPr>
                <w:rFonts w:hint="eastAsia" w:cs="Times New Roman"/>
                <w:color w:val="000000" w:themeColor="text1"/>
                <w:sz w:val="24"/>
                <w:szCs w:val="24"/>
                <w:lang w:val="en-US" w:eastAsia="zh-CN"/>
                <w14:textFill>
                  <w14:solidFill>
                    <w14:schemeClr w14:val="tx1"/>
                  </w14:solidFill>
                </w14:textFill>
              </w:rPr>
              <w:t>重庆市璧山区璧泉街道东林大道67号4幢附37号</w:t>
            </w:r>
            <w:r>
              <w:rPr>
                <w:rFonts w:hint="eastAsia" w:ascii="Times New Roman" w:hAnsi="Times New Roman" w:eastAsia="宋体" w:cs="Times New Roman"/>
                <w:b w:val="0"/>
                <w:bCs w:val="0"/>
                <w:sz w:val="24"/>
                <w:szCs w:val="24"/>
                <w:vertAlign w:val="baseline"/>
                <w:lang w:val="en-US" w:eastAsia="zh-CN"/>
              </w:rPr>
              <w:t>，</w:t>
            </w:r>
            <w:r>
              <w:rPr>
                <w:rFonts w:hint="eastAsia" w:cs="Times New Roman"/>
                <w:b w:val="0"/>
                <w:bCs w:val="0"/>
                <w:sz w:val="24"/>
                <w:szCs w:val="24"/>
                <w:vertAlign w:val="baseline"/>
                <w:lang w:val="en-US" w:eastAsia="zh-CN"/>
              </w:rPr>
              <w:t>位于恒大绿岛新城B区四栋商业裙楼，包括一楼和二楼</w:t>
            </w:r>
            <w:r>
              <w:rPr>
                <w:rFonts w:hint="default" w:ascii="Times New Roman" w:hAnsi="Times New Roman" w:eastAsia="宋体" w:cs="Times New Roman"/>
                <w:b w:val="0"/>
                <w:bCs w:val="0"/>
                <w:sz w:val="24"/>
                <w:szCs w:val="24"/>
                <w:vertAlign w:val="baseline"/>
                <w:lang w:val="en-US" w:eastAsia="zh-CN"/>
              </w:rPr>
              <w:t>，相邻均为商业用房</w:t>
            </w:r>
            <w:r>
              <w:rPr>
                <w:rFonts w:hint="eastAsia" w:ascii="Times New Roman" w:hAnsi="Times New Roman" w:cs="Times New Roman"/>
                <w:b w:val="0"/>
                <w:bCs w:val="0"/>
                <w:sz w:val="24"/>
                <w:szCs w:val="24"/>
                <w:vertAlign w:val="baseline"/>
                <w:lang w:val="en-US" w:eastAsia="zh-CN"/>
              </w:rPr>
              <w:t>。</w:t>
            </w:r>
          </w:p>
          <w:p w14:paraId="35AD98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highlight w:val="none"/>
                <w:vertAlign w:val="baseline"/>
                <w:lang w:val="en-US" w:eastAsia="zh-CN"/>
              </w:rPr>
            </w:pPr>
            <w:r>
              <w:rPr>
                <w:rFonts w:hint="eastAsia" w:cs="Times New Roman"/>
                <w:color w:val="000000" w:themeColor="text1"/>
                <w:sz w:val="24"/>
                <w:szCs w:val="24"/>
                <w:highlight w:val="none"/>
                <w:lang w:val="en-US" w:eastAsia="zh-CN"/>
                <w14:textFill>
                  <w14:solidFill>
                    <w14:schemeClr w14:val="tx1"/>
                  </w14:solidFill>
                </w14:textFill>
              </w:rPr>
              <w:t>恒大绿岛新城B区</w:t>
            </w:r>
            <w:r>
              <w:rPr>
                <w:rFonts w:hint="default" w:ascii="Times New Roman" w:hAnsi="Times New Roman" w:eastAsia="宋体" w:cs="Times New Roman"/>
                <w:b w:val="0"/>
                <w:bCs w:val="0"/>
                <w:sz w:val="24"/>
                <w:szCs w:val="24"/>
                <w:highlight w:val="none"/>
                <w:vertAlign w:val="baseline"/>
                <w:lang w:val="en-US" w:eastAsia="zh-CN"/>
              </w:rPr>
              <w:t>已建设有生化池，主要收纳商业门面废水，项目所在区域敷设有完善的雨污管网，该污水管网接入</w:t>
            </w:r>
            <w:r>
              <w:rPr>
                <w:rFonts w:hint="eastAsia" w:cs="Times New Roman"/>
                <w:b w:val="0"/>
                <w:bCs w:val="0"/>
                <w:sz w:val="24"/>
                <w:szCs w:val="24"/>
                <w:highlight w:val="none"/>
                <w:vertAlign w:val="baseline"/>
                <w:lang w:val="en-US" w:eastAsia="zh-CN"/>
              </w:rPr>
              <w:t>观音塘污水处理厂</w:t>
            </w:r>
            <w:r>
              <w:rPr>
                <w:rFonts w:hint="default" w:ascii="Times New Roman" w:hAnsi="Times New Roman" w:eastAsia="宋体" w:cs="Times New Roman"/>
                <w:b w:val="0"/>
                <w:bCs w:val="0"/>
                <w:sz w:val="24"/>
                <w:szCs w:val="24"/>
                <w:highlight w:val="none"/>
                <w:vertAlign w:val="baseline"/>
                <w:lang w:val="en-US" w:eastAsia="zh-CN"/>
              </w:rPr>
              <w:t>，项目废水能得到有效处理。项目紧邻</w:t>
            </w:r>
            <w:r>
              <w:rPr>
                <w:rFonts w:hint="eastAsia" w:cs="Times New Roman"/>
                <w:b w:val="0"/>
                <w:bCs w:val="0"/>
                <w:sz w:val="24"/>
                <w:szCs w:val="24"/>
                <w:highlight w:val="none"/>
                <w:vertAlign w:val="baseline"/>
                <w:lang w:val="en-US" w:eastAsia="zh-CN"/>
              </w:rPr>
              <w:t>凝山路和莱山路</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地理位置优越，交通便捷。项目所在区域城市建设成熟，供电、供水等设施完善，可以满足项目生产运营需要。因此，项目所在区域市政设施完善，有利于项目建设。</w:t>
            </w:r>
          </w:p>
          <w:p w14:paraId="4086F9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根据环境质量现状评价，项目所在区域</w:t>
            </w:r>
            <w:r>
              <w:rPr>
                <w:rFonts w:hint="eastAsia" w:cs="Times New Roman"/>
                <w:b w:val="0"/>
                <w:bCs w:val="0"/>
                <w:sz w:val="24"/>
                <w:szCs w:val="24"/>
                <w:highlight w:val="none"/>
                <w:vertAlign w:val="baseline"/>
                <w:lang w:val="en-US" w:eastAsia="zh-CN"/>
              </w:rPr>
              <w:t>璧山</w:t>
            </w:r>
            <w:r>
              <w:rPr>
                <w:rFonts w:hint="default" w:ascii="Times New Roman" w:hAnsi="Times New Roman" w:eastAsia="宋体" w:cs="Times New Roman"/>
                <w:b w:val="0"/>
                <w:bCs w:val="0"/>
                <w:sz w:val="24"/>
                <w:szCs w:val="24"/>
                <w:highlight w:val="none"/>
                <w:vertAlign w:val="baseline"/>
                <w:lang w:val="en-US" w:eastAsia="zh-CN"/>
              </w:rPr>
              <w:t>区</w:t>
            </w:r>
            <w:r>
              <w:rPr>
                <w:rFonts w:hint="eastAsia" w:cs="Times New Roman"/>
                <w:b w:val="0"/>
                <w:bCs w:val="0"/>
                <w:sz w:val="24"/>
                <w:szCs w:val="24"/>
                <w:highlight w:val="none"/>
                <w:vertAlign w:val="baseline"/>
                <w:lang w:val="en-US" w:eastAsia="zh-CN"/>
              </w:rPr>
              <w:t>。根据20224年重庆市生态环境状况公报，璧山区</w:t>
            </w:r>
            <w:r>
              <w:rPr>
                <w:rFonts w:hint="default" w:ascii="Times New Roman" w:hAnsi="Times New Roman" w:eastAsia="宋体" w:cs="Times New Roman"/>
                <w:b w:val="0"/>
                <w:bCs w:val="0"/>
                <w:sz w:val="24"/>
                <w:szCs w:val="24"/>
                <w:highlight w:val="none"/>
                <w:vertAlign w:val="baseline"/>
                <w:lang w:val="en-US" w:eastAsia="zh-CN"/>
              </w:rPr>
              <w:t>属于大气环境质量达标区。项目受纳水体为</w:t>
            </w:r>
            <w:r>
              <w:rPr>
                <w:rFonts w:hint="eastAsia" w:cs="Times New Roman"/>
                <w:b w:val="0"/>
                <w:bCs w:val="0"/>
                <w:sz w:val="24"/>
                <w:szCs w:val="24"/>
                <w:highlight w:val="none"/>
                <w:vertAlign w:val="baseline"/>
                <w:lang w:val="en-US" w:eastAsia="zh-CN"/>
              </w:rPr>
              <w:t>璧南河</w:t>
            </w:r>
            <w:r>
              <w:rPr>
                <w:rFonts w:hint="default" w:ascii="Times New Roman" w:hAnsi="Times New Roman" w:eastAsia="宋体" w:cs="Times New Roman"/>
                <w:b w:val="0"/>
                <w:bCs w:val="0"/>
                <w:sz w:val="24"/>
                <w:szCs w:val="24"/>
                <w:highlight w:val="none"/>
                <w:vertAlign w:val="baseline"/>
                <w:lang w:val="en-US" w:eastAsia="zh-CN"/>
              </w:rPr>
              <w:t>，</w:t>
            </w:r>
            <w:r>
              <w:rPr>
                <w:rFonts w:hint="eastAsia" w:cs="Times New Roman"/>
                <w:b w:val="0"/>
                <w:bCs w:val="0"/>
                <w:sz w:val="24"/>
                <w:szCs w:val="24"/>
                <w:highlight w:val="none"/>
                <w:vertAlign w:val="baseline"/>
                <w:lang w:val="en-US" w:eastAsia="zh-CN"/>
              </w:rPr>
              <w:t>璧南河</w:t>
            </w:r>
            <w:r>
              <w:rPr>
                <w:rFonts w:hint="default" w:ascii="Times New Roman" w:hAnsi="Times New Roman" w:eastAsia="宋体" w:cs="Times New Roman"/>
                <w:b w:val="0"/>
                <w:bCs w:val="0"/>
                <w:sz w:val="24"/>
                <w:szCs w:val="24"/>
                <w:highlight w:val="none"/>
                <w:vertAlign w:val="baseline"/>
                <w:lang w:val="en-US" w:eastAsia="zh-CN"/>
              </w:rPr>
              <w:t>水质满足《地表水环境质量标准》</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GB3838-2002</w:t>
            </w:r>
            <w:r>
              <w:rPr>
                <w:rFonts w:hint="eastAsia" w:ascii="Times New Roman" w:hAnsi="Times New Roman" w:eastAsia="宋体" w:cs="Times New Roman"/>
                <w:b w:val="0"/>
                <w:bCs w:val="0"/>
                <w:sz w:val="24"/>
                <w:szCs w:val="24"/>
                <w:highlight w:val="none"/>
                <w:vertAlign w:val="baseline"/>
                <w:lang w:val="en-US" w:eastAsia="zh-CN"/>
              </w:rPr>
              <w:t>）</w:t>
            </w:r>
            <w:r>
              <w:rPr>
                <w:rFonts w:hint="eastAsia"/>
                <w:kern w:val="0"/>
                <w:sz w:val="24"/>
                <w:szCs w:val="24"/>
                <w:highlight w:val="none"/>
              </w:rPr>
              <w:t>Ⅳ</w:t>
            </w:r>
            <w:r>
              <w:rPr>
                <w:rFonts w:hint="default" w:ascii="Times New Roman" w:hAnsi="Times New Roman" w:eastAsia="宋体" w:cs="Times New Roman"/>
                <w:b w:val="0"/>
                <w:bCs w:val="0"/>
                <w:sz w:val="24"/>
                <w:szCs w:val="24"/>
                <w:highlight w:val="none"/>
                <w:vertAlign w:val="baseline"/>
                <w:lang w:val="en-US" w:eastAsia="zh-CN"/>
              </w:rPr>
              <w:t>类水域标准要求。</w:t>
            </w:r>
            <w:r>
              <w:rPr>
                <w:rFonts w:hint="eastAsia" w:cs="Times New Roman"/>
                <w:b w:val="0"/>
                <w:bCs w:val="0"/>
                <w:sz w:val="24"/>
                <w:szCs w:val="24"/>
                <w:highlight w:val="none"/>
                <w:vertAlign w:val="baseline"/>
                <w:lang w:val="en-US" w:eastAsia="zh-CN"/>
              </w:rPr>
              <w:t>恒大绿岛新城B区4栋</w:t>
            </w:r>
            <w:r>
              <w:rPr>
                <w:rFonts w:hint="default" w:ascii="Times New Roman" w:hAnsi="Times New Roman" w:eastAsia="宋体" w:cs="Times New Roman"/>
                <w:b w:val="0"/>
                <w:bCs w:val="0"/>
                <w:sz w:val="24"/>
                <w:szCs w:val="24"/>
                <w:highlight w:val="none"/>
                <w:vertAlign w:val="baseline"/>
                <w:lang w:val="en-US" w:eastAsia="zh-CN"/>
              </w:rPr>
              <w:t>昼</w:t>
            </w:r>
            <w:r>
              <w:rPr>
                <w:rFonts w:hint="eastAsia" w:cs="Times New Roman"/>
                <w:b w:val="0"/>
                <w:bCs w:val="0"/>
                <w:sz w:val="24"/>
                <w:szCs w:val="24"/>
                <w:highlight w:val="none"/>
                <w:vertAlign w:val="baseline"/>
                <w:lang w:val="en-US" w:eastAsia="zh-CN"/>
              </w:rPr>
              <w:t>夜</w:t>
            </w:r>
            <w:r>
              <w:rPr>
                <w:rFonts w:hint="default" w:ascii="Times New Roman" w:hAnsi="Times New Roman" w:eastAsia="宋体" w:cs="Times New Roman"/>
                <w:b w:val="0"/>
                <w:bCs w:val="0"/>
                <w:sz w:val="24"/>
                <w:szCs w:val="24"/>
                <w:highlight w:val="none"/>
                <w:vertAlign w:val="baseline"/>
                <w:lang w:val="en-US" w:eastAsia="zh-CN"/>
              </w:rPr>
              <w:t>间声环境质量满足《声环境质量标准》</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GB3096-2008</w:t>
            </w:r>
            <w:r>
              <w:rPr>
                <w:rFonts w:hint="eastAsia" w:ascii="Times New Roman" w:hAnsi="Times New Roman" w:eastAsia="宋体" w:cs="Times New Roman"/>
                <w:b w:val="0"/>
                <w:bCs w:val="0"/>
                <w:sz w:val="24"/>
                <w:szCs w:val="24"/>
                <w:highlight w:val="none"/>
                <w:vertAlign w:val="baseline"/>
                <w:lang w:val="en-US" w:eastAsia="zh-CN"/>
              </w:rPr>
              <w:t>）</w:t>
            </w:r>
            <w:r>
              <w:rPr>
                <w:rFonts w:hint="eastAsia" w:cs="Times New Roman"/>
                <w:b w:val="0"/>
                <w:bCs w:val="0"/>
                <w:sz w:val="24"/>
                <w:szCs w:val="24"/>
                <w:highlight w:val="none"/>
                <w:vertAlign w:val="baseline"/>
                <w:lang w:val="en-US" w:eastAsia="zh-CN"/>
              </w:rPr>
              <w:t>4a</w:t>
            </w:r>
            <w:r>
              <w:rPr>
                <w:rFonts w:hint="default" w:ascii="Times New Roman" w:hAnsi="Times New Roman" w:eastAsia="宋体" w:cs="Times New Roman"/>
                <w:b w:val="0"/>
                <w:bCs w:val="0"/>
                <w:sz w:val="24"/>
                <w:szCs w:val="24"/>
                <w:highlight w:val="none"/>
                <w:vertAlign w:val="baseline"/>
                <w:lang w:val="en-US" w:eastAsia="zh-CN"/>
              </w:rPr>
              <w:t>类标准。因此项目选址区域环境质量总体较好，有利于项目的建设。</w:t>
            </w:r>
          </w:p>
          <w:p w14:paraId="6C9BA6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周边环境敏感点主要以居民楼，商业办公区为主，为减小噪声影响，要求日常加强管理，避免动物处于饥饿状态</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无寄养宠物。医院内部异味通过自然通风及空调系统排出室外。项目所在楼栋为联排裙楼，相邻层均为商业用房。因此，项目噪声、臭气对周边居民影响较小，且服务于周边居民，便于居民携宠物就医。</w:t>
            </w:r>
          </w:p>
          <w:p w14:paraId="79F67F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outlineLvl w:val="0"/>
              <w:rPr>
                <w:rFonts w:hint="default" w:ascii="Times New Roman" w:hAnsi="Times New Roman" w:eastAsia="宋体" w:cs="Times New Roman"/>
                <w:b w:val="0"/>
                <w:bCs w:val="0"/>
                <w:sz w:val="24"/>
                <w:szCs w:val="24"/>
                <w:vertAlign w:val="baseline"/>
                <w:lang w:val="en-US" w:eastAsia="zh-CN"/>
              </w:rPr>
            </w:pPr>
            <w:r>
              <w:rPr>
                <w:rFonts w:hint="default" w:ascii="Times New Roman" w:hAnsi="Times New Roman" w:eastAsia="宋体" w:cs="Times New Roman"/>
                <w:b w:val="0"/>
                <w:bCs w:val="0"/>
                <w:sz w:val="24"/>
                <w:szCs w:val="24"/>
                <w:highlight w:val="none"/>
                <w:vertAlign w:val="baseline"/>
                <w:lang w:val="en-US" w:eastAsia="zh-CN"/>
              </w:rPr>
              <w:t>根据《动物诊疗机构管理办法》</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农业部令19号</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，第五条</w:t>
            </w:r>
            <w:r>
              <w:rPr>
                <w:rFonts w:hint="eastAsia" w:ascii="Times New Roman" w:hAnsi="Times New Roman" w:eastAsia="宋体" w:cs="Times New Roman"/>
                <w:b w:val="0"/>
                <w:bCs w:val="0"/>
                <w:sz w:val="24"/>
                <w:szCs w:val="24"/>
                <w:highlight w:val="none"/>
                <w:vertAlign w:val="baseline"/>
                <w:lang w:val="en-US" w:eastAsia="zh-CN"/>
              </w:rPr>
              <w:t>“（二）</w:t>
            </w:r>
            <w:r>
              <w:rPr>
                <w:rFonts w:hint="default" w:ascii="Times New Roman" w:hAnsi="Times New Roman" w:eastAsia="宋体" w:cs="Times New Roman"/>
                <w:b w:val="0"/>
                <w:bCs w:val="0"/>
                <w:sz w:val="24"/>
                <w:szCs w:val="24"/>
                <w:highlight w:val="none"/>
                <w:vertAlign w:val="baseline"/>
                <w:lang w:val="en-US" w:eastAsia="zh-CN"/>
              </w:rPr>
              <w:t>动物诊疗场所选址距离畜禽养殖场、屠宰加工厂、动物交易场所不少于 200m</w:t>
            </w:r>
            <w:r>
              <w:rPr>
                <w:rFonts w:hint="eastAsia" w:ascii="Times New Roman" w:hAnsi="Times New Roman" w:eastAsia="宋体" w:cs="Times New Roman"/>
                <w:b w:val="0"/>
                <w:bCs w:val="0"/>
                <w:sz w:val="24"/>
                <w:szCs w:val="24"/>
                <w:highlight w:val="none"/>
                <w:vertAlign w:val="baseline"/>
                <w:lang w:val="en-US" w:eastAsia="zh-CN"/>
              </w:rPr>
              <w:t>”；“（三）</w:t>
            </w:r>
            <w:r>
              <w:rPr>
                <w:rFonts w:hint="default" w:ascii="Times New Roman" w:hAnsi="Times New Roman" w:eastAsia="宋体" w:cs="Times New Roman"/>
                <w:b w:val="0"/>
                <w:bCs w:val="0"/>
                <w:sz w:val="24"/>
                <w:szCs w:val="24"/>
                <w:highlight w:val="none"/>
                <w:vertAlign w:val="baseline"/>
                <w:lang w:val="en-US" w:eastAsia="zh-CN"/>
              </w:rPr>
              <w:t>动物诊疗场所设有独立的出入口，出入口不得设在居民住宅楼内或者院内，不得与同一建筑物的其他用户共用通道</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，第十八条</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动物诊疗机构兼营宠物用品、宠物食品、宠物美容等项目的，兼营区域与动物诊疗区域应当分别独立设置</w:t>
            </w:r>
            <w:r>
              <w:rPr>
                <w:rFonts w:hint="eastAsia" w:ascii="Times New Roman" w:hAnsi="Times New Roman" w:eastAsia="宋体" w:cs="Times New Roman"/>
                <w:b w:val="0"/>
                <w:bCs w:val="0"/>
                <w:sz w:val="24"/>
                <w:szCs w:val="24"/>
                <w:highlight w:val="none"/>
                <w:vertAlign w:val="baseline"/>
                <w:lang w:val="en-US" w:eastAsia="zh-CN"/>
              </w:rPr>
              <w:t>”</w:t>
            </w:r>
            <w:r>
              <w:rPr>
                <w:rFonts w:hint="default" w:ascii="Times New Roman" w:hAnsi="Times New Roman" w:eastAsia="宋体" w:cs="Times New Roman"/>
                <w:b w:val="0"/>
                <w:bCs w:val="0"/>
                <w:sz w:val="24"/>
                <w:szCs w:val="24"/>
                <w:highlight w:val="none"/>
                <w:vertAlign w:val="baseline"/>
                <w:lang w:val="en-US" w:eastAsia="zh-CN"/>
              </w:rPr>
              <w:t>。项目选址位于</w:t>
            </w:r>
            <w:r>
              <w:rPr>
                <w:rFonts w:hint="eastAsia" w:cs="Times New Roman"/>
                <w:color w:val="000000" w:themeColor="text1"/>
                <w:sz w:val="24"/>
                <w:szCs w:val="24"/>
                <w:highlight w:val="none"/>
                <w:lang w:val="en-US" w:eastAsia="zh-CN"/>
                <w14:textFill>
                  <w14:solidFill>
                    <w14:schemeClr w14:val="tx1"/>
                  </w14:solidFill>
                </w14:textFill>
              </w:rPr>
              <w:t>恒大绿岛新城B区</w:t>
            </w:r>
            <w:r>
              <w:rPr>
                <w:rFonts w:hint="default" w:ascii="Times New Roman" w:hAnsi="Times New Roman" w:eastAsia="宋体" w:cs="Times New Roman"/>
                <w:b w:val="0"/>
                <w:bCs w:val="0"/>
                <w:sz w:val="24"/>
                <w:szCs w:val="24"/>
                <w:highlight w:val="none"/>
                <w:vertAlign w:val="baseline"/>
                <w:lang w:val="en-US" w:eastAsia="zh-CN"/>
              </w:rPr>
              <w:t>商业</w:t>
            </w:r>
            <w:r>
              <w:rPr>
                <w:rFonts w:hint="eastAsia" w:cs="Times New Roman"/>
                <w:b w:val="0"/>
                <w:bCs w:val="0"/>
                <w:sz w:val="24"/>
                <w:szCs w:val="24"/>
                <w:highlight w:val="none"/>
                <w:vertAlign w:val="baseline"/>
                <w:lang w:val="en-US" w:eastAsia="zh-CN"/>
              </w:rPr>
              <w:t>裙楼</w:t>
            </w:r>
            <w:r>
              <w:rPr>
                <w:rFonts w:hint="default" w:ascii="Times New Roman" w:hAnsi="Times New Roman" w:eastAsia="宋体" w:cs="Times New Roman"/>
                <w:b w:val="0"/>
                <w:bCs w:val="0"/>
                <w:sz w:val="24"/>
                <w:szCs w:val="24"/>
                <w:highlight w:val="none"/>
                <w:vertAlign w:val="baseline"/>
                <w:lang w:val="en-US" w:eastAsia="zh-CN"/>
              </w:rPr>
              <w:t>，地处城市建成区，周边无畜禽养殖场、屠宰加工厂、动物交易场所，设置独立的出入口，不与其他用户共用，项目用品区与诊疗区分区独立设置，布局合理，因此，该宠物医</w:t>
            </w:r>
            <w:r>
              <w:rPr>
                <w:rFonts w:hint="default" w:ascii="Times New Roman" w:hAnsi="Times New Roman" w:eastAsia="宋体" w:cs="Times New Roman"/>
                <w:b w:val="0"/>
                <w:bCs w:val="0"/>
                <w:sz w:val="24"/>
                <w:szCs w:val="24"/>
                <w:vertAlign w:val="baseline"/>
                <w:lang w:val="en-US" w:eastAsia="zh-CN"/>
              </w:rPr>
              <w:t>院选址符合该管理办法。</w:t>
            </w:r>
          </w:p>
          <w:p w14:paraId="3498C89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综上所述，项目选址合理。</w:t>
            </w:r>
          </w:p>
        </w:tc>
      </w:tr>
    </w:tbl>
    <w:p w14:paraId="1370184C">
      <w:pPr>
        <w:spacing w:line="360" w:lineRule="auto"/>
        <w:outlineLvl w:val="0"/>
        <w:rPr>
          <w:rFonts w:eastAsia="黑体"/>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7A54BB0">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8618"/>
      </w:tblGrid>
      <w:tr w14:paraId="2A1BD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3" w:hRule="atLeast"/>
          <w:jc w:val="center"/>
        </w:trPr>
        <w:tc>
          <w:tcPr>
            <w:tcW w:w="485" w:type="dxa"/>
            <w:noWrap w:val="0"/>
            <w:vAlign w:val="center"/>
          </w:tcPr>
          <w:p w14:paraId="6DBF7174">
            <w:pPr>
              <w:pStyle w:val="17"/>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499" w:type="dxa"/>
            <w:noWrap w:val="0"/>
            <w:vAlign w:val="top"/>
          </w:tcPr>
          <w:p w14:paraId="776281A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2.1建设内容</w:t>
            </w:r>
          </w:p>
          <w:p w14:paraId="15B90C7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2.1.1项目由来</w:t>
            </w:r>
          </w:p>
          <w:p w14:paraId="55C40E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b w:val="0"/>
                <w:bCs/>
                <w:sz w:val="24"/>
                <w:szCs w:val="24"/>
                <w:highlight w:val="none"/>
                <w:lang w:val="en-US" w:eastAsia="zh-CN"/>
              </w:rPr>
              <w:t>璧山区贝康宠物医院</w:t>
            </w:r>
            <w:r>
              <w:rPr>
                <w:rFonts w:hint="default" w:ascii="Times New Roman" w:hAnsi="Times New Roman" w:eastAsia="宋体" w:cs="Times New Roman"/>
                <w:color w:val="auto"/>
                <w:sz w:val="24"/>
                <w:szCs w:val="24"/>
                <w:highlight w:val="none"/>
              </w:rPr>
              <w:t>成立于</w:t>
            </w:r>
            <w:r>
              <w:rPr>
                <w:rFonts w:hint="eastAsia"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年</w:t>
            </w:r>
            <w:r>
              <w:rPr>
                <w:rFonts w:hint="eastAsia"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月，主要</w:t>
            </w:r>
            <w:r>
              <w:rPr>
                <w:rFonts w:hint="eastAsia" w:cs="Times New Roman"/>
                <w:color w:val="auto"/>
                <w:sz w:val="24"/>
                <w:szCs w:val="24"/>
                <w:highlight w:val="none"/>
                <w:lang w:val="en-US" w:eastAsia="zh-CN"/>
              </w:rPr>
              <w:t>从事动物诊疗、宠物服务、宠物食品及用品零售等</w:t>
            </w:r>
            <w:r>
              <w:rPr>
                <w:rFonts w:hint="default" w:ascii="Times New Roman" w:hAnsi="Times New Roman" w:eastAsia="宋体" w:cs="Times New Roman"/>
                <w:color w:val="auto"/>
                <w:sz w:val="24"/>
                <w:szCs w:val="24"/>
                <w:highlight w:val="none"/>
              </w:rPr>
              <w:t>。</w:t>
            </w:r>
          </w:p>
          <w:p w14:paraId="41D43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s="Times New Roman"/>
                <w:b w:val="0"/>
                <w:bCs/>
                <w:sz w:val="24"/>
                <w:szCs w:val="24"/>
                <w:highlight w:val="none"/>
                <w:lang w:val="en-US" w:eastAsia="zh-CN"/>
              </w:rPr>
              <w:t>璧山区贝康宠物医院</w:t>
            </w:r>
            <w:r>
              <w:rPr>
                <w:rFonts w:hint="eastAsia" w:cs="Times New Roman"/>
                <w:color w:val="auto"/>
                <w:sz w:val="24"/>
                <w:szCs w:val="24"/>
                <w:highlight w:val="none"/>
                <w:lang w:val="en-US" w:eastAsia="zh-CN"/>
              </w:rPr>
              <w:t>租赁</w:t>
            </w:r>
            <w:r>
              <w:rPr>
                <w:rFonts w:hint="eastAsia" w:cs="Times New Roman"/>
                <w:color w:val="000000" w:themeColor="text1"/>
                <w:sz w:val="24"/>
                <w:szCs w:val="24"/>
                <w:highlight w:val="none"/>
                <w:lang w:val="en-US" w:eastAsia="zh-CN"/>
                <w14:textFill>
                  <w14:solidFill>
                    <w14:schemeClr w14:val="tx1"/>
                  </w14:solidFill>
                </w14:textFill>
              </w:rPr>
              <w:t>重庆市璧山区璧泉街道东林大道67号4幢附37号</w:t>
            </w:r>
            <w:r>
              <w:rPr>
                <w:rFonts w:hint="eastAsia" w:cs="Times New Roman"/>
                <w:color w:val="auto"/>
                <w:sz w:val="24"/>
                <w:szCs w:val="24"/>
                <w:highlight w:val="none"/>
                <w:lang w:val="en-US" w:eastAsia="zh-CN"/>
              </w:rPr>
              <w:t>商业门面进行运营，</w:t>
            </w:r>
            <w:r>
              <w:rPr>
                <w:rFonts w:hint="eastAsia"/>
                <w:color w:val="auto"/>
                <w:sz w:val="24"/>
                <w:szCs w:val="24"/>
                <w:highlight w:val="none"/>
                <w:lang w:val="en-US" w:eastAsia="zh-CN"/>
              </w:rPr>
              <w:t>于2015年2月投入运营，</w:t>
            </w:r>
            <w:r>
              <w:rPr>
                <w:rFonts w:hint="eastAsia" w:cs="Times New Roman"/>
                <w:color w:val="auto"/>
                <w:sz w:val="24"/>
                <w:szCs w:val="24"/>
                <w:highlight w:val="none"/>
                <w:lang w:val="en-US" w:eastAsia="zh-CN"/>
              </w:rPr>
              <w:t>建筑面积约144m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，从事猫、犬的疾病预防、诊疗和手术等活动，兼营宠物用品的销售，院内</w:t>
            </w:r>
            <w:r>
              <w:rPr>
                <w:rFonts w:hint="eastAsia"/>
                <w:color w:val="auto"/>
                <w:sz w:val="24"/>
                <w:szCs w:val="24"/>
                <w:highlight w:val="none"/>
                <w:lang w:val="en-US" w:eastAsia="zh-CN"/>
              </w:rPr>
              <w:t>主要设置</w:t>
            </w:r>
            <w:r>
              <w:rPr>
                <w:rFonts w:hint="eastAsia" w:cs="Times New Roman"/>
                <w:b w:val="0"/>
                <w:bCs/>
                <w:sz w:val="24"/>
                <w:szCs w:val="24"/>
                <w:highlight w:val="none"/>
                <w:lang w:val="en-US" w:eastAsia="zh-CN"/>
              </w:rPr>
              <w:t>导台、隔离室、DR室、手术室、住院室、药房、化验室、诊室</w:t>
            </w:r>
            <w:r>
              <w:rPr>
                <w:rFonts w:hint="eastAsia" w:cs="Times New Roman"/>
                <w:color w:val="000000"/>
                <w:sz w:val="24"/>
                <w:szCs w:val="24"/>
                <w:highlight w:val="none"/>
                <w:lang w:val="en-US" w:eastAsia="zh-CN"/>
              </w:rPr>
              <w:t>等，</w:t>
            </w:r>
            <w:r>
              <w:rPr>
                <w:rFonts w:hint="eastAsia" w:cs="Times New Roman"/>
                <w:color w:val="auto"/>
                <w:sz w:val="24"/>
                <w:szCs w:val="24"/>
                <w:highlight w:val="none"/>
                <w:lang w:val="en-US" w:eastAsia="zh-CN"/>
              </w:rPr>
              <w:t>手术室内仅进行简单的宠物伤口处理、</w:t>
            </w:r>
            <w:r>
              <w:rPr>
                <w:rFonts w:hint="eastAsia"/>
                <w:color w:val="auto"/>
                <w:sz w:val="24"/>
                <w:szCs w:val="24"/>
                <w:highlight w:val="none"/>
                <w:lang w:val="en-US" w:eastAsia="zh-CN"/>
              </w:rPr>
              <w:t>软组织、骨科和节育手术等</w:t>
            </w:r>
            <w:r>
              <w:rPr>
                <w:rFonts w:hint="eastAsia" w:cs="Times New Roman"/>
                <w:color w:val="auto"/>
                <w:sz w:val="24"/>
                <w:szCs w:val="24"/>
                <w:highlight w:val="none"/>
                <w:lang w:val="en-US" w:eastAsia="zh-CN"/>
              </w:rPr>
              <w:t>，不开展动物颅腔、胸腔和腹腔手术，门诊日最大接诊量为14只</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年最大接诊量约</w:t>
            </w:r>
            <w:r>
              <w:rPr>
                <w:rFonts w:hint="eastAsia" w:cs="Times New Roman"/>
                <w:b w:val="0"/>
                <w:bCs/>
                <w:sz w:val="24"/>
                <w:szCs w:val="24"/>
                <w:highlight w:val="none"/>
                <w:lang w:val="en-US" w:eastAsia="zh-CN"/>
              </w:rPr>
              <w:t>5110</w:t>
            </w:r>
            <w:r>
              <w:rPr>
                <w:rFonts w:hint="default" w:ascii="Times New Roman" w:hAnsi="Times New Roman" w:cs="Times New Roman"/>
                <w:b w:val="0"/>
                <w:bCs/>
                <w:sz w:val="24"/>
                <w:szCs w:val="24"/>
                <w:highlight w:val="none"/>
                <w:lang w:val="en-US" w:eastAsia="zh-CN"/>
              </w:rPr>
              <w:t>只</w:t>
            </w:r>
            <w:r>
              <w:rPr>
                <w:rFonts w:hint="eastAsia" w:ascii="Times New Roman" w:hAnsi="Times New Roman" w:cs="Times New Roman"/>
                <w:b w:val="0"/>
                <w:bCs/>
                <w:sz w:val="24"/>
                <w:szCs w:val="24"/>
                <w:highlight w:val="none"/>
                <w:lang w:val="en-US" w:eastAsia="zh-CN"/>
              </w:rPr>
              <w:t>）</w:t>
            </w:r>
            <w:r>
              <w:rPr>
                <w:rFonts w:hint="eastAsia" w:cs="Times New Roman"/>
                <w:color w:val="auto"/>
                <w:sz w:val="24"/>
                <w:szCs w:val="24"/>
                <w:highlight w:val="none"/>
                <w:lang w:val="en-US" w:eastAsia="zh-CN"/>
              </w:rPr>
              <w:t>，日最大住院量为26只，日最大手术量为5台</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年最大手术量约</w:t>
            </w:r>
            <w:r>
              <w:rPr>
                <w:rFonts w:hint="eastAsia" w:cs="Times New Roman"/>
                <w:b w:val="0"/>
                <w:bCs/>
                <w:sz w:val="24"/>
                <w:szCs w:val="24"/>
                <w:highlight w:val="none"/>
                <w:lang w:val="en-US" w:eastAsia="zh-CN"/>
              </w:rPr>
              <w:t>1825</w:t>
            </w:r>
            <w:r>
              <w:rPr>
                <w:rFonts w:hint="default" w:ascii="Times New Roman" w:hAnsi="Times New Roman" w:cs="Times New Roman"/>
                <w:b w:val="0"/>
                <w:bCs/>
                <w:sz w:val="24"/>
                <w:szCs w:val="24"/>
                <w:highlight w:val="none"/>
                <w:lang w:val="en-US" w:eastAsia="zh-CN"/>
              </w:rPr>
              <w:t>台</w:t>
            </w:r>
            <w:r>
              <w:rPr>
                <w:rFonts w:hint="eastAsia" w:ascii="Times New Roman" w:hAnsi="Times New Roman" w:cs="Times New Roman"/>
                <w:b w:val="0"/>
                <w:bCs/>
                <w:sz w:val="24"/>
                <w:szCs w:val="24"/>
                <w:highlight w:val="none"/>
                <w:lang w:val="en-US" w:eastAsia="zh-CN"/>
              </w:rPr>
              <w:t>）</w:t>
            </w:r>
            <w:r>
              <w:rPr>
                <w:rFonts w:hint="eastAsia" w:cs="Times New Roman"/>
                <w:color w:val="auto"/>
                <w:sz w:val="24"/>
                <w:szCs w:val="24"/>
                <w:highlight w:val="none"/>
                <w:lang w:val="en-US" w:eastAsia="zh-CN"/>
              </w:rPr>
              <w:t>。</w:t>
            </w:r>
            <w:r>
              <w:rPr>
                <w:rFonts w:hint="eastAsia" w:cs="Times New Roman"/>
                <w:color w:val="000000"/>
                <w:sz w:val="24"/>
                <w:szCs w:val="24"/>
                <w:highlight w:val="none"/>
                <w:lang w:val="en-US" w:eastAsia="zh-CN"/>
              </w:rPr>
              <w:t>根据《关于宠物医院服务项目环境影响评价类有关问题的复函》（环办环评函〔2019〕168号）：“不具备从事动物颅腔、胸腔和腹腔手术能力的动物诊疗机构建设项目，不纳入建设项目环境影响评价管理”，因此，医院根据要求未办理环评手续。</w:t>
            </w:r>
          </w:p>
          <w:p w14:paraId="3CD3ED89">
            <w:pPr>
              <w:adjustRightInd w:val="0"/>
              <w:snapToGrid w:val="0"/>
              <w:spacing w:line="360" w:lineRule="auto"/>
              <w:ind w:firstLine="480" w:firstLineChars="200"/>
              <w:rPr>
                <w:rFonts w:hint="default" w:eastAsia="宋体"/>
                <w:color w:val="auto"/>
                <w:sz w:val="24"/>
                <w:szCs w:val="32"/>
                <w:lang w:val="en-US" w:eastAsia="zh-CN"/>
              </w:rPr>
            </w:pPr>
            <w:r>
              <w:rPr>
                <w:rFonts w:hint="eastAsia"/>
                <w:color w:val="auto"/>
                <w:sz w:val="24"/>
                <w:szCs w:val="32"/>
              </w:rPr>
              <w:t>现因医院的发展和市场需要，</w:t>
            </w:r>
            <w:r>
              <w:rPr>
                <w:rFonts w:hint="eastAsia" w:cs="Times New Roman"/>
                <w:b w:val="0"/>
                <w:bCs/>
                <w:sz w:val="24"/>
                <w:szCs w:val="24"/>
                <w:highlight w:val="none"/>
                <w:lang w:val="en-US" w:eastAsia="zh-CN"/>
              </w:rPr>
              <w:t>璧山区贝康宠物医院</w:t>
            </w:r>
            <w:r>
              <w:rPr>
                <w:rFonts w:hint="eastAsia"/>
                <w:color w:val="auto"/>
                <w:sz w:val="24"/>
                <w:szCs w:val="32"/>
              </w:rPr>
              <w:t>拟投资</w:t>
            </w:r>
            <w:r>
              <w:rPr>
                <w:rFonts w:hint="eastAsia"/>
                <w:color w:val="auto"/>
                <w:sz w:val="24"/>
                <w:szCs w:val="32"/>
                <w:lang w:val="en-US" w:eastAsia="zh-CN"/>
              </w:rPr>
              <w:t>25</w:t>
            </w:r>
            <w:r>
              <w:rPr>
                <w:rFonts w:hint="eastAsia"/>
                <w:color w:val="auto"/>
                <w:sz w:val="24"/>
                <w:szCs w:val="32"/>
              </w:rPr>
              <w:t>万元，对现有医院增加部分手术设备，增设动物颅腔、胸腔和腹腔手术服务。</w:t>
            </w:r>
            <w:r>
              <w:rPr>
                <w:rFonts w:hint="eastAsia"/>
                <w:color w:val="auto"/>
                <w:sz w:val="24"/>
                <w:szCs w:val="32"/>
                <w:lang w:val="en-US" w:eastAsia="zh-CN"/>
              </w:rPr>
              <w:t>根据璧山区相关规定，个体工商户无需申领备案证。</w:t>
            </w:r>
          </w:p>
          <w:p w14:paraId="529E11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根据《中华人民共和国环境保护法</w:t>
            </w:r>
            <w:r>
              <w:rPr>
                <w:rFonts w:hint="eastAsia" w:cs="Times New Roman"/>
                <w:b w:val="0"/>
                <w:bCs/>
                <w:sz w:val="24"/>
                <w:szCs w:val="24"/>
                <w:lang w:val="en-US" w:eastAsia="zh-CN"/>
              </w:rPr>
              <w:t>》《</w:t>
            </w:r>
            <w:r>
              <w:rPr>
                <w:rFonts w:hint="default" w:ascii="Times New Roman" w:hAnsi="Times New Roman" w:cs="Times New Roman"/>
                <w:b w:val="0"/>
                <w:bCs/>
                <w:sz w:val="24"/>
                <w:szCs w:val="24"/>
                <w:lang w:val="en-US" w:eastAsia="zh-CN"/>
              </w:rPr>
              <w:t>中华人民共和国环境影响评价法》《建设项目环境保护管理条例》规定，本项目应开展环境影响评价</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根据《国民经济行业分类》，项目为动物医院建设项目，其国民经济行业类别为</w:t>
            </w:r>
            <w:r>
              <w:rPr>
                <w:rFonts w:hint="eastAsia" w:ascii="Times New Roman" w:hAnsi="Times New Roman" w:cs="Times New Roman"/>
                <w:b w:val="0"/>
                <w:bCs/>
                <w:sz w:val="24"/>
                <w:szCs w:val="24"/>
                <w:lang w:val="en-US" w:eastAsia="zh-CN"/>
              </w:rPr>
              <w:t>“O</w:t>
            </w:r>
            <w:r>
              <w:rPr>
                <w:rFonts w:hint="default" w:ascii="Times New Roman" w:hAnsi="Times New Roman" w:cs="Times New Roman"/>
                <w:b w:val="0"/>
                <w:bCs/>
                <w:sz w:val="24"/>
                <w:szCs w:val="24"/>
                <w:lang w:val="en-US" w:eastAsia="zh-CN"/>
              </w:rPr>
              <w:t>822宠物服务</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对照《建设项目环境影响评价分类管理名录》</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2021年版</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，建设项目行业类别为</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五十、社会事业与服务业 123 动物医院</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。项目应编制环境影响报告表。受</w:t>
            </w:r>
            <w:r>
              <w:rPr>
                <w:rFonts w:hint="eastAsia" w:cs="Times New Roman"/>
                <w:b w:val="0"/>
                <w:bCs/>
                <w:sz w:val="24"/>
                <w:szCs w:val="24"/>
                <w:highlight w:val="none"/>
                <w:lang w:val="en-US" w:eastAsia="zh-CN"/>
              </w:rPr>
              <w:t>璧山区贝康宠物医院</w:t>
            </w:r>
            <w:r>
              <w:rPr>
                <w:rFonts w:hint="default" w:ascii="Times New Roman" w:hAnsi="Times New Roman" w:cs="Times New Roman"/>
                <w:b w:val="0"/>
                <w:bCs/>
                <w:sz w:val="24"/>
                <w:szCs w:val="24"/>
                <w:lang w:val="en-US" w:eastAsia="zh-CN"/>
              </w:rPr>
              <w:t>委托，本公司承担该项目的环境影响评价工作，在接受委托之后，我公司组织专业技术人员进行现场勘查并收集相关资料，编制完成了项目的环境影响报告表。</w:t>
            </w:r>
          </w:p>
          <w:p w14:paraId="47E45B6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2.1.2评价构思</w:t>
            </w:r>
          </w:p>
          <w:p w14:paraId="65660775">
            <w:pPr>
              <w:numPr>
                <w:ilvl w:val="0"/>
                <w:numId w:val="0"/>
              </w:numPr>
              <w:adjustRightInd w:val="0"/>
              <w:snapToGrid w:val="0"/>
              <w:spacing w:line="360" w:lineRule="auto"/>
              <w:ind w:firstLine="480" w:firstLineChars="200"/>
              <w:rPr>
                <w:rFonts w:hint="eastAsia" w:eastAsia="宋体"/>
                <w:color w:val="auto"/>
                <w:sz w:val="24"/>
                <w:szCs w:val="32"/>
                <w:lang w:eastAsia="zh-CN"/>
              </w:rPr>
            </w:pPr>
            <w:r>
              <w:rPr>
                <w:rFonts w:hint="eastAsia"/>
                <w:color w:val="auto"/>
                <w:sz w:val="24"/>
                <w:szCs w:val="32"/>
                <w:lang w:eastAsia="zh-CN"/>
              </w:rPr>
              <w:t>（</w:t>
            </w:r>
            <w:r>
              <w:rPr>
                <w:rFonts w:hint="eastAsia"/>
                <w:color w:val="auto"/>
                <w:sz w:val="24"/>
                <w:szCs w:val="32"/>
                <w:lang w:val="en-US" w:eastAsia="zh-CN"/>
              </w:rPr>
              <w:t>1</w:t>
            </w:r>
            <w:r>
              <w:rPr>
                <w:rFonts w:hint="eastAsia"/>
                <w:color w:val="auto"/>
                <w:sz w:val="24"/>
                <w:szCs w:val="32"/>
                <w:lang w:eastAsia="zh-CN"/>
              </w:rPr>
              <w:t>）</w:t>
            </w:r>
            <w:r>
              <w:rPr>
                <w:rFonts w:hint="eastAsia"/>
                <w:color w:val="auto"/>
                <w:sz w:val="24"/>
                <w:szCs w:val="32"/>
              </w:rPr>
              <w:t>本项目属于扩建项目，</w:t>
            </w:r>
            <w:r>
              <w:rPr>
                <w:rFonts w:hint="default" w:ascii="Times New Roman" w:hAnsi="Times New Roman" w:cs="Times New Roman"/>
                <w:b w:val="0"/>
                <w:bCs/>
                <w:color w:val="auto"/>
                <w:sz w:val="24"/>
                <w:szCs w:val="24"/>
                <w:highlight w:val="none"/>
                <w:lang w:val="en-US" w:eastAsia="zh-CN"/>
              </w:rPr>
              <w:t>现有医院于</w:t>
            </w:r>
            <w:r>
              <w:rPr>
                <w:rFonts w:hint="eastAsia" w:cs="Times New Roman"/>
                <w:b w:val="0"/>
                <w:bCs/>
                <w:color w:val="auto"/>
                <w:sz w:val="24"/>
                <w:szCs w:val="24"/>
                <w:highlight w:val="none"/>
                <w:lang w:val="en-US" w:eastAsia="zh-CN"/>
              </w:rPr>
              <w:t>2015年2月</w:t>
            </w:r>
            <w:r>
              <w:rPr>
                <w:rFonts w:hint="default" w:ascii="Times New Roman" w:hAnsi="Times New Roman" w:cs="Times New Roman"/>
                <w:b w:val="0"/>
                <w:bCs/>
                <w:color w:val="auto"/>
                <w:sz w:val="24"/>
                <w:szCs w:val="24"/>
                <w:highlight w:val="none"/>
                <w:lang w:val="en-US" w:eastAsia="zh-CN"/>
              </w:rPr>
              <w:t>开始营业，根据《建设项目环境影响评价分类管理名录》（2021年版），现有医院不</w:t>
            </w:r>
            <w:r>
              <w:rPr>
                <w:rFonts w:hint="eastAsia" w:ascii="Times New Roman" w:hAnsi="Times New Roman" w:cs="Times New Roman"/>
                <w:b w:val="0"/>
                <w:bCs/>
                <w:color w:val="auto"/>
                <w:sz w:val="24"/>
                <w:szCs w:val="24"/>
                <w:highlight w:val="none"/>
                <w:lang w:val="en-US" w:eastAsia="zh-CN"/>
              </w:rPr>
              <w:t>开展</w:t>
            </w:r>
            <w:r>
              <w:rPr>
                <w:rFonts w:hint="default" w:ascii="Times New Roman" w:hAnsi="Times New Roman" w:cs="Times New Roman"/>
                <w:b w:val="0"/>
                <w:bCs/>
                <w:color w:val="auto"/>
                <w:sz w:val="24"/>
                <w:szCs w:val="24"/>
                <w:highlight w:val="none"/>
                <w:lang w:val="en-US" w:eastAsia="zh-CN"/>
              </w:rPr>
              <w:t>动物颅腔、胸腔或腹手术等，主要进行美容手术（只做新生动物10d内断尾和趾间腺囊肿切除）、感觉器官手术、呼吸系统手术、泌尿生殖系统手术（不含</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三腔手术</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）等，</w:t>
            </w:r>
            <w:r>
              <w:rPr>
                <w:rFonts w:hint="eastAsia" w:ascii="Times New Roman" w:hAnsi="Times New Roman" w:cs="Times New Roman"/>
                <w:b w:val="0"/>
                <w:bCs/>
                <w:color w:val="auto"/>
                <w:sz w:val="24"/>
                <w:szCs w:val="24"/>
                <w:highlight w:val="none"/>
                <w:lang w:val="en-US" w:eastAsia="zh-CN"/>
              </w:rPr>
              <w:t>未</w:t>
            </w:r>
            <w:r>
              <w:rPr>
                <w:rFonts w:hint="default" w:ascii="Times New Roman" w:hAnsi="Times New Roman" w:cs="Times New Roman"/>
                <w:b w:val="0"/>
                <w:bCs/>
                <w:color w:val="auto"/>
                <w:sz w:val="24"/>
                <w:szCs w:val="24"/>
                <w:highlight w:val="none"/>
                <w:lang w:val="en-US" w:eastAsia="zh-CN"/>
              </w:rPr>
              <w:t>纳入建设项目环境影响评价管理，该医院前期无需办理环评手续及排污许可。</w:t>
            </w:r>
            <w:r>
              <w:rPr>
                <w:rFonts w:hint="eastAsia" w:ascii="Times New Roman" w:hAnsi="Times New Roman" w:cs="Times New Roman"/>
                <w:b w:val="0"/>
                <w:bCs/>
                <w:color w:val="auto"/>
                <w:sz w:val="24"/>
                <w:szCs w:val="24"/>
                <w:highlight w:val="none"/>
                <w:lang w:val="en-US" w:eastAsia="zh-CN"/>
              </w:rPr>
              <w:t>本次扩建</w:t>
            </w:r>
            <w:r>
              <w:rPr>
                <w:rFonts w:hint="eastAsia"/>
                <w:color w:val="auto"/>
                <w:sz w:val="24"/>
                <w:szCs w:val="32"/>
              </w:rPr>
              <w:t>在现有手术室内增设动物颅腔、胸腔、腹腔手术（以下简称“三腔手术”）及三腔手术所需设施，扩建前后劳动定员不变，接诊量、住院量和手术量规模不变，本次评价对现有项目进行简单回顾，同时，为便于环境管理及后续验收，本次评价针对扩建后整个项目进行评价，按照整体规模进行产排污分析、并提出相应的环保措施。不统计扩建前现有污染物排放量和扩建前后污染物排放“三本账</w:t>
            </w:r>
            <w:r>
              <w:rPr>
                <w:rFonts w:hint="eastAsia"/>
                <w:color w:val="auto"/>
                <w:sz w:val="24"/>
                <w:szCs w:val="32"/>
                <w:lang w:eastAsia="zh-CN"/>
              </w:rPr>
              <w:t>”。</w:t>
            </w:r>
          </w:p>
          <w:p w14:paraId="245D56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000000"/>
                <w:sz w:val="24"/>
                <w:szCs w:val="24"/>
                <w:highlight w:val="none"/>
                <w:lang w:val="en-US" w:eastAsia="zh-CN"/>
              </w:rPr>
            </w:pPr>
            <w:r>
              <w:rPr>
                <w:rFonts w:hint="eastAsia" w:cs="Times New Roman"/>
                <w:color w:val="000000"/>
                <w:sz w:val="24"/>
                <w:szCs w:val="24"/>
                <w:highlight w:val="none"/>
                <w:lang w:val="en-US" w:eastAsia="zh-CN"/>
              </w:rPr>
              <w:t>（2）</w:t>
            </w:r>
            <w:r>
              <w:rPr>
                <w:rFonts w:hint="eastAsia"/>
                <w:color w:val="auto"/>
                <w:sz w:val="24"/>
                <w:szCs w:val="32"/>
              </w:rPr>
              <w:t>本项目诊疗和住院过程中会产生少量异味，室内通过空调系统进行通风换气，</w:t>
            </w:r>
            <w:r>
              <w:rPr>
                <w:rFonts w:hint="eastAsia"/>
                <w:color w:val="auto"/>
                <w:sz w:val="24"/>
                <w:szCs w:val="32"/>
                <w:lang w:val="en-US" w:eastAsia="zh-CN"/>
              </w:rPr>
              <w:t>住院区</w:t>
            </w:r>
            <w:r>
              <w:rPr>
                <w:rFonts w:hint="eastAsia"/>
                <w:color w:val="auto"/>
                <w:sz w:val="24"/>
                <w:szCs w:val="32"/>
              </w:rPr>
              <w:t>通过紫外线灯进行消毒杀菌，医院整体采用</w:t>
            </w:r>
            <w:r>
              <w:rPr>
                <w:rFonts w:hint="eastAsia"/>
                <w:color w:val="auto"/>
                <w:sz w:val="24"/>
                <w:szCs w:val="32"/>
                <w:lang w:val="en-US" w:eastAsia="zh-CN"/>
              </w:rPr>
              <w:t>84消毒液等</w:t>
            </w:r>
            <w:r>
              <w:rPr>
                <w:rFonts w:hint="eastAsia"/>
                <w:color w:val="auto"/>
                <w:sz w:val="24"/>
                <w:szCs w:val="32"/>
                <w:lang w:eastAsia="zh-CN"/>
              </w:rPr>
              <w:t>兑水后</w:t>
            </w:r>
            <w:r>
              <w:rPr>
                <w:rFonts w:hint="eastAsia"/>
                <w:color w:val="auto"/>
                <w:sz w:val="24"/>
                <w:szCs w:val="32"/>
              </w:rPr>
              <w:t>喷洒消毒，</w:t>
            </w:r>
            <w:r>
              <w:rPr>
                <w:rFonts w:hint="eastAsia"/>
                <w:color w:val="auto"/>
                <w:sz w:val="24"/>
                <w:szCs w:val="32"/>
                <w:lang w:eastAsia="zh-CN"/>
              </w:rPr>
              <w:t>医疗废物贮存点</w:t>
            </w:r>
            <w:r>
              <w:rPr>
                <w:rFonts w:hint="eastAsia"/>
                <w:color w:val="auto"/>
                <w:sz w:val="24"/>
                <w:szCs w:val="32"/>
              </w:rPr>
              <w:t>医疗废物定期消毒清运，</w:t>
            </w:r>
            <w:r>
              <w:rPr>
                <w:rFonts w:hint="eastAsia"/>
                <w:color w:val="auto"/>
                <w:sz w:val="24"/>
                <w:szCs w:val="32"/>
                <w:lang w:val="en-US" w:eastAsia="zh-CN"/>
              </w:rPr>
              <w:t>医疗废水密闭处理，</w:t>
            </w:r>
            <w:r>
              <w:rPr>
                <w:rFonts w:hint="eastAsia"/>
                <w:color w:val="auto"/>
                <w:sz w:val="24"/>
                <w:szCs w:val="32"/>
                <w:lang w:eastAsia="zh-CN"/>
              </w:rPr>
              <w:t>动物粪污</w:t>
            </w:r>
            <w:r>
              <w:rPr>
                <w:rFonts w:hint="eastAsia"/>
                <w:color w:val="auto"/>
                <w:sz w:val="24"/>
                <w:szCs w:val="32"/>
              </w:rPr>
              <w:t>由专人进行及时清理和消毒后能有效控制院区内异味。因此，本次评价废气仅做简单分析。</w:t>
            </w:r>
          </w:p>
          <w:p w14:paraId="42F694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eastAsia" w:cs="Times New Roman"/>
                <w:b w:val="0"/>
                <w:bCs/>
                <w:color w:val="auto"/>
                <w:sz w:val="24"/>
                <w:szCs w:val="24"/>
                <w:highlight w:val="none"/>
                <w:lang w:val="en-US" w:eastAsia="zh-CN"/>
              </w:rPr>
              <w:t>本项目DR室配备1台DR机，属于Ⅲ类射线装置，已取得辐射安全许可证，证书编号为渝环辐证[24078]，已取得建设项目环境影响登记表</w:t>
            </w:r>
            <w:r>
              <w:rPr>
                <w:rFonts w:hint="default" w:ascii="Times New Roman" w:hAnsi="Times New Roman" w:cs="Times New Roman"/>
                <w:color w:val="auto"/>
                <w:sz w:val="24"/>
                <w:szCs w:val="24"/>
                <w:lang w:val="en-US" w:eastAsia="zh-CN"/>
              </w:rPr>
              <w:t>。</w:t>
            </w:r>
            <w:r>
              <w:rPr>
                <w:rFonts w:hint="eastAsia" w:cs="Times New Roman"/>
                <w:b w:val="0"/>
                <w:bCs/>
                <w:color w:val="auto"/>
                <w:sz w:val="24"/>
                <w:szCs w:val="24"/>
                <w:highlight w:val="none"/>
                <w:lang w:val="en-US" w:eastAsia="zh-CN"/>
              </w:rPr>
              <w:t>该辐射设备不在本环评评价范围内。</w:t>
            </w:r>
          </w:p>
          <w:p w14:paraId="6567C2E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lang w:val="en-US" w:eastAsia="zh-CN"/>
              </w:rPr>
            </w:pPr>
            <w:r>
              <w:rPr>
                <w:rFonts w:hint="eastAsia" w:ascii="Times New Roman" w:hAnsi="Times New Roman" w:cs="Times New Roman"/>
                <w:b/>
                <w:bCs w:val="0"/>
                <w:sz w:val="24"/>
                <w:szCs w:val="24"/>
                <w:lang w:val="en-US" w:eastAsia="zh-CN"/>
              </w:rPr>
              <w:t>2.2项目概况</w:t>
            </w:r>
          </w:p>
          <w:p w14:paraId="4926382E">
            <w:pPr>
              <w:pStyle w:val="45"/>
              <w:pageBreakBefore w:val="0"/>
              <w:widowControl w:val="0"/>
              <w:kinsoku/>
              <w:wordWrap/>
              <w:overflowPunct/>
              <w:topLinePunct w:val="0"/>
              <w:autoSpaceDE/>
              <w:autoSpaceDN/>
              <w:bidi w:val="0"/>
              <w:adjustRightInd w:val="0"/>
              <w:snapToGrid w:val="0"/>
              <w:spacing w:before="0" w:after="0" w:line="360" w:lineRule="auto"/>
              <w:ind w:firstLine="480" w:firstLineChars="200"/>
              <w:jc w:val="both"/>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项目名称：</w:t>
            </w:r>
            <w:r>
              <w:rPr>
                <w:rFonts w:hint="eastAsia" w:cs="Times New Roman"/>
                <w:color w:val="000000" w:themeColor="text1"/>
                <w:sz w:val="24"/>
                <w:szCs w:val="24"/>
                <w:lang w:val="en-US" w:eastAsia="zh-CN"/>
                <w14:textFill>
                  <w14:solidFill>
                    <w14:schemeClr w14:val="tx1"/>
                  </w14:solidFill>
                </w14:textFill>
              </w:rPr>
              <w:t>璧山区贝康宠物医院建设项目</w:t>
            </w:r>
          </w:p>
          <w:p w14:paraId="34C676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建设单位：</w:t>
            </w:r>
            <w:r>
              <w:rPr>
                <w:rFonts w:hint="eastAsia" w:cs="Times New Roman"/>
                <w:b w:val="0"/>
                <w:bCs/>
                <w:sz w:val="24"/>
                <w:szCs w:val="24"/>
                <w:lang w:val="en-US" w:eastAsia="zh-CN"/>
              </w:rPr>
              <w:t>璧山区贝康宠物医院</w:t>
            </w:r>
          </w:p>
          <w:p w14:paraId="3FC5D2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sz w:val="24"/>
                <w:szCs w:val="24"/>
                <w:highlight w:val="none"/>
                <w:lang w:val="en-US" w:eastAsia="zh-CN"/>
              </w:rPr>
            </w:pPr>
            <w:r>
              <w:rPr>
                <w:rFonts w:hint="eastAsia" w:ascii="Times New Roman" w:hAnsi="Times New Roman" w:cs="Times New Roman"/>
                <w:b w:val="0"/>
                <w:bCs/>
                <w:sz w:val="24"/>
                <w:szCs w:val="24"/>
                <w:lang w:val="en-US" w:eastAsia="zh-CN"/>
              </w:rPr>
              <w:t>项目性质：</w:t>
            </w:r>
            <w:r>
              <w:rPr>
                <w:rFonts w:hint="eastAsia" w:cs="Times New Roman"/>
                <w:b w:val="0"/>
                <w:bCs/>
                <w:sz w:val="24"/>
                <w:szCs w:val="24"/>
                <w:highlight w:val="none"/>
                <w:lang w:val="en-US" w:eastAsia="zh-CN"/>
              </w:rPr>
              <w:t>扩建</w:t>
            </w:r>
          </w:p>
          <w:p w14:paraId="06D2C2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lang w:val="en-US" w:eastAsia="zh-CN"/>
              </w:rPr>
            </w:pPr>
            <w:r>
              <w:rPr>
                <w:rFonts w:hint="eastAsia" w:ascii="Times New Roman" w:hAnsi="Times New Roman" w:cs="Times New Roman"/>
                <w:b w:val="0"/>
                <w:bCs/>
                <w:sz w:val="24"/>
                <w:szCs w:val="24"/>
                <w:highlight w:val="none"/>
                <w:lang w:val="en-US" w:eastAsia="zh-CN"/>
              </w:rPr>
              <w:t>建设地点：</w:t>
            </w:r>
            <w:r>
              <w:rPr>
                <w:rFonts w:hint="eastAsia" w:cs="Times New Roman"/>
                <w:color w:val="000000" w:themeColor="text1"/>
                <w:sz w:val="24"/>
                <w:szCs w:val="24"/>
                <w:highlight w:val="none"/>
                <w:lang w:val="en-US" w:eastAsia="zh-CN"/>
                <w14:textFill>
                  <w14:solidFill>
                    <w14:schemeClr w14:val="tx1"/>
                  </w14:solidFill>
                </w14:textFill>
              </w:rPr>
              <w:t>重庆市璧山区璧泉街道东林大道67号4幢附37号（恒大绿岛新城B区4栋商业裙楼一楼和二楼）</w:t>
            </w:r>
          </w:p>
          <w:p w14:paraId="646E4A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sz w:val="24"/>
                <w:szCs w:val="24"/>
                <w:highlight w:val="none"/>
                <w:vertAlign w:val="baseline"/>
                <w:lang w:val="en-US" w:eastAsia="zh-CN"/>
              </w:rPr>
            </w:pPr>
            <w:r>
              <w:rPr>
                <w:rFonts w:hint="eastAsia" w:ascii="Times New Roman" w:hAnsi="Times New Roman" w:cs="Times New Roman"/>
                <w:b w:val="0"/>
                <w:bCs/>
                <w:sz w:val="24"/>
                <w:szCs w:val="24"/>
                <w:highlight w:val="none"/>
                <w:lang w:val="en-US" w:eastAsia="zh-CN"/>
              </w:rPr>
              <w:t>建筑面积：</w:t>
            </w:r>
            <w:r>
              <w:rPr>
                <w:rFonts w:hint="eastAsia" w:cs="Times New Roman"/>
                <w:b w:val="0"/>
                <w:bCs/>
                <w:sz w:val="24"/>
                <w:szCs w:val="24"/>
                <w:highlight w:val="none"/>
                <w:lang w:val="en-US" w:eastAsia="zh-CN"/>
              </w:rPr>
              <w:t>144</w:t>
            </w:r>
            <w:r>
              <w:rPr>
                <w:rFonts w:hint="eastAsia"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2</w:t>
            </w:r>
          </w:p>
          <w:p w14:paraId="2EE36F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sz w:val="24"/>
                <w:szCs w:val="24"/>
                <w:highlight w:val="yellow"/>
                <w:vertAlign w:val="baseline"/>
                <w:lang w:val="en-US" w:eastAsia="zh-CN"/>
              </w:rPr>
            </w:pPr>
            <w:r>
              <w:rPr>
                <w:rFonts w:hint="eastAsia" w:ascii="Times New Roman" w:hAnsi="Times New Roman" w:cs="Times New Roman"/>
                <w:b w:val="0"/>
                <w:bCs/>
                <w:sz w:val="24"/>
                <w:szCs w:val="24"/>
                <w:vertAlign w:val="baseline"/>
                <w:lang w:val="en-US" w:eastAsia="zh-CN"/>
              </w:rPr>
              <w:t>总投资：</w:t>
            </w:r>
            <w:r>
              <w:rPr>
                <w:rFonts w:hint="eastAsia" w:ascii="Times New Roman" w:hAnsi="Times New Roman" w:cs="Times New Roman"/>
                <w:b w:val="0"/>
                <w:bCs/>
                <w:sz w:val="24"/>
                <w:szCs w:val="24"/>
                <w:highlight w:val="none"/>
                <w:vertAlign w:val="baseline"/>
                <w:lang w:val="en-US" w:eastAsia="zh-CN"/>
              </w:rPr>
              <w:t>总投资</w:t>
            </w:r>
            <w:r>
              <w:rPr>
                <w:rFonts w:hint="eastAsia" w:cs="Times New Roman"/>
                <w:b w:val="0"/>
                <w:bCs/>
                <w:sz w:val="24"/>
                <w:szCs w:val="24"/>
                <w:highlight w:val="none"/>
                <w:vertAlign w:val="baseline"/>
                <w:lang w:val="en-US" w:eastAsia="zh-CN"/>
              </w:rPr>
              <w:t>25</w:t>
            </w:r>
            <w:r>
              <w:rPr>
                <w:rFonts w:hint="eastAsia" w:ascii="Times New Roman" w:hAnsi="Times New Roman" w:cs="Times New Roman"/>
                <w:b w:val="0"/>
                <w:bCs/>
                <w:sz w:val="24"/>
                <w:szCs w:val="24"/>
                <w:highlight w:val="none"/>
                <w:vertAlign w:val="baseline"/>
                <w:lang w:val="en-US" w:eastAsia="zh-CN"/>
              </w:rPr>
              <w:t>万元，其中环保工程投资</w:t>
            </w:r>
            <w:r>
              <w:rPr>
                <w:rFonts w:hint="eastAsia" w:cs="Times New Roman"/>
                <w:b w:val="0"/>
                <w:bCs/>
                <w:sz w:val="24"/>
                <w:szCs w:val="24"/>
                <w:highlight w:val="none"/>
                <w:vertAlign w:val="baseline"/>
                <w:lang w:val="en-US" w:eastAsia="zh-CN"/>
              </w:rPr>
              <w:t>0.5</w:t>
            </w:r>
            <w:r>
              <w:rPr>
                <w:rFonts w:hint="eastAsia" w:ascii="Times New Roman" w:hAnsi="Times New Roman" w:cs="Times New Roman"/>
                <w:b w:val="0"/>
                <w:bCs/>
                <w:sz w:val="24"/>
                <w:szCs w:val="24"/>
                <w:highlight w:val="none"/>
                <w:vertAlign w:val="baseline"/>
                <w:lang w:val="en-US" w:eastAsia="zh-CN"/>
              </w:rPr>
              <w:t>万，占工程总投资的</w:t>
            </w:r>
            <w:r>
              <w:rPr>
                <w:rFonts w:hint="eastAsia" w:cs="Times New Roman"/>
                <w:b w:val="0"/>
                <w:bCs/>
                <w:sz w:val="24"/>
                <w:szCs w:val="24"/>
                <w:highlight w:val="none"/>
                <w:vertAlign w:val="baseline"/>
                <w:lang w:val="en-US" w:eastAsia="zh-CN"/>
              </w:rPr>
              <w:t>2</w:t>
            </w:r>
            <w:r>
              <w:rPr>
                <w:rFonts w:hint="eastAsia" w:ascii="Times New Roman" w:hAnsi="Times New Roman" w:cs="Times New Roman"/>
                <w:b w:val="0"/>
                <w:bCs/>
                <w:sz w:val="24"/>
                <w:szCs w:val="24"/>
                <w:highlight w:val="none"/>
                <w:vertAlign w:val="baseline"/>
                <w:lang w:val="en-US" w:eastAsia="zh-CN"/>
              </w:rPr>
              <w:t>%。</w:t>
            </w:r>
          </w:p>
          <w:p w14:paraId="468EFD2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sz w:val="24"/>
                <w:szCs w:val="24"/>
                <w:highlight w:val="none"/>
                <w:vertAlign w:val="baseline"/>
                <w:lang w:val="en-US" w:eastAsia="zh-CN"/>
              </w:rPr>
            </w:pPr>
            <w:r>
              <w:rPr>
                <w:rFonts w:hint="eastAsia" w:ascii="Times New Roman" w:hAnsi="Times New Roman" w:cs="Times New Roman"/>
                <w:b w:val="0"/>
                <w:bCs/>
                <w:sz w:val="24"/>
                <w:szCs w:val="24"/>
                <w:highlight w:val="none"/>
                <w:vertAlign w:val="baseline"/>
                <w:lang w:val="en-US" w:eastAsia="zh-CN"/>
              </w:rPr>
              <w:t>建设规模：</w:t>
            </w:r>
            <w:r>
              <w:rPr>
                <w:rFonts w:hint="eastAsia" w:ascii="Times New Roman" w:hAnsi="Times New Roman" w:cs="Times New Roman"/>
                <w:b w:val="0"/>
                <w:bCs/>
                <w:color w:val="auto"/>
                <w:sz w:val="24"/>
                <w:szCs w:val="24"/>
                <w:highlight w:val="none"/>
                <w:vertAlign w:val="baseline"/>
                <w:lang w:val="en-US" w:eastAsia="zh-CN"/>
              </w:rPr>
              <w:t>在现有手术室内新增动物颅腔、胸腔和腹腔手术设施，扩充手术能力，扩建完成后，医院服务内容包括：美容、寄养、门诊、手术（含三腔手术的各类手术），</w:t>
            </w:r>
            <w:r>
              <w:rPr>
                <w:rFonts w:hint="eastAsia" w:ascii="Times New Roman" w:hAnsi="Times New Roman" w:cs="Times New Roman"/>
                <w:b w:val="0"/>
                <w:bCs/>
                <w:sz w:val="24"/>
                <w:szCs w:val="24"/>
                <w:highlight w:val="none"/>
                <w:vertAlign w:val="baseline"/>
                <w:lang w:val="en-US" w:eastAsia="zh-CN"/>
              </w:rPr>
              <w:t>门诊每天最大接诊量约</w:t>
            </w:r>
            <w:r>
              <w:rPr>
                <w:rFonts w:hint="eastAsia" w:cs="Times New Roman"/>
                <w:b w:val="0"/>
                <w:bCs/>
                <w:sz w:val="24"/>
                <w:szCs w:val="24"/>
                <w:highlight w:val="none"/>
                <w:vertAlign w:val="baseline"/>
                <w:lang w:val="en-US" w:eastAsia="zh-CN"/>
              </w:rPr>
              <w:t>14</w:t>
            </w:r>
            <w:r>
              <w:rPr>
                <w:rFonts w:hint="eastAsia" w:ascii="Times New Roman" w:hAnsi="Times New Roman" w:cs="Times New Roman"/>
                <w:b w:val="0"/>
                <w:bCs/>
                <w:sz w:val="24"/>
                <w:szCs w:val="24"/>
                <w:highlight w:val="none"/>
                <w:vertAlign w:val="baseline"/>
                <w:lang w:val="en-US" w:eastAsia="zh-CN"/>
              </w:rPr>
              <w:t>只（年最大接诊量约</w:t>
            </w:r>
            <w:r>
              <w:rPr>
                <w:rFonts w:hint="eastAsia" w:cs="Times New Roman"/>
                <w:b w:val="0"/>
                <w:bCs/>
                <w:sz w:val="24"/>
                <w:szCs w:val="24"/>
                <w:highlight w:val="none"/>
                <w:vertAlign w:val="baseline"/>
                <w:lang w:val="en-US" w:eastAsia="zh-CN"/>
              </w:rPr>
              <w:t>5110</w:t>
            </w:r>
            <w:r>
              <w:rPr>
                <w:rFonts w:hint="eastAsia" w:ascii="Times New Roman" w:hAnsi="Times New Roman" w:cs="Times New Roman"/>
                <w:b w:val="0"/>
                <w:bCs/>
                <w:sz w:val="24"/>
                <w:szCs w:val="24"/>
                <w:highlight w:val="none"/>
                <w:vertAlign w:val="baseline"/>
                <w:lang w:val="en-US" w:eastAsia="zh-CN"/>
              </w:rPr>
              <w:t>只），手术每天最大量约</w:t>
            </w:r>
            <w:r>
              <w:rPr>
                <w:rFonts w:hint="eastAsia" w:cs="Times New Roman"/>
                <w:b w:val="0"/>
                <w:bCs/>
                <w:sz w:val="24"/>
                <w:szCs w:val="24"/>
                <w:highlight w:val="none"/>
                <w:vertAlign w:val="baseline"/>
                <w:lang w:val="en-US" w:eastAsia="zh-CN"/>
              </w:rPr>
              <w:t>5</w:t>
            </w:r>
            <w:r>
              <w:rPr>
                <w:rFonts w:hint="eastAsia" w:ascii="Times New Roman" w:hAnsi="Times New Roman" w:cs="Times New Roman"/>
                <w:b w:val="0"/>
                <w:bCs/>
                <w:sz w:val="24"/>
                <w:szCs w:val="24"/>
                <w:highlight w:val="none"/>
                <w:vertAlign w:val="baseline"/>
                <w:lang w:val="en-US" w:eastAsia="zh-CN"/>
              </w:rPr>
              <w:t>台（年最大手术量约</w:t>
            </w:r>
            <w:r>
              <w:rPr>
                <w:rFonts w:hint="eastAsia" w:cs="Times New Roman"/>
                <w:b w:val="0"/>
                <w:bCs/>
                <w:sz w:val="24"/>
                <w:szCs w:val="24"/>
                <w:highlight w:val="none"/>
                <w:vertAlign w:val="baseline"/>
                <w:lang w:val="en-US" w:eastAsia="zh-CN"/>
              </w:rPr>
              <w:t>1825</w:t>
            </w:r>
            <w:r>
              <w:rPr>
                <w:rFonts w:hint="eastAsia" w:ascii="Times New Roman" w:hAnsi="Times New Roman" w:cs="Times New Roman"/>
                <w:b w:val="0"/>
                <w:bCs/>
                <w:sz w:val="24"/>
                <w:szCs w:val="24"/>
                <w:highlight w:val="none"/>
                <w:vertAlign w:val="baseline"/>
                <w:lang w:val="en-US" w:eastAsia="zh-CN"/>
              </w:rPr>
              <w:t>台）</w:t>
            </w:r>
            <w:r>
              <w:rPr>
                <w:rFonts w:hint="eastAsia" w:cs="Times New Roman"/>
                <w:b w:val="0"/>
                <w:bCs/>
                <w:sz w:val="24"/>
                <w:szCs w:val="24"/>
                <w:highlight w:val="none"/>
                <w:vertAlign w:val="baseline"/>
                <w:lang w:val="en-US" w:eastAsia="zh-CN"/>
              </w:rPr>
              <w:t>，</w:t>
            </w:r>
            <w:r>
              <w:rPr>
                <w:rFonts w:hint="eastAsia" w:ascii="Times New Roman" w:hAnsi="Times New Roman" w:cs="Times New Roman"/>
                <w:b w:val="0"/>
                <w:bCs/>
                <w:sz w:val="24"/>
                <w:szCs w:val="24"/>
                <w:highlight w:val="none"/>
                <w:vertAlign w:val="baseline"/>
                <w:lang w:val="en-US" w:eastAsia="zh-CN"/>
              </w:rPr>
              <w:t>住院最大容纳宠物</w:t>
            </w:r>
            <w:r>
              <w:rPr>
                <w:rFonts w:hint="eastAsia" w:cs="Times New Roman"/>
                <w:b w:val="0"/>
                <w:bCs/>
                <w:sz w:val="24"/>
                <w:szCs w:val="24"/>
                <w:highlight w:val="none"/>
                <w:vertAlign w:val="baseline"/>
                <w:lang w:val="en-US" w:eastAsia="zh-CN"/>
              </w:rPr>
              <w:t>26</w:t>
            </w:r>
            <w:r>
              <w:rPr>
                <w:rFonts w:hint="eastAsia" w:ascii="Times New Roman" w:hAnsi="Times New Roman" w:cs="Times New Roman"/>
                <w:b w:val="0"/>
                <w:bCs/>
                <w:sz w:val="24"/>
                <w:szCs w:val="24"/>
                <w:highlight w:val="none"/>
                <w:vertAlign w:val="baseline"/>
                <w:lang w:val="en-US" w:eastAsia="zh-CN"/>
              </w:rPr>
              <w:t>只/d。</w:t>
            </w:r>
          </w:p>
          <w:p w14:paraId="63F272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服务范围</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动物疾病预防、诊疗、手术。经本宠物医院诊断为人猫或</w:t>
            </w:r>
            <w:r>
              <w:rPr>
                <w:rFonts w:hint="eastAsia" w:cs="Times New Roman"/>
                <w:b w:val="0"/>
                <w:bCs/>
                <w:sz w:val="24"/>
                <w:szCs w:val="24"/>
                <w:highlight w:val="none"/>
                <w:vertAlign w:val="baseline"/>
                <w:lang w:val="en-US" w:eastAsia="zh-CN"/>
              </w:rPr>
              <w:t>人犬</w:t>
            </w:r>
            <w:r>
              <w:rPr>
                <w:rFonts w:hint="default" w:ascii="Times New Roman" w:hAnsi="Times New Roman" w:cs="Times New Roman"/>
                <w:b w:val="0"/>
                <w:bCs/>
                <w:sz w:val="24"/>
                <w:szCs w:val="24"/>
                <w:highlight w:val="none"/>
                <w:vertAlign w:val="baseline"/>
                <w:lang w:val="en-US" w:eastAsia="zh-CN"/>
              </w:rPr>
              <w:t>易交叉感染的病症，宠物医院将在隔离病房采取隔离措施并立即将患病动物转移至专业的传染病防治医院，严格按照《重庆市动物防疫条例</w:t>
            </w:r>
            <w:r>
              <w:rPr>
                <w:rFonts w:hint="eastAsia"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重庆市无规定动物疫病区管理办法》的相关规定进行管理。本宠物医院不接受人猫或人犬易交叉感染的病症，不接诊携带或疑似携带狂犬病毒的宠物猫犬，不接诊和寄养《重庆市农业农村委员会、重庆市公安局关于发布重庆市禁养烈性犬、攻击性犬类目录和大型犬标准</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试行</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的通告》</w:t>
            </w:r>
            <w:r>
              <w:rPr>
                <w:rFonts w:hint="eastAsia"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渝农规</w:t>
            </w:r>
            <w:r>
              <w:rPr>
                <w:rFonts w:hint="eastAsia" w:cs="Times New Roman"/>
                <w:b w:val="0"/>
                <w:bCs/>
                <w:sz w:val="24"/>
                <w:szCs w:val="24"/>
                <w:highlight w:val="none"/>
                <w:vertAlign w:val="baseline"/>
                <w:lang w:val="en-US" w:eastAsia="zh-CN"/>
              </w:rPr>
              <w:t>〔2023〕2号）</w:t>
            </w:r>
            <w:r>
              <w:rPr>
                <w:rFonts w:hint="default" w:ascii="Times New Roman" w:hAnsi="Times New Roman" w:cs="Times New Roman"/>
                <w:b w:val="0"/>
                <w:bCs/>
                <w:sz w:val="24"/>
                <w:szCs w:val="24"/>
                <w:highlight w:val="none"/>
                <w:vertAlign w:val="baseline"/>
                <w:lang w:val="en-US" w:eastAsia="zh-CN"/>
              </w:rPr>
              <w:t>中规定的危险犬只，仅对一般宠物感染病症进行隔离。经本宠物医院诊断为人猫或</w:t>
            </w:r>
            <w:r>
              <w:rPr>
                <w:rFonts w:hint="eastAsia" w:cs="Times New Roman"/>
                <w:b w:val="0"/>
                <w:bCs/>
                <w:sz w:val="24"/>
                <w:szCs w:val="24"/>
                <w:highlight w:val="none"/>
                <w:vertAlign w:val="baseline"/>
                <w:lang w:val="en-US" w:eastAsia="zh-CN"/>
              </w:rPr>
              <w:t>人犬</w:t>
            </w:r>
            <w:r>
              <w:rPr>
                <w:rFonts w:hint="default" w:ascii="Times New Roman" w:hAnsi="Times New Roman" w:cs="Times New Roman"/>
                <w:b w:val="0"/>
                <w:bCs/>
                <w:sz w:val="24"/>
                <w:szCs w:val="24"/>
                <w:highlight w:val="none"/>
                <w:vertAlign w:val="baseline"/>
                <w:lang w:val="en-US" w:eastAsia="zh-CN"/>
              </w:rPr>
              <w:t>易交叉感染的病症，宠物医院将在</w:t>
            </w:r>
            <w:r>
              <w:rPr>
                <w:rFonts w:hint="eastAsia" w:cs="Times New Roman"/>
                <w:b w:val="0"/>
                <w:bCs/>
                <w:sz w:val="24"/>
                <w:szCs w:val="24"/>
                <w:highlight w:val="none"/>
                <w:vertAlign w:val="baseline"/>
                <w:lang w:val="en-US" w:eastAsia="zh-CN"/>
              </w:rPr>
              <w:t>隔离室</w:t>
            </w:r>
            <w:r>
              <w:rPr>
                <w:rFonts w:hint="default" w:ascii="Times New Roman" w:hAnsi="Times New Roman" w:cs="Times New Roman"/>
                <w:b w:val="0"/>
                <w:bCs/>
                <w:sz w:val="24"/>
                <w:szCs w:val="24"/>
                <w:highlight w:val="none"/>
                <w:vertAlign w:val="baseline"/>
                <w:lang w:val="en-US" w:eastAsia="zh-CN"/>
              </w:rPr>
              <w:t>采取隔离措施并立即将患病动物转移至专业的传染病防治医院，严格按照《重庆市动物防疫条例</w:t>
            </w:r>
            <w:r>
              <w:rPr>
                <w:rFonts w:hint="eastAsia"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重庆市无规定动物疫病区管理办法》的相关规定进行管理。</w:t>
            </w:r>
          </w:p>
          <w:p w14:paraId="41B273E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2.3建设内容</w:t>
            </w:r>
          </w:p>
          <w:p w14:paraId="668BC2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color w:val="auto"/>
                <w:sz w:val="24"/>
                <w:szCs w:val="24"/>
                <w:highlight w:val="none"/>
                <w:vertAlign w:val="baseline"/>
                <w:lang w:val="en-US" w:eastAsia="zh-CN"/>
              </w:rPr>
            </w:pPr>
            <w:r>
              <w:rPr>
                <w:rFonts w:hint="default" w:ascii="Times New Roman" w:hAnsi="Times New Roman" w:cs="Times New Roman"/>
                <w:b w:val="0"/>
                <w:bCs/>
                <w:sz w:val="24"/>
                <w:szCs w:val="24"/>
                <w:lang w:val="en-US" w:eastAsia="zh-CN"/>
              </w:rPr>
              <w:t>项目租赁面积</w:t>
            </w:r>
            <w:r>
              <w:rPr>
                <w:rFonts w:hint="eastAsia" w:cs="Times New Roman"/>
                <w:b w:val="0"/>
                <w:bCs/>
                <w:sz w:val="24"/>
                <w:szCs w:val="24"/>
                <w:highlight w:val="none"/>
                <w:lang w:val="en-US" w:eastAsia="zh-CN"/>
              </w:rPr>
              <w:t>144</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2</w:t>
            </w:r>
            <w:r>
              <w:rPr>
                <w:rFonts w:hint="default" w:ascii="Times New Roman" w:hAnsi="Times New Roman" w:cs="Times New Roman"/>
                <w:b w:val="0"/>
                <w:bCs/>
                <w:sz w:val="24"/>
                <w:szCs w:val="24"/>
                <w:highlight w:val="none"/>
                <w:lang w:val="en-US" w:eastAsia="zh-CN"/>
              </w:rPr>
              <w:t>，共</w:t>
            </w:r>
            <w:r>
              <w:rPr>
                <w:rFonts w:hint="eastAsia" w:cs="Times New Roman"/>
                <w:b w:val="0"/>
                <w:bCs/>
                <w:sz w:val="24"/>
                <w:szCs w:val="24"/>
                <w:highlight w:val="none"/>
                <w:lang w:val="en-US" w:eastAsia="zh-CN"/>
              </w:rPr>
              <w:t>两</w:t>
            </w:r>
            <w:r>
              <w:rPr>
                <w:rFonts w:hint="default" w:ascii="Times New Roman" w:hAnsi="Times New Roman" w:cs="Times New Roman"/>
                <w:b w:val="0"/>
                <w:bCs/>
                <w:sz w:val="24"/>
                <w:szCs w:val="24"/>
                <w:highlight w:val="none"/>
                <w:lang w:val="en-US" w:eastAsia="zh-CN"/>
              </w:rPr>
              <w:t>层，</w:t>
            </w:r>
            <w:r>
              <w:rPr>
                <w:rFonts w:hint="eastAsia" w:cs="Times New Roman"/>
                <w:b w:val="0"/>
                <w:bCs/>
                <w:sz w:val="24"/>
                <w:szCs w:val="24"/>
                <w:highlight w:val="none"/>
                <w:lang w:val="en-US" w:eastAsia="zh-CN"/>
              </w:rPr>
              <w:t>一层设置有前台、诊疗室、卫生间，二层设置有住院区、化验室、药品室、隔离室、DR室和手术室。</w:t>
            </w:r>
            <w:r>
              <w:rPr>
                <w:rFonts w:hint="default" w:ascii="Times New Roman" w:hAnsi="Times New Roman" w:cs="Times New Roman"/>
                <w:b w:val="0"/>
                <w:bCs/>
                <w:color w:val="auto"/>
                <w:sz w:val="24"/>
                <w:szCs w:val="24"/>
                <w:highlight w:val="none"/>
                <w:vertAlign w:val="baseline"/>
                <w:lang w:val="en-US" w:eastAsia="zh-CN"/>
              </w:rPr>
              <w:t>本项目主要是在现有手术室内增设手术设施，扩充手术能力，扩建完成后具备动物颅腔、胸腔和腹腔手术能力。化验室主要涉及宠物血常规、尿检、粪检等，均由仪器进行检测直接出结果，使用的试剂均为成套成品试剂，不涉及试剂配备等。本项目扩建前后接诊量、住院量和手术量规模不变。</w:t>
            </w:r>
          </w:p>
          <w:p w14:paraId="4897376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项目建设组成见表 2.3-1。</w:t>
            </w:r>
          </w:p>
          <w:p w14:paraId="294A64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表2.3-1 项目组成一览表</w:t>
            </w:r>
          </w:p>
          <w:tbl>
            <w:tblPr>
              <w:tblStyle w:val="2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432"/>
              <w:gridCol w:w="1275"/>
              <w:gridCol w:w="5487"/>
              <w:gridCol w:w="528"/>
            </w:tblGrid>
            <w:tr w14:paraId="7D6B8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tcBorders>
                    <w:tl2br w:val="nil"/>
                    <w:tr2bl w:val="nil"/>
                  </w:tcBorders>
                  <w:noWrap w:val="0"/>
                  <w:vAlign w:val="center"/>
                </w:tcPr>
                <w:p w14:paraId="3EA1DEC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工程类别</w:t>
                  </w:r>
                </w:p>
              </w:tc>
              <w:tc>
                <w:tcPr>
                  <w:tcW w:w="1019" w:type="pct"/>
                  <w:gridSpan w:val="2"/>
                  <w:tcBorders>
                    <w:tl2br w:val="nil"/>
                    <w:tr2bl w:val="nil"/>
                  </w:tcBorders>
                  <w:noWrap w:val="0"/>
                  <w:vAlign w:val="center"/>
                </w:tcPr>
                <w:p w14:paraId="7765A095">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工程名称</w:t>
                  </w:r>
                </w:p>
              </w:tc>
              <w:tc>
                <w:tcPr>
                  <w:tcW w:w="3276" w:type="pct"/>
                  <w:tcBorders>
                    <w:tl2br w:val="nil"/>
                    <w:tr2bl w:val="nil"/>
                  </w:tcBorders>
                  <w:noWrap w:val="0"/>
                  <w:vAlign w:val="center"/>
                </w:tcPr>
                <w:p w14:paraId="4C24B423">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工程内容</w:t>
                  </w:r>
                </w:p>
              </w:tc>
              <w:tc>
                <w:tcPr>
                  <w:tcW w:w="315" w:type="pct"/>
                  <w:tcBorders>
                    <w:tl2br w:val="nil"/>
                    <w:tr2bl w:val="nil"/>
                  </w:tcBorders>
                  <w:noWrap w:val="0"/>
                  <w:vAlign w:val="center"/>
                </w:tcPr>
                <w:p w14:paraId="54D5B43E">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备注</w:t>
                  </w:r>
                </w:p>
              </w:tc>
            </w:tr>
            <w:tr w14:paraId="71AE3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tcBorders>
                    <w:tl2br w:val="nil"/>
                    <w:tr2bl w:val="nil"/>
                  </w:tcBorders>
                  <w:noWrap w:val="0"/>
                  <w:vAlign w:val="center"/>
                </w:tcPr>
                <w:p w14:paraId="4D11B1D3">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主体工程</w:t>
                  </w:r>
                </w:p>
              </w:tc>
              <w:tc>
                <w:tcPr>
                  <w:tcW w:w="1019" w:type="pct"/>
                  <w:gridSpan w:val="2"/>
                  <w:tcBorders>
                    <w:tl2br w:val="nil"/>
                    <w:tr2bl w:val="nil"/>
                  </w:tcBorders>
                  <w:noWrap w:val="0"/>
                  <w:vAlign w:val="center"/>
                </w:tcPr>
                <w:p w14:paraId="51C14F53">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lang w:val="en-US" w:eastAsia="zh-CN"/>
                    </w:rPr>
                  </w:pPr>
                  <w:r>
                    <w:rPr>
                      <w:rFonts w:hint="eastAsia" w:cs="Times New Roman"/>
                      <w:lang w:val="en-US" w:eastAsia="zh-CN"/>
                    </w:rPr>
                    <w:t>诊室</w:t>
                  </w:r>
                </w:p>
              </w:tc>
              <w:tc>
                <w:tcPr>
                  <w:tcW w:w="3276" w:type="pct"/>
                  <w:tcBorders>
                    <w:tl2br w:val="nil"/>
                    <w:tr2bl w:val="nil"/>
                  </w:tcBorders>
                  <w:shd w:val="clear" w:color="auto" w:fill="auto"/>
                  <w:noWrap w:val="0"/>
                  <w:vAlign w:val="center"/>
                </w:tcPr>
                <w:p w14:paraId="46E336C4">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highlight w:val="none"/>
                      <w:lang w:val="en-US" w:eastAsia="zh-CN"/>
                    </w:rPr>
                    <w:t>位于医院一楼，共设2个诊室，位于前台西侧，1#诊室建筑面积为6m</w:t>
                  </w:r>
                  <w:r>
                    <w:rPr>
                      <w:rFonts w:hint="eastAsia" w:cs="Times New Roman"/>
                      <w:highlight w:val="none"/>
                      <w:vertAlign w:val="superscript"/>
                      <w:lang w:val="en-US" w:eastAsia="zh-CN"/>
                    </w:rPr>
                    <w:t>2</w:t>
                  </w:r>
                  <w:r>
                    <w:rPr>
                      <w:rFonts w:hint="eastAsia" w:cs="Times New Roman"/>
                      <w:highlight w:val="none"/>
                      <w:lang w:val="en-US" w:eastAsia="zh-CN"/>
                    </w:rPr>
                    <w:t>；2#诊室位于1#接诊室南侧，建筑面积为6m</w:t>
                  </w:r>
                  <w:r>
                    <w:rPr>
                      <w:rFonts w:hint="eastAsia" w:cs="Times New Roman"/>
                      <w:highlight w:val="none"/>
                      <w:vertAlign w:val="superscript"/>
                      <w:lang w:val="en-US" w:eastAsia="zh-CN"/>
                    </w:rPr>
                    <w:t>2</w:t>
                  </w:r>
                  <w:r>
                    <w:rPr>
                      <w:rFonts w:hint="eastAsia" w:cs="Times New Roman"/>
                      <w:highlight w:val="none"/>
                      <w:lang w:val="en-US" w:eastAsia="zh-CN"/>
                    </w:rPr>
                    <w:t>。用于接诊检查。</w:t>
                  </w:r>
                </w:p>
              </w:tc>
              <w:tc>
                <w:tcPr>
                  <w:tcW w:w="315" w:type="pct"/>
                  <w:tcBorders>
                    <w:tl2br w:val="nil"/>
                    <w:tr2bl w:val="nil"/>
                  </w:tcBorders>
                  <w:shd w:val="clear" w:color="auto" w:fill="auto"/>
                  <w:noWrap w:val="0"/>
                  <w:vAlign w:val="center"/>
                </w:tcPr>
                <w:p w14:paraId="4EA59FEB">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662C41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3A9D5A42">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noWrap w:val="0"/>
                  <w:vAlign w:val="center"/>
                </w:tcPr>
                <w:p w14:paraId="7EA20621">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cs="Times New Roman"/>
                      <w:lang w:val="en-US" w:eastAsia="zh-CN"/>
                    </w:rPr>
                  </w:pPr>
                  <w:r>
                    <w:rPr>
                      <w:rFonts w:hint="eastAsia" w:cs="Times New Roman"/>
                      <w:lang w:val="en-US" w:eastAsia="zh-CN"/>
                    </w:rPr>
                    <w:t>住院区</w:t>
                  </w:r>
                </w:p>
              </w:tc>
              <w:tc>
                <w:tcPr>
                  <w:tcW w:w="3276" w:type="pct"/>
                  <w:tcBorders>
                    <w:tl2br w:val="nil"/>
                    <w:tr2bl w:val="nil"/>
                  </w:tcBorders>
                  <w:shd w:val="clear" w:color="auto" w:fill="auto"/>
                  <w:noWrap w:val="0"/>
                  <w:vAlign w:val="center"/>
                </w:tcPr>
                <w:p w14:paraId="742F1BF9">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highlight w:val="none"/>
                      <w:vertAlign w:val="baseline"/>
                      <w:lang w:val="en-US" w:eastAsia="zh-CN"/>
                    </w:rPr>
                  </w:pPr>
                  <w:r>
                    <w:rPr>
                      <w:rFonts w:hint="eastAsia" w:cs="Times New Roman"/>
                      <w:highlight w:val="none"/>
                      <w:lang w:val="en-US" w:eastAsia="zh-CN"/>
                    </w:rPr>
                    <w:t>位于医院二楼，设置了13个猫笼和7个狗笼，面积分别为20m</w:t>
                  </w:r>
                  <w:r>
                    <w:rPr>
                      <w:rFonts w:hint="eastAsia" w:cs="Times New Roman"/>
                      <w:highlight w:val="none"/>
                      <w:vertAlign w:val="superscript"/>
                      <w:lang w:val="en-US" w:eastAsia="zh-CN"/>
                    </w:rPr>
                    <w:t>2</w:t>
                  </w:r>
                </w:p>
              </w:tc>
              <w:tc>
                <w:tcPr>
                  <w:tcW w:w="315" w:type="pct"/>
                  <w:tcBorders>
                    <w:tl2br w:val="nil"/>
                    <w:tr2bl w:val="nil"/>
                  </w:tcBorders>
                  <w:shd w:val="clear" w:color="auto" w:fill="auto"/>
                  <w:noWrap w:val="0"/>
                  <w:vAlign w:val="center"/>
                </w:tcPr>
                <w:p w14:paraId="5EB29410">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kern w:val="2"/>
                      <w:sz w:val="21"/>
                      <w:szCs w:val="21"/>
                      <w:lang w:val="en-US" w:eastAsia="zh-CN" w:bidi="ar-SA"/>
                    </w:rPr>
                  </w:pPr>
                  <w:r>
                    <w:rPr>
                      <w:rFonts w:hint="eastAsia" w:cs="Times New Roman"/>
                      <w:lang w:val="en-US" w:eastAsia="zh-CN"/>
                    </w:rPr>
                    <w:t>已建</w:t>
                  </w:r>
                </w:p>
              </w:tc>
            </w:tr>
            <w:tr w14:paraId="4305B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0068561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noWrap w:val="0"/>
                  <w:vAlign w:val="center"/>
                </w:tcPr>
                <w:p w14:paraId="27010335">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cs="Times New Roman"/>
                      <w:lang w:val="en-US" w:eastAsia="zh-CN"/>
                    </w:rPr>
                  </w:pPr>
                  <w:r>
                    <w:rPr>
                      <w:rFonts w:hint="eastAsia" w:cs="Times New Roman"/>
                      <w:lang w:val="en-US" w:eastAsia="zh-CN"/>
                    </w:rPr>
                    <w:t>化验室</w:t>
                  </w:r>
                </w:p>
              </w:tc>
              <w:tc>
                <w:tcPr>
                  <w:tcW w:w="3276" w:type="pct"/>
                  <w:tcBorders>
                    <w:tl2br w:val="nil"/>
                    <w:tr2bl w:val="nil"/>
                  </w:tcBorders>
                  <w:shd w:val="clear" w:color="auto" w:fill="auto"/>
                  <w:noWrap w:val="0"/>
                  <w:vAlign w:val="center"/>
                </w:tcPr>
                <w:p w14:paraId="00E915D2">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highlight w:val="none"/>
                      <w:lang w:val="en-US" w:eastAsia="zh-CN"/>
                    </w:rPr>
                  </w:pPr>
                  <w:r>
                    <w:rPr>
                      <w:rFonts w:hint="eastAsia" w:cs="Times New Roman"/>
                      <w:highlight w:val="none"/>
                      <w:lang w:val="en-US" w:eastAsia="zh-CN"/>
                    </w:rPr>
                    <w:t>位于医院二楼东侧，建筑面积为4m</w:t>
                  </w:r>
                  <w:r>
                    <w:rPr>
                      <w:rFonts w:hint="eastAsia" w:cs="Times New Roman"/>
                      <w:highlight w:val="none"/>
                      <w:vertAlign w:val="superscript"/>
                      <w:lang w:val="en-US" w:eastAsia="zh-CN"/>
                    </w:rPr>
                    <w:t>2</w:t>
                  </w:r>
                  <w:r>
                    <w:rPr>
                      <w:rFonts w:hint="eastAsia" w:cs="Times New Roman"/>
                      <w:highlight w:val="none"/>
                      <w:lang w:val="en-US" w:eastAsia="zh-CN"/>
                    </w:rPr>
                    <w:t>，用于化验</w:t>
                  </w:r>
                  <w:r>
                    <w:rPr>
                      <w:rFonts w:hint="eastAsia" w:ascii="Times New Roman" w:hAnsi="Times New Roman" w:eastAsia="宋体" w:cs="Times New Roman"/>
                      <w:color w:val="auto"/>
                      <w:highlight w:val="none"/>
                      <w:lang w:val="en-US" w:eastAsia="zh-CN"/>
                    </w:rPr>
                    <w:t>宠物血常规、尿检</w:t>
                  </w:r>
                  <w:r>
                    <w:rPr>
                      <w:rFonts w:hint="eastAsia" w:cs="Times New Roman"/>
                      <w:color w:val="auto"/>
                      <w:highlight w:val="none"/>
                      <w:lang w:val="en-US" w:eastAsia="zh-CN"/>
                    </w:rPr>
                    <w:t>和</w:t>
                  </w:r>
                  <w:r>
                    <w:rPr>
                      <w:rFonts w:hint="eastAsia" w:ascii="Times New Roman" w:hAnsi="Times New Roman" w:eastAsia="宋体" w:cs="Times New Roman"/>
                      <w:color w:val="auto"/>
                      <w:highlight w:val="none"/>
                      <w:lang w:val="en-US" w:eastAsia="zh-CN"/>
                    </w:rPr>
                    <w:t>粪检</w:t>
                  </w:r>
                  <w:r>
                    <w:rPr>
                      <w:rFonts w:hint="eastAsia" w:cs="Times New Roman"/>
                      <w:color w:val="auto"/>
                      <w:highlight w:val="none"/>
                      <w:lang w:val="en-US" w:eastAsia="zh-CN"/>
                    </w:rPr>
                    <w:t>等。</w:t>
                  </w:r>
                </w:p>
              </w:tc>
              <w:tc>
                <w:tcPr>
                  <w:tcW w:w="315" w:type="pct"/>
                  <w:tcBorders>
                    <w:tl2br w:val="nil"/>
                    <w:tr2bl w:val="nil"/>
                  </w:tcBorders>
                  <w:shd w:val="clear" w:color="auto" w:fill="auto"/>
                  <w:noWrap w:val="0"/>
                  <w:vAlign w:val="center"/>
                </w:tcPr>
                <w:p w14:paraId="56BB847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lang w:val="en-US" w:eastAsia="zh-CN"/>
                    </w:rPr>
                    <w:t>已建</w:t>
                  </w:r>
                </w:p>
              </w:tc>
            </w:tr>
            <w:tr w14:paraId="27B8B8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0CA99384">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1A44054B">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kern w:val="2"/>
                      <w:sz w:val="21"/>
                      <w:szCs w:val="21"/>
                      <w:lang w:val="en-US" w:eastAsia="zh-CN" w:bidi="ar-SA"/>
                    </w:rPr>
                  </w:pPr>
                  <w:r>
                    <w:rPr>
                      <w:rFonts w:hint="eastAsia" w:cs="Times New Roman"/>
                      <w:lang w:val="en-US" w:eastAsia="zh-CN"/>
                    </w:rPr>
                    <w:t>隔离室</w:t>
                  </w:r>
                </w:p>
              </w:tc>
              <w:tc>
                <w:tcPr>
                  <w:tcW w:w="3276" w:type="pct"/>
                  <w:tcBorders>
                    <w:tl2br w:val="nil"/>
                    <w:tr2bl w:val="nil"/>
                  </w:tcBorders>
                  <w:shd w:val="clear" w:color="auto" w:fill="auto"/>
                  <w:noWrap w:val="0"/>
                  <w:vAlign w:val="center"/>
                </w:tcPr>
                <w:p w14:paraId="41C73886">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snapToGrid w:val="0"/>
                      <w:kern w:val="2"/>
                      <w:sz w:val="21"/>
                      <w:szCs w:val="21"/>
                      <w:highlight w:val="none"/>
                      <w:lang w:val="en-US" w:eastAsia="zh-CN" w:bidi="ar-SA"/>
                    </w:rPr>
                  </w:pPr>
                  <w:r>
                    <w:rPr>
                      <w:rFonts w:hint="eastAsia" w:cs="Times New Roman"/>
                      <w:highlight w:val="none"/>
                      <w:lang w:val="en-US" w:eastAsia="zh-CN"/>
                    </w:rPr>
                    <w:t>位于医院二楼东侧，隔离室南侧，</w:t>
                  </w:r>
                  <w:r>
                    <w:rPr>
                      <w:rFonts w:hint="eastAsia" w:ascii="Times New Roman" w:hAnsi="Times New Roman" w:eastAsia="宋体" w:cs="Times New Roman"/>
                      <w:highlight w:val="none"/>
                      <w:lang w:val="en-US" w:eastAsia="zh-CN"/>
                    </w:rPr>
                    <w:t>建筑面积</w:t>
                  </w:r>
                  <w:r>
                    <w:rPr>
                      <w:rFonts w:hint="eastAsia" w:cs="Times New Roman"/>
                      <w:highlight w:val="none"/>
                      <w:lang w:val="en-US" w:eastAsia="zh-CN"/>
                    </w:rPr>
                    <w:t>为4</w:t>
                  </w:r>
                  <w:r>
                    <w:rPr>
                      <w:rFonts w:hint="default" w:ascii="Times New Roman" w:hAnsi="Times New Roman" w:eastAsia="宋体" w:cs="Times New Roman"/>
                      <w:highlight w:val="none"/>
                      <w:lang w:val="en-US" w:eastAsia="zh-CN"/>
                    </w:rPr>
                    <w:t>m</w:t>
                  </w:r>
                  <w:r>
                    <w:rPr>
                      <w:rFonts w:hint="default" w:ascii="Times New Roman" w:hAnsi="Times New Roman" w:eastAsia="宋体" w:cs="Times New Roman"/>
                      <w:highlight w:val="none"/>
                      <w:vertAlign w:val="superscript"/>
                      <w:lang w:val="en-US" w:eastAsia="zh-CN"/>
                    </w:rPr>
                    <w:t>2</w:t>
                  </w:r>
                  <w:r>
                    <w:rPr>
                      <w:rFonts w:hint="eastAsia" w:cs="Times New Roman"/>
                      <w:highlight w:val="none"/>
                      <w:vertAlign w:val="baseline"/>
                      <w:lang w:val="en-US" w:eastAsia="zh-CN"/>
                    </w:rPr>
                    <w:t>，主要设置</w:t>
                  </w:r>
                  <w:r>
                    <w:rPr>
                      <w:rFonts w:hint="eastAsia" w:cs="Times New Roman"/>
                      <w:highlight w:val="none"/>
                      <w:lang w:val="en-US" w:eastAsia="zh-CN"/>
                    </w:rPr>
                    <w:t>6</w:t>
                  </w:r>
                  <w:r>
                    <w:rPr>
                      <w:rFonts w:hint="eastAsia" w:ascii="Times New Roman" w:hAnsi="Times New Roman" w:eastAsia="宋体" w:cs="Times New Roman"/>
                      <w:highlight w:val="none"/>
                      <w:lang w:val="en-US" w:eastAsia="zh-CN"/>
                    </w:rPr>
                    <w:t>个</w:t>
                  </w:r>
                  <w:r>
                    <w:rPr>
                      <w:rFonts w:hint="eastAsia" w:cs="Times New Roman"/>
                      <w:highlight w:val="none"/>
                      <w:lang w:val="en-US" w:eastAsia="zh-CN"/>
                    </w:rPr>
                    <w:t>隔离笼。</w:t>
                  </w:r>
                </w:p>
              </w:tc>
              <w:tc>
                <w:tcPr>
                  <w:tcW w:w="315" w:type="pct"/>
                  <w:tcBorders>
                    <w:tl2br w:val="nil"/>
                    <w:tr2bl w:val="nil"/>
                  </w:tcBorders>
                  <w:shd w:val="clear" w:color="auto" w:fill="auto"/>
                  <w:noWrap w:val="0"/>
                  <w:vAlign w:val="center"/>
                </w:tcPr>
                <w:p w14:paraId="0080ABE5">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kern w:val="2"/>
                      <w:sz w:val="21"/>
                      <w:szCs w:val="21"/>
                      <w:lang w:val="en-US" w:eastAsia="zh-CN" w:bidi="ar-SA"/>
                    </w:rPr>
                  </w:pPr>
                  <w:r>
                    <w:rPr>
                      <w:rFonts w:hint="eastAsia" w:cs="Times New Roman"/>
                      <w:lang w:val="en-US" w:eastAsia="zh-CN"/>
                    </w:rPr>
                    <w:t>已建</w:t>
                  </w:r>
                </w:p>
              </w:tc>
            </w:tr>
            <w:tr w14:paraId="0B82E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20DBD5F6">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61310C74">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lang w:val="en-US" w:eastAsia="zh-CN"/>
                    </w:rPr>
                  </w:pPr>
                  <w:r>
                    <w:rPr>
                      <w:rFonts w:hint="eastAsia" w:cs="Times New Roman"/>
                      <w:lang w:val="en-US" w:eastAsia="zh-CN"/>
                    </w:rPr>
                    <w:t>DR室</w:t>
                  </w:r>
                </w:p>
              </w:tc>
              <w:tc>
                <w:tcPr>
                  <w:tcW w:w="3276" w:type="pct"/>
                  <w:tcBorders>
                    <w:tl2br w:val="nil"/>
                    <w:tr2bl w:val="nil"/>
                  </w:tcBorders>
                  <w:shd w:val="clear" w:color="auto" w:fill="auto"/>
                  <w:noWrap w:val="0"/>
                  <w:vAlign w:val="center"/>
                </w:tcPr>
                <w:p w14:paraId="637B7462">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highlight w:val="none"/>
                      <w:lang w:val="en-US" w:eastAsia="zh-CN"/>
                    </w:rPr>
                  </w:pPr>
                  <w:r>
                    <w:rPr>
                      <w:rFonts w:hint="eastAsia" w:cs="Times New Roman"/>
                      <w:highlight w:val="none"/>
                      <w:lang w:val="en-US" w:eastAsia="zh-CN"/>
                    </w:rPr>
                    <w:t>位于医院北侧，隔离室南侧，</w:t>
                  </w:r>
                  <w:r>
                    <w:rPr>
                      <w:rFonts w:hint="eastAsia" w:ascii="Times New Roman" w:hAnsi="Times New Roman" w:eastAsia="宋体" w:cs="Times New Roman"/>
                      <w:highlight w:val="none"/>
                      <w:lang w:val="en-US" w:eastAsia="zh-CN"/>
                    </w:rPr>
                    <w:t>建筑面积</w:t>
                  </w:r>
                  <w:r>
                    <w:rPr>
                      <w:rFonts w:hint="eastAsia" w:cs="Times New Roman"/>
                      <w:highlight w:val="none"/>
                      <w:lang w:val="en-US" w:eastAsia="zh-CN"/>
                    </w:rPr>
                    <w:t>为5</w:t>
                  </w:r>
                  <w:r>
                    <w:rPr>
                      <w:rFonts w:hint="default" w:ascii="Times New Roman" w:hAnsi="Times New Roman" w:eastAsia="宋体" w:cs="Times New Roman"/>
                      <w:highlight w:val="none"/>
                      <w:lang w:val="en-US" w:eastAsia="zh-CN"/>
                    </w:rPr>
                    <w:t>m</w:t>
                  </w:r>
                  <w:r>
                    <w:rPr>
                      <w:rFonts w:hint="default" w:ascii="Times New Roman" w:hAnsi="Times New Roman" w:eastAsia="宋体" w:cs="Times New Roman"/>
                      <w:highlight w:val="none"/>
                      <w:vertAlign w:val="superscript"/>
                      <w:lang w:val="en-US" w:eastAsia="zh-CN"/>
                    </w:rPr>
                    <w:t>2</w:t>
                  </w:r>
                  <w:r>
                    <w:rPr>
                      <w:rFonts w:hint="eastAsia" w:cs="Times New Roman"/>
                      <w:highlight w:val="none"/>
                      <w:vertAlign w:val="baseline"/>
                      <w:lang w:val="en-US" w:eastAsia="zh-CN"/>
                    </w:rPr>
                    <w:t>，用于DR检查和超声检查。</w:t>
                  </w:r>
                </w:p>
              </w:tc>
              <w:tc>
                <w:tcPr>
                  <w:tcW w:w="315" w:type="pct"/>
                  <w:tcBorders>
                    <w:tl2br w:val="nil"/>
                    <w:tr2bl w:val="nil"/>
                  </w:tcBorders>
                  <w:shd w:val="clear" w:color="auto" w:fill="auto"/>
                  <w:noWrap w:val="0"/>
                  <w:vAlign w:val="center"/>
                </w:tcPr>
                <w:p w14:paraId="7D46F9FE">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kern w:val="2"/>
                      <w:sz w:val="21"/>
                      <w:szCs w:val="21"/>
                      <w:lang w:val="en-US" w:eastAsia="zh-CN" w:bidi="ar-SA"/>
                    </w:rPr>
                  </w:pPr>
                  <w:r>
                    <w:rPr>
                      <w:rFonts w:hint="eastAsia" w:cs="Times New Roman"/>
                      <w:lang w:val="en-US" w:eastAsia="zh-CN"/>
                    </w:rPr>
                    <w:t>已建</w:t>
                  </w:r>
                </w:p>
              </w:tc>
            </w:tr>
            <w:tr w14:paraId="52F39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88" w:type="pct"/>
                  <w:vMerge w:val="continue"/>
                  <w:tcBorders>
                    <w:tl2br w:val="nil"/>
                    <w:tr2bl w:val="nil"/>
                  </w:tcBorders>
                  <w:noWrap w:val="0"/>
                  <w:vAlign w:val="center"/>
                </w:tcPr>
                <w:p w14:paraId="5AE2312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56F1708C">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lang w:val="en-US" w:eastAsia="zh-CN"/>
                    </w:rPr>
                    <w:t>手术</w:t>
                  </w:r>
                  <w:r>
                    <w:rPr>
                      <w:rFonts w:hint="eastAsia" w:cs="Times New Roman"/>
                      <w:lang w:val="en-US" w:eastAsia="zh-CN"/>
                    </w:rPr>
                    <w:t>室</w:t>
                  </w:r>
                </w:p>
              </w:tc>
              <w:tc>
                <w:tcPr>
                  <w:tcW w:w="3276" w:type="pct"/>
                  <w:tcBorders>
                    <w:tl2br w:val="nil"/>
                    <w:tr2bl w:val="nil"/>
                  </w:tcBorders>
                  <w:shd w:val="clear" w:color="auto" w:fill="auto"/>
                  <w:noWrap w:val="0"/>
                  <w:vAlign w:val="center"/>
                </w:tcPr>
                <w:p w14:paraId="658023F9">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cs="Times New Roman"/>
                      <w:highlight w:val="none"/>
                      <w:lang w:val="en-US" w:eastAsia="zh-CN"/>
                    </w:rPr>
                    <w:t>位于医院北侧，DR室南侧，</w:t>
                  </w:r>
                  <w:r>
                    <w:rPr>
                      <w:rFonts w:hint="eastAsia" w:ascii="Times New Roman" w:hAnsi="Times New Roman" w:eastAsia="宋体" w:cs="Times New Roman"/>
                      <w:highlight w:val="none"/>
                      <w:lang w:val="en-US" w:eastAsia="zh-CN"/>
                    </w:rPr>
                    <w:t>建筑面积</w:t>
                  </w:r>
                  <w:r>
                    <w:rPr>
                      <w:rFonts w:hint="eastAsia" w:cs="Times New Roman"/>
                      <w:highlight w:val="none"/>
                      <w:lang w:val="en-US" w:eastAsia="zh-CN"/>
                    </w:rPr>
                    <w:t>为10</w:t>
                  </w:r>
                  <w:r>
                    <w:rPr>
                      <w:rFonts w:hint="default" w:ascii="Times New Roman" w:hAnsi="Times New Roman" w:eastAsia="宋体" w:cs="Times New Roman"/>
                      <w:highlight w:val="none"/>
                      <w:lang w:val="en-US" w:eastAsia="zh-CN"/>
                    </w:rPr>
                    <w:t>m</w:t>
                  </w:r>
                  <w:r>
                    <w:rPr>
                      <w:rFonts w:hint="default" w:ascii="Times New Roman" w:hAnsi="Times New Roman" w:eastAsia="宋体" w:cs="Times New Roman"/>
                      <w:highlight w:val="none"/>
                      <w:vertAlign w:val="superscript"/>
                      <w:lang w:val="en-US" w:eastAsia="zh-CN"/>
                    </w:rPr>
                    <w:t>2</w:t>
                  </w:r>
                  <w:r>
                    <w:rPr>
                      <w:rFonts w:hint="default" w:ascii="Times New Roman" w:hAnsi="Times New Roman" w:eastAsia="宋体" w:cs="Times New Roman"/>
                      <w:color w:val="auto"/>
                      <w:sz w:val="21"/>
                      <w:highlight w:val="none"/>
                      <w:lang w:val="en-US" w:eastAsia="zh-CN"/>
                    </w:rPr>
                    <w:t>，</w:t>
                  </w:r>
                  <w:r>
                    <w:rPr>
                      <w:rFonts w:hint="eastAsia" w:cs="Times New Roman"/>
                      <w:color w:val="auto"/>
                      <w:sz w:val="21"/>
                      <w:highlight w:val="none"/>
                      <w:lang w:val="en-US" w:eastAsia="zh-CN"/>
                    </w:rPr>
                    <w:t>新增麻醉机、监护仪等设备，</w:t>
                  </w:r>
                  <w:r>
                    <w:rPr>
                      <w:rFonts w:hint="eastAsia" w:ascii="Times New Roman" w:hAnsi="Times New Roman" w:eastAsia="宋体" w:cs="Times New Roman"/>
                      <w:color w:val="auto"/>
                      <w:sz w:val="21"/>
                      <w:highlight w:val="none"/>
                      <w:lang w:val="en-US" w:eastAsia="zh-CN"/>
                    </w:rPr>
                    <w:t>用于含三腔手术在内的手术。</w:t>
                  </w:r>
                </w:p>
              </w:tc>
              <w:tc>
                <w:tcPr>
                  <w:tcW w:w="315" w:type="pct"/>
                  <w:tcBorders>
                    <w:tl2br w:val="nil"/>
                    <w:tr2bl w:val="nil"/>
                  </w:tcBorders>
                  <w:shd w:val="clear" w:color="auto" w:fill="auto"/>
                  <w:noWrap w:val="0"/>
                  <w:vAlign w:val="center"/>
                </w:tcPr>
                <w:p w14:paraId="5CC4E7D4">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cs="Times New Roman"/>
                      <w:lang w:val="en-US" w:eastAsia="zh-CN"/>
                    </w:rPr>
                  </w:pPr>
                  <w:r>
                    <w:rPr>
                      <w:rFonts w:hint="eastAsia" w:cs="Times New Roman"/>
                      <w:lang w:val="en-US" w:eastAsia="zh-CN"/>
                    </w:rPr>
                    <w:t>已建+</w:t>
                  </w:r>
                </w:p>
                <w:p w14:paraId="6786FE52">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新建</w:t>
                  </w:r>
                </w:p>
              </w:tc>
            </w:tr>
            <w:tr w14:paraId="7A745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tcBorders>
                    <w:tl2br w:val="nil"/>
                    <w:tr2bl w:val="nil"/>
                  </w:tcBorders>
                  <w:noWrap w:val="0"/>
                  <w:vAlign w:val="center"/>
                </w:tcPr>
                <w:p w14:paraId="24AED57F">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储运工程</w:t>
                  </w:r>
                </w:p>
              </w:tc>
              <w:tc>
                <w:tcPr>
                  <w:tcW w:w="1019" w:type="pct"/>
                  <w:gridSpan w:val="2"/>
                  <w:tcBorders>
                    <w:tl2br w:val="nil"/>
                    <w:tr2bl w:val="nil"/>
                  </w:tcBorders>
                  <w:shd w:val="clear" w:color="auto" w:fill="auto"/>
                  <w:noWrap w:val="0"/>
                  <w:vAlign w:val="center"/>
                </w:tcPr>
                <w:p w14:paraId="676015BA">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ascii="Times New Roman" w:hAnsi="Times New Roman" w:eastAsia="宋体" w:cs="Times New Roman"/>
                      <w:snapToGrid w:val="0"/>
                      <w:kern w:val="2"/>
                      <w:sz w:val="21"/>
                      <w:szCs w:val="21"/>
                      <w:highlight w:val="none"/>
                      <w:lang w:val="en-US" w:eastAsia="zh-CN" w:bidi="ar-SA"/>
                    </w:rPr>
                    <w:t>药房</w:t>
                  </w:r>
                </w:p>
              </w:tc>
              <w:tc>
                <w:tcPr>
                  <w:tcW w:w="3276" w:type="pct"/>
                  <w:tcBorders>
                    <w:tl2br w:val="nil"/>
                    <w:tr2bl w:val="nil"/>
                  </w:tcBorders>
                  <w:shd w:val="clear" w:color="auto" w:fill="auto"/>
                  <w:noWrap w:val="0"/>
                  <w:vAlign w:val="center"/>
                </w:tcPr>
                <w:p w14:paraId="0EE0788A">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highlight w:val="none"/>
                      <w:lang w:val="en-US" w:eastAsia="zh-CN"/>
                    </w:rPr>
                  </w:pPr>
                  <w:r>
                    <w:rPr>
                      <w:rFonts w:hint="eastAsia" w:cs="Times New Roman"/>
                      <w:highlight w:val="none"/>
                      <w:lang w:val="en-US" w:eastAsia="zh-CN"/>
                    </w:rPr>
                    <w:t>位于化验室南侧，面积为4m</w:t>
                  </w:r>
                  <w:r>
                    <w:rPr>
                      <w:rFonts w:hint="eastAsia" w:cs="Times New Roman"/>
                      <w:highlight w:val="none"/>
                      <w:vertAlign w:val="superscript"/>
                      <w:lang w:val="en-US" w:eastAsia="zh-CN"/>
                    </w:rPr>
                    <w:t>2</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主要用于药品医疗</w:t>
                  </w:r>
                  <w:r>
                    <w:rPr>
                      <w:rFonts w:hint="eastAsia" w:cs="Times New Roman"/>
                      <w:highlight w:val="none"/>
                      <w:lang w:val="en-US" w:eastAsia="zh-CN"/>
                    </w:rPr>
                    <w:t>等</w:t>
                  </w:r>
                  <w:r>
                    <w:rPr>
                      <w:rFonts w:hint="eastAsia" w:ascii="Times New Roman" w:hAnsi="Times New Roman" w:eastAsia="宋体" w:cs="Times New Roman"/>
                      <w:highlight w:val="none"/>
                      <w:lang w:val="en-US" w:eastAsia="zh-CN"/>
                    </w:rPr>
                    <w:t>耗材的暂存。</w:t>
                  </w:r>
                </w:p>
              </w:tc>
              <w:tc>
                <w:tcPr>
                  <w:tcW w:w="315" w:type="pct"/>
                  <w:tcBorders>
                    <w:tl2br w:val="nil"/>
                    <w:tr2bl w:val="nil"/>
                  </w:tcBorders>
                  <w:shd w:val="clear" w:color="auto" w:fill="auto"/>
                  <w:noWrap w:val="0"/>
                  <w:vAlign w:val="center"/>
                </w:tcPr>
                <w:p w14:paraId="2CD73A7F">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lang w:val="en-US" w:eastAsia="zh-CN"/>
                    </w:rPr>
                  </w:pPr>
                  <w:r>
                    <w:rPr>
                      <w:rFonts w:hint="eastAsia" w:cs="Times New Roman"/>
                      <w:lang w:val="en-US" w:eastAsia="zh-CN"/>
                    </w:rPr>
                    <w:t>已建</w:t>
                  </w:r>
                </w:p>
              </w:tc>
            </w:tr>
            <w:tr w14:paraId="7FE06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4C07CF50">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ascii="Times New Roman" w:hAnsi="Times New Roman" w:eastAsia="宋体" w:cs="Times New Roman"/>
                      <w:lang w:val="en-US" w:eastAsia="zh-CN"/>
                    </w:rPr>
                  </w:pPr>
                </w:p>
              </w:tc>
              <w:tc>
                <w:tcPr>
                  <w:tcW w:w="1019" w:type="pct"/>
                  <w:gridSpan w:val="2"/>
                  <w:tcBorders>
                    <w:tl2br w:val="nil"/>
                    <w:tr2bl w:val="nil"/>
                  </w:tcBorders>
                  <w:shd w:val="clear" w:color="auto" w:fill="auto"/>
                  <w:noWrap w:val="0"/>
                  <w:vAlign w:val="center"/>
                </w:tcPr>
                <w:p w14:paraId="3C9A38A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cs="Times New Roman"/>
                      <w:snapToGrid w:val="0"/>
                      <w:kern w:val="2"/>
                      <w:sz w:val="21"/>
                      <w:szCs w:val="21"/>
                      <w:highlight w:val="none"/>
                      <w:lang w:val="en-US" w:eastAsia="zh-CN" w:bidi="ar-SA"/>
                    </w:rPr>
                    <w:t>取药室</w:t>
                  </w:r>
                </w:p>
              </w:tc>
              <w:tc>
                <w:tcPr>
                  <w:tcW w:w="3276" w:type="pct"/>
                  <w:tcBorders>
                    <w:tl2br w:val="nil"/>
                    <w:tr2bl w:val="nil"/>
                  </w:tcBorders>
                  <w:shd w:val="clear" w:color="auto" w:fill="auto"/>
                  <w:noWrap w:val="0"/>
                  <w:vAlign w:val="center"/>
                </w:tcPr>
                <w:p w14:paraId="191D316F">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cs="Times New Roman"/>
                      <w:highlight w:val="none"/>
                      <w:vertAlign w:val="baseline"/>
                      <w:lang w:val="en-US" w:eastAsia="zh-CN"/>
                    </w:rPr>
                  </w:pPr>
                  <w:r>
                    <w:rPr>
                      <w:rFonts w:hint="eastAsia" w:cs="Times New Roman"/>
                      <w:highlight w:val="none"/>
                      <w:lang w:val="en-US" w:eastAsia="zh-CN"/>
                    </w:rPr>
                    <w:t>位于厕所南侧的楼梯下方，面积约4m</w:t>
                  </w:r>
                  <w:r>
                    <w:rPr>
                      <w:rFonts w:hint="eastAsia" w:cs="Times New Roman"/>
                      <w:highlight w:val="none"/>
                      <w:vertAlign w:val="superscript"/>
                      <w:lang w:val="en-US" w:eastAsia="zh-CN"/>
                    </w:rPr>
                    <w:t>2</w:t>
                  </w:r>
                  <w:r>
                    <w:rPr>
                      <w:rFonts w:hint="eastAsia" w:cs="Times New Roman"/>
                      <w:highlight w:val="none"/>
                      <w:vertAlign w:val="baseline"/>
                      <w:lang w:val="en-US" w:eastAsia="zh-CN"/>
                    </w:rPr>
                    <w:t>，主要用于药物暂存和杂物暂存。</w:t>
                  </w:r>
                </w:p>
              </w:tc>
              <w:tc>
                <w:tcPr>
                  <w:tcW w:w="315" w:type="pct"/>
                  <w:tcBorders>
                    <w:tl2br w:val="nil"/>
                    <w:tr2bl w:val="nil"/>
                  </w:tcBorders>
                  <w:shd w:val="clear" w:color="auto" w:fill="auto"/>
                  <w:noWrap w:val="0"/>
                  <w:vAlign w:val="center"/>
                </w:tcPr>
                <w:p w14:paraId="680A2EAD">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cs="Times New Roman"/>
                      <w:lang w:val="en-US" w:eastAsia="zh-CN"/>
                    </w:rPr>
                  </w:pPr>
                  <w:r>
                    <w:rPr>
                      <w:rFonts w:hint="eastAsia" w:cs="Times New Roman"/>
                      <w:lang w:val="en-US" w:eastAsia="zh-CN"/>
                    </w:rPr>
                    <w:t>已建</w:t>
                  </w:r>
                </w:p>
              </w:tc>
            </w:tr>
            <w:tr w14:paraId="4490C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3BCF9055">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7BED55D7">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ascii="Times New Roman" w:hAnsi="Times New Roman" w:eastAsia="宋体" w:cs="Times New Roman"/>
                      <w:snapToGrid w:val="0"/>
                      <w:kern w:val="2"/>
                      <w:sz w:val="21"/>
                      <w:szCs w:val="21"/>
                      <w:highlight w:val="none"/>
                      <w:lang w:val="en-US" w:eastAsia="zh-CN" w:bidi="ar-SA"/>
                    </w:rPr>
                    <w:t>化验耗材暂存</w:t>
                  </w:r>
                  <w:r>
                    <w:rPr>
                      <w:rFonts w:hint="eastAsia" w:cs="Times New Roman"/>
                      <w:snapToGrid w:val="0"/>
                      <w:kern w:val="2"/>
                      <w:sz w:val="21"/>
                      <w:szCs w:val="21"/>
                      <w:highlight w:val="none"/>
                      <w:lang w:val="en-US" w:eastAsia="zh-CN" w:bidi="ar-SA"/>
                    </w:rPr>
                    <w:t>柜</w:t>
                  </w:r>
                </w:p>
              </w:tc>
              <w:tc>
                <w:tcPr>
                  <w:tcW w:w="3276" w:type="pct"/>
                  <w:tcBorders>
                    <w:tl2br w:val="nil"/>
                    <w:tr2bl w:val="nil"/>
                  </w:tcBorders>
                  <w:shd w:val="clear" w:color="auto" w:fill="auto"/>
                  <w:noWrap w:val="0"/>
                  <w:vAlign w:val="center"/>
                </w:tcPr>
                <w:p w14:paraId="48E12A6C">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位于</w:t>
                  </w:r>
                  <w:r>
                    <w:rPr>
                      <w:rFonts w:hint="eastAsia" w:cs="Times New Roman"/>
                      <w:highlight w:val="none"/>
                      <w:lang w:val="en-US" w:eastAsia="zh-CN"/>
                    </w:rPr>
                    <w:t>化验室内，</w:t>
                  </w:r>
                  <w:r>
                    <w:rPr>
                      <w:rFonts w:hint="eastAsia" w:ascii="Times New Roman" w:hAnsi="Times New Roman" w:eastAsia="宋体" w:cs="Times New Roman"/>
                      <w:highlight w:val="none"/>
                      <w:lang w:val="en-US" w:eastAsia="zh-CN"/>
                    </w:rPr>
                    <w:t>主要用于化验耗材的暂存。</w:t>
                  </w:r>
                </w:p>
              </w:tc>
              <w:tc>
                <w:tcPr>
                  <w:tcW w:w="315" w:type="pct"/>
                  <w:tcBorders>
                    <w:tl2br w:val="nil"/>
                    <w:tr2bl w:val="nil"/>
                  </w:tcBorders>
                  <w:shd w:val="clear" w:color="auto" w:fill="auto"/>
                  <w:noWrap w:val="0"/>
                  <w:vAlign w:val="center"/>
                </w:tcPr>
                <w:p w14:paraId="5F5B8445">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lang w:val="en-US" w:eastAsia="zh-CN"/>
                    </w:rPr>
                  </w:pPr>
                  <w:r>
                    <w:rPr>
                      <w:rFonts w:hint="eastAsia" w:cs="Times New Roman"/>
                      <w:lang w:val="en-US" w:eastAsia="zh-CN"/>
                    </w:rPr>
                    <w:t>已建</w:t>
                  </w:r>
                </w:p>
              </w:tc>
            </w:tr>
            <w:tr w14:paraId="2647B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tcBorders>
                    <w:tl2br w:val="nil"/>
                    <w:tr2bl w:val="nil"/>
                  </w:tcBorders>
                  <w:noWrap w:val="0"/>
                  <w:vAlign w:val="center"/>
                </w:tcPr>
                <w:p w14:paraId="239C646C">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辅助工程</w:t>
                  </w:r>
                </w:p>
              </w:tc>
              <w:tc>
                <w:tcPr>
                  <w:tcW w:w="1019" w:type="pct"/>
                  <w:gridSpan w:val="2"/>
                  <w:tcBorders>
                    <w:tl2br w:val="nil"/>
                    <w:tr2bl w:val="nil"/>
                  </w:tcBorders>
                  <w:noWrap w:val="0"/>
                  <w:vAlign w:val="center"/>
                </w:tcPr>
                <w:p w14:paraId="2E84AEF1">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highlight w:val="none"/>
                      <w:lang w:val="en-US" w:eastAsia="zh-CN"/>
                    </w:rPr>
                  </w:pPr>
                  <w:r>
                    <w:rPr>
                      <w:rFonts w:hint="eastAsia" w:cs="Times New Roman"/>
                      <w:highlight w:val="none"/>
                      <w:lang w:val="en-US" w:eastAsia="zh-CN"/>
                    </w:rPr>
                    <w:t>前台</w:t>
                  </w:r>
                </w:p>
              </w:tc>
              <w:tc>
                <w:tcPr>
                  <w:tcW w:w="3276" w:type="pct"/>
                  <w:tcBorders>
                    <w:tl2br w:val="nil"/>
                    <w:tr2bl w:val="nil"/>
                  </w:tcBorders>
                  <w:noWrap w:val="0"/>
                  <w:vAlign w:val="center"/>
                </w:tcPr>
                <w:p w14:paraId="59759E95">
                  <w:pPr>
                    <w:pStyle w:val="48"/>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位于医院</w:t>
                  </w:r>
                  <w:r>
                    <w:rPr>
                      <w:rFonts w:hint="eastAsia" w:cs="Times New Roman"/>
                      <w:highlight w:val="none"/>
                      <w:lang w:val="en-US" w:eastAsia="zh-CN"/>
                    </w:rPr>
                    <w:t>二楼北</w:t>
                  </w:r>
                  <w:r>
                    <w:rPr>
                      <w:rFonts w:hint="eastAsia" w:ascii="Times New Roman" w:hAnsi="Times New Roman" w:eastAsia="宋体" w:cs="Times New Roman"/>
                      <w:highlight w:val="none"/>
                      <w:lang w:val="en-US" w:eastAsia="zh-CN"/>
                    </w:rPr>
                    <w:t>侧，主要用于接待顾客和员工休息。</w:t>
                  </w:r>
                </w:p>
              </w:tc>
              <w:tc>
                <w:tcPr>
                  <w:tcW w:w="315" w:type="pct"/>
                  <w:tcBorders>
                    <w:tl2br w:val="nil"/>
                    <w:tr2bl w:val="nil"/>
                  </w:tcBorders>
                  <w:noWrap w:val="0"/>
                  <w:vAlign w:val="center"/>
                </w:tcPr>
                <w:p w14:paraId="57D31F71">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lang w:eastAsia="zh-CN"/>
                    </w:rPr>
                  </w:pPr>
                  <w:r>
                    <w:rPr>
                      <w:rFonts w:hint="eastAsia" w:cs="Times New Roman"/>
                      <w:lang w:val="en-US" w:eastAsia="zh-CN"/>
                    </w:rPr>
                    <w:t>已建</w:t>
                  </w:r>
                </w:p>
              </w:tc>
            </w:tr>
            <w:tr w14:paraId="4D78F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695B841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noWrap w:val="0"/>
                  <w:vAlign w:val="center"/>
                </w:tcPr>
                <w:p w14:paraId="4C3AB915">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卫生间</w:t>
                  </w:r>
                </w:p>
              </w:tc>
              <w:tc>
                <w:tcPr>
                  <w:tcW w:w="3276" w:type="pct"/>
                  <w:tcBorders>
                    <w:tl2br w:val="nil"/>
                    <w:tr2bl w:val="nil"/>
                  </w:tcBorders>
                  <w:noWrap w:val="0"/>
                  <w:vAlign w:val="center"/>
                </w:tcPr>
                <w:p w14:paraId="14C36790">
                  <w:pPr>
                    <w:pStyle w:val="48"/>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highlight w:val="none"/>
                      <w:lang w:val="en-US" w:eastAsia="zh-CN"/>
                    </w:rPr>
                    <w:t>位于医院</w:t>
                  </w:r>
                  <w:r>
                    <w:rPr>
                      <w:rFonts w:hint="eastAsia" w:cs="Times New Roman"/>
                      <w:highlight w:val="none"/>
                      <w:lang w:val="en-US" w:eastAsia="zh-CN"/>
                    </w:rPr>
                    <w:t>一楼西南角</w:t>
                  </w:r>
                  <w:r>
                    <w:rPr>
                      <w:rFonts w:hint="eastAsia" w:ascii="Times New Roman" w:hAnsi="Times New Roman" w:eastAsia="宋体" w:cs="Times New Roman"/>
                      <w:highlight w:val="none"/>
                      <w:lang w:val="en-US" w:eastAsia="zh-CN"/>
                    </w:rPr>
                    <w:t>，建筑面积</w:t>
                  </w:r>
                  <w:r>
                    <w:rPr>
                      <w:rFonts w:hint="eastAsia" w:cs="Times New Roman"/>
                      <w:highlight w:val="none"/>
                      <w:lang w:val="en-US" w:eastAsia="zh-CN"/>
                    </w:rPr>
                    <w:t>为3</w:t>
                  </w:r>
                  <w:r>
                    <w:rPr>
                      <w:rFonts w:hint="default" w:ascii="Times New Roman" w:hAnsi="Times New Roman" w:eastAsia="宋体" w:cs="Times New Roman"/>
                      <w:highlight w:val="none"/>
                      <w:lang w:val="en-US" w:eastAsia="zh-CN"/>
                    </w:rPr>
                    <w:t>m</w:t>
                  </w:r>
                  <w:r>
                    <w:rPr>
                      <w:rFonts w:hint="default" w:ascii="Times New Roman" w:hAnsi="Times New Roman" w:eastAsia="宋体" w:cs="Times New Roman"/>
                      <w:highlight w:val="none"/>
                      <w:vertAlign w:val="superscript"/>
                      <w:lang w:val="en-US" w:eastAsia="zh-CN"/>
                    </w:rPr>
                    <w:t>2</w:t>
                  </w:r>
                  <w:r>
                    <w:rPr>
                      <w:rFonts w:hint="eastAsia" w:ascii="Times New Roman" w:hAnsi="Times New Roman" w:eastAsia="宋体" w:cs="Times New Roman"/>
                      <w:highlight w:val="none"/>
                      <w:lang w:val="en-US" w:eastAsia="zh-CN"/>
                    </w:rPr>
                    <w:t>。</w:t>
                  </w:r>
                </w:p>
              </w:tc>
              <w:tc>
                <w:tcPr>
                  <w:tcW w:w="315" w:type="pct"/>
                  <w:tcBorders>
                    <w:tl2br w:val="nil"/>
                    <w:tr2bl w:val="nil"/>
                  </w:tcBorders>
                  <w:noWrap w:val="0"/>
                  <w:vAlign w:val="center"/>
                </w:tcPr>
                <w:p w14:paraId="118C10C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highlight w:val="none"/>
                      <w:lang w:val="en-US" w:eastAsia="zh-CN"/>
                    </w:rPr>
                  </w:pPr>
                  <w:r>
                    <w:rPr>
                      <w:rFonts w:hint="eastAsia" w:cs="Times New Roman"/>
                      <w:lang w:val="en-US" w:eastAsia="zh-CN"/>
                    </w:rPr>
                    <w:t>已建</w:t>
                  </w:r>
                </w:p>
              </w:tc>
            </w:tr>
            <w:tr w14:paraId="21540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tcBorders>
                    <w:tl2br w:val="nil"/>
                    <w:tr2bl w:val="nil"/>
                  </w:tcBorders>
                  <w:noWrap w:val="0"/>
                  <w:vAlign w:val="center"/>
                </w:tcPr>
                <w:p w14:paraId="6E546B8D">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公用工程</w:t>
                  </w:r>
                </w:p>
              </w:tc>
              <w:tc>
                <w:tcPr>
                  <w:tcW w:w="1019" w:type="pct"/>
                  <w:gridSpan w:val="2"/>
                  <w:tcBorders>
                    <w:tl2br w:val="nil"/>
                    <w:tr2bl w:val="nil"/>
                  </w:tcBorders>
                  <w:shd w:val="clear" w:color="auto" w:fill="auto"/>
                  <w:noWrap w:val="0"/>
                  <w:vAlign w:val="center"/>
                </w:tcPr>
                <w:p w14:paraId="60BAF91A">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rPr>
                    <w:t>供电工程</w:t>
                  </w:r>
                </w:p>
              </w:tc>
              <w:tc>
                <w:tcPr>
                  <w:tcW w:w="3276" w:type="pct"/>
                  <w:tcBorders>
                    <w:tl2br w:val="nil"/>
                    <w:tr2bl w:val="nil"/>
                  </w:tcBorders>
                  <w:shd w:val="clear" w:color="auto" w:fill="auto"/>
                  <w:noWrap w:val="0"/>
                  <w:vAlign w:val="center"/>
                </w:tcPr>
                <w:p w14:paraId="27FB4843">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rPr>
                    <w:t>由</w:t>
                  </w:r>
                  <w:r>
                    <w:rPr>
                      <w:rFonts w:hint="default" w:ascii="Times New Roman" w:hAnsi="Times New Roman" w:eastAsia="宋体" w:cs="Times New Roman"/>
                      <w:lang w:val="en-US" w:eastAsia="zh-CN"/>
                    </w:rPr>
                    <w:t>市政供电系统</w:t>
                  </w:r>
                  <w:r>
                    <w:rPr>
                      <w:rFonts w:hint="default" w:ascii="Times New Roman" w:hAnsi="Times New Roman" w:eastAsia="宋体" w:cs="Times New Roman"/>
                    </w:rPr>
                    <w:t>供给</w:t>
                  </w:r>
                  <w:r>
                    <w:rPr>
                      <w:rFonts w:hint="default" w:ascii="Times New Roman" w:hAnsi="Times New Roman" w:eastAsia="宋体" w:cs="Times New Roman"/>
                      <w:lang w:eastAsia="zh-CN"/>
                    </w:rPr>
                    <w:t>。</w:t>
                  </w:r>
                </w:p>
              </w:tc>
              <w:tc>
                <w:tcPr>
                  <w:tcW w:w="315" w:type="pct"/>
                  <w:tcBorders>
                    <w:tl2br w:val="nil"/>
                    <w:tr2bl w:val="nil"/>
                  </w:tcBorders>
                  <w:shd w:val="clear" w:color="auto" w:fill="auto"/>
                  <w:noWrap w:val="0"/>
                  <w:vAlign w:val="center"/>
                </w:tcPr>
                <w:p w14:paraId="0D323BD5">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lang w:eastAsia="zh-CN"/>
                    </w:rPr>
                    <w:t>依托</w:t>
                  </w:r>
                </w:p>
              </w:tc>
            </w:tr>
            <w:tr w14:paraId="28433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7540E63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110931C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ascii="Times New Roman" w:hAnsi="Times New Roman" w:eastAsia="宋体" w:cs="Times New Roman"/>
                      <w:highlight w:val="none"/>
                      <w:lang w:val="en-US" w:eastAsia="zh-CN"/>
                    </w:rPr>
                    <w:t>供氧系统</w:t>
                  </w:r>
                </w:p>
              </w:tc>
              <w:tc>
                <w:tcPr>
                  <w:tcW w:w="3276" w:type="pct"/>
                  <w:tcBorders>
                    <w:tl2br w:val="nil"/>
                    <w:tr2bl w:val="nil"/>
                  </w:tcBorders>
                  <w:shd w:val="clear" w:color="auto" w:fill="auto"/>
                  <w:noWrap w:val="0"/>
                  <w:vAlign w:val="center"/>
                </w:tcPr>
                <w:p w14:paraId="61BF3EDA">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在手术室内设</w:t>
                  </w:r>
                  <w:r>
                    <w:rPr>
                      <w:rFonts w:hint="eastAsia" w:cs="Times New Roman"/>
                      <w:snapToGrid w:val="0"/>
                      <w:color w:val="auto"/>
                      <w:kern w:val="2"/>
                      <w:sz w:val="21"/>
                      <w:szCs w:val="21"/>
                      <w:highlight w:val="none"/>
                      <w:lang w:val="en-US" w:eastAsia="zh-CN" w:bidi="ar-SA"/>
                    </w:rPr>
                    <w:t>2</w:t>
                  </w:r>
                  <w:r>
                    <w:rPr>
                      <w:rFonts w:hint="default" w:ascii="Times New Roman" w:hAnsi="Times New Roman" w:eastAsia="宋体" w:cs="Times New Roman"/>
                      <w:snapToGrid w:val="0"/>
                      <w:color w:val="auto"/>
                      <w:kern w:val="2"/>
                      <w:sz w:val="21"/>
                      <w:szCs w:val="21"/>
                      <w:highlight w:val="none"/>
                      <w:lang w:val="en-US" w:eastAsia="zh-CN" w:bidi="ar-SA"/>
                    </w:rPr>
                    <w:t>个成品氧气瓶，单个容积为40L</w:t>
                  </w:r>
                  <w:r>
                    <w:rPr>
                      <w:rFonts w:hint="eastAsia" w:cs="Times New Roman"/>
                      <w:snapToGrid w:val="0"/>
                      <w:color w:val="auto"/>
                      <w:kern w:val="2"/>
                      <w:sz w:val="21"/>
                      <w:szCs w:val="21"/>
                      <w:highlight w:val="none"/>
                      <w:lang w:val="en-US" w:eastAsia="zh-CN" w:bidi="ar-SA"/>
                    </w:rPr>
                    <w:t>。</w:t>
                  </w:r>
                </w:p>
              </w:tc>
              <w:tc>
                <w:tcPr>
                  <w:tcW w:w="315" w:type="pct"/>
                  <w:tcBorders>
                    <w:tl2br w:val="nil"/>
                    <w:tr2bl w:val="nil"/>
                  </w:tcBorders>
                  <w:shd w:val="clear" w:color="auto" w:fill="auto"/>
                  <w:noWrap w:val="0"/>
                  <w:vAlign w:val="center"/>
                </w:tcPr>
                <w:p w14:paraId="581CF774">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lang w:val="en-US" w:eastAsia="zh-CN"/>
                    </w:rPr>
                    <w:t>已建</w:t>
                  </w:r>
                </w:p>
              </w:tc>
            </w:tr>
            <w:tr w14:paraId="7BF48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7B8D10C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606A1F32">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lang w:val="en-US" w:eastAsia="zh-CN"/>
                    </w:rPr>
                    <w:t>通风系统</w:t>
                  </w:r>
                </w:p>
              </w:tc>
              <w:tc>
                <w:tcPr>
                  <w:tcW w:w="3276" w:type="pct"/>
                  <w:tcBorders>
                    <w:tl2br w:val="nil"/>
                    <w:tr2bl w:val="nil"/>
                  </w:tcBorders>
                  <w:shd w:val="clear" w:color="auto" w:fill="auto"/>
                  <w:noWrap w:val="0"/>
                  <w:vAlign w:val="center"/>
                </w:tcPr>
                <w:p w14:paraId="6976A054">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采用自然通风和单体式空调结合的形式进行通风。</w:t>
                  </w:r>
                </w:p>
              </w:tc>
              <w:tc>
                <w:tcPr>
                  <w:tcW w:w="315" w:type="pct"/>
                  <w:tcBorders>
                    <w:tl2br w:val="nil"/>
                    <w:tr2bl w:val="nil"/>
                  </w:tcBorders>
                  <w:shd w:val="clear" w:color="auto" w:fill="auto"/>
                  <w:noWrap w:val="0"/>
                  <w:vAlign w:val="center"/>
                </w:tcPr>
                <w:p w14:paraId="4E20D962">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lang w:val="en-US" w:eastAsia="zh-CN"/>
                    </w:rPr>
                    <w:t>已建</w:t>
                  </w:r>
                </w:p>
              </w:tc>
            </w:tr>
            <w:tr w14:paraId="013B5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1086C98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vMerge w:val="restart"/>
                  <w:tcBorders>
                    <w:tl2br w:val="nil"/>
                    <w:tr2bl w:val="nil"/>
                  </w:tcBorders>
                  <w:shd w:val="clear" w:color="auto" w:fill="auto"/>
                  <w:noWrap w:val="0"/>
                  <w:vAlign w:val="center"/>
                </w:tcPr>
                <w:p w14:paraId="207F603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lang w:val="en-US" w:eastAsia="zh-CN"/>
                    </w:rPr>
                    <w:t>消毒系统</w:t>
                  </w:r>
                </w:p>
              </w:tc>
              <w:tc>
                <w:tcPr>
                  <w:tcW w:w="3276" w:type="pct"/>
                  <w:tcBorders>
                    <w:tl2br w:val="nil"/>
                    <w:tr2bl w:val="nil"/>
                  </w:tcBorders>
                  <w:shd w:val="clear" w:color="auto" w:fill="auto"/>
                  <w:noWrap w:val="0"/>
                  <w:vAlign w:val="center"/>
                </w:tcPr>
                <w:p w14:paraId="3F9D5993">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手术器械、玻璃器皿等采用高压灭菌锅消毒，</w:t>
                  </w:r>
                  <w:r>
                    <w:rPr>
                      <w:rFonts w:hint="eastAsia" w:cs="Times New Roman"/>
                      <w:color w:val="auto"/>
                      <w:highlight w:val="none"/>
                      <w:lang w:val="en-US" w:eastAsia="zh-CN"/>
                    </w:rPr>
                    <w:t>住院区通过</w:t>
                  </w:r>
                  <w:r>
                    <w:rPr>
                      <w:rFonts w:hint="eastAsia" w:ascii="Times New Roman" w:hAnsi="Times New Roman" w:eastAsia="宋体" w:cs="Times New Roman"/>
                      <w:color w:val="auto"/>
                      <w:highlight w:val="none"/>
                      <w:lang w:val="en-US" w:eastAsia="zh-CN"/>
                    </w:rPr>
                    <w:t>紫外线灯</w:t>
                  </w:r>
                  <w:r>
                    <w:rPr>
                      <w:rFonts w:hint="eastAsia" w:cs="Times New Roman"/>
                      <w:color w:val="auto"/>
                      <w:highlight w:val="none"/>
                      <w:lang w:val="en-US" w:eastAsia="zh-CN"/>
                    </w:rPr>
                    <w:t>进行消毒杀菌，医院整体采用</w:t>
                  </w:r>
                  <w:r>
                    <w:rPr>
                      <w:rFonts w:hint="eastAsia" w:ascii="Times New Roman" w:hAnsi="Times New Roman" w:eastAsia="宋体" w:cs="Times New Roman"/>
                      <w:color w:val="auto"/>
                      <w:highlight w:val="none"/>
                      <w:lang w:val="en-US" w:eastAsia="zh-CN"/>
                    </w:rPr>
                    <w:t>84消毒液喷洒消毒，手术室台面、地面等采用84消毒液喷洒消毒，</w:t>
                  </w:r>
                  <w:r>
                    <w:rPr>
                      <w:rFonts w:hint="eastAsia" w:cs="Times New Roman"/>
                      <w:color w:val="auto"/>
                      <w:highlight w:val="none"/>
                      <w:lang w:val="en-US" w:eastAsia="zh-CN"/>
                    </w:rPr>
                    <w:t>宠物粪污</w:t>
                  </w:r>
                  <w:r>
                    <w:rPr>
                      <w:rFonts w:hint="eastAsia" w:ascii="Times New Roman" w:hAnsi="Times New Roman" w:eastAsia="宋体" w:cs="Times New Roman"/>
                      <w:color w:val="auto"/>
                      <w:highlight w:val="none"/>
                      <w:lang w:val="en-US" w:eastAsia="zh-CN"/>
                    </w:rPr>
                    <w:t>采用</w:t>
                  </w:r>
                  <w:r>
                    <w:rPr>
                      <w:rFonts w:hint="eastAsia" w:ascii="Times New Roman" w:hAnsi="Times New Roman" w:eastAsia="宋体" w:cs="Times New Roman"/>
                      <w:snapToGrid w:val="0"/>
                      <w:kern w:val="2"/>
                      <w:sz w:val="21"/>
                      <w:szCs w:val="21"/>
                      <w:lang w:val="en-US" w:eastAsia="zh-CN" w:bidi="ar-SA"/>
                    </w:rPr>
                    <w:t>84消毒液喷洒消毒</w:t>
                  </w:r>
                  <w:r>
                    <w:rPr>
                      <w:rFonts w:hint="eastAsia" w:cs="Times New Roman"/>
                      <w:snapToGrid w:val="0"/>
                      <w:kern w:val="2"/>
                      <w:sz w:val="21"/>
                      <w:szCs w:val="21"/>
                      <w:lang w:val="en-US" w:eastAsia="zh-CN" w:bidi="ar-SA"/>
                    </w:rPr>
                    <w:t>。</w:t>
                  </w:r>
                </w:p>
              </w:tc>
              <w:tc>
                <w:tcPr>
                  <w:tcW w:w="315" w:type="pct"/>
                  <w:tcBorders>
                    <w:tl2br w:val="nil"/>
                    <w:tr2bl w:val="nil"/>
                  </w:tcBorders>
                  <w:shd w:val="clear" w:color="auto" w:fill="auto"/>
                  <w:noWrap w:val="0"/>
                  <w:vAlign w:val="center"/>
                </w:tcPr>
                <w:p w14:paraId="1170B876">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69A90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7BC50FE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vMerge w:val="continue"/>
                  <w:tcBorders>
                    <w:tl2br w:val="nil"/>
                    <w:tr2bl w:val="nil"/>
                  </w:tcBorders>
                  <w:shd w:val="clear" w:color="auto" w:fill="auto"/>
                  <w:noWrap w:val="0"/>
                  <w:vAlign w:val="center"/>
                </w:tcPr>
                <w:p w14:paraId="6B95BA61">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lang w:val="en-US" w:eastAsia="zh-CN"/>
                    </w:rPr>
                  </w:pPr>
                </w:p>
              </w:tc>
              <w:tc>
                <w:tcPr>
                  <w:tcW w:w="3276" w:type="pct"/>
                  <w:tcBorders>
                    <w:tl2br w:val="nil"/>
                    <w:tr2bl w:val="nil"/>
                  </w:tcBorders>
                  <w:shd w:val="clear" w:color="auto" w:fill="auto"/>
                  <w:noWrap w:val="0"/>
                  <w:vAlign w:val="center"/>
                </w:tcPr>
                <w:p w14:paraId="29A9669D">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医疗废水通过投加二氧化氯消毒片进行消毒。</w:t>
                  </w:r>
                </w:p>
              </w:tc>
              <w:tc>
                <w:tcPr>
                  <w:tcW w:w="315" w:type="pct"/>
                  <w:tcBorders>
                    <w:tl2br w:val="nil"/>
                    <w:tr2bl w:val="nil"/>
                  </w:tcBorders>
                  <w:shd w:val="clear" w:color="auto" w:fill="auto"/>
                  <w:noWrap w:val="0"/>
                  <w:vAlign w:val="center"/>
                </w:tcPr>
                <w:p w14:paraId="79C05B8F">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52BC8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3F333BCB">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408FD950">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lang w:val="en-US" w:eastAsia="zh-CN"/>
                    </w:rPr>
                    <w:t>供</w:t>
                  </w:r>
                  <w:r>
                    <w:rPr>
                      <w:rFonts w:hint="default" w:ascii="Times New Roman" w:hAnsi="Times New Roman" w:eastAsia="宋体" w:cs="Times New Roman"/>
                    </w:rPr>
                    <w:t>水工程</w:t>
                  </w:r>
                </w:p>
              </w:tc>
              <w:tc>
                <w:tcPr>
                  <w:tcW w:w="3276" w:type="pct"/>
                  <w:tcBorders>
                    <w:tl2br w:val="nil"/>
                    <w:tr2bl w:val="nil"/>
                  </w:tcBorders>
                  <w:shd w:val="clear" w:color="auto" w:fill="auto"/>
                  <w:noWrap w:val="0"/>
                  <w:vAlign w:val="center"/>
                </w:tcPr>
                <w:p w14:paraId="24D1F675">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color w:val="auto"/>
                      <w:highlight w:val="none"/>
                    </w:rPr>
                    <w:t>由市政给水管网供给。</w:t>
                  </w:r>
                </w:p>
              </w:tc>
              <w:tc>
                <w:tcPr>
                  <w:tcW w:w="315" w:type="pct"/>
                  <w:tcBorders>
                    <w:tl2br w:val="nil"/>
                    <w:tr2bl w:val="nil"/>
                  </w:tcBorders>
                  <w:shd w:val="clear" w:color="auto" w:fill="auto"/>
                  <w:noWrap w:val="0"/>
                  <w:vAlign w:val="center"/>
                </w:tcPr>
                <w:p w14:paraId="50D8FB6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lang w:eastAsia="zh-CN"/>
                    </w:rPr>
                    <w:t>依托</w:t>
                  </w:r>
                </w:p>
              </w:tc>
            </w:tr>
            <w:tr w14:paraId="0E35F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2D842AA9">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shd w:val="clear" w:color="auto" w:fill="auto"/>
                  <w:noWrap w:val="0"/>
                  <w:vAlign w:val="center"/>
                </w:tcPr>
                <w:p w14:paraId="7897C7EF">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default" w:ascii="Times New Roman" w:hAnsi="Times New Roman" w:eastAsia="宋体" w:cs="Times New Roman"/>
                    </w:rPr>
                    <w:t>排水工程</w:t>
                  </w:r>
                </w:p>
              </w:tc>
              <w:tc>
                <w:tcPr>
                  <w:tcW w:w="3276" w:type="pct"/>
                  <w:tcBorders>
                    <w:tl2br w:val="nil"/>
                    <w:tr2bl w:val="nil"/>
                  </w:tcBorders>
                  <w:shd w:val="clear" w:color="auto" w:fill="auto"/>
                  <w:noWrap w:val="0"/>
                  <w:vAlign w:val="center"/>
                </w:tcPr>
                <w:p w14:paraId="147674F3">
                  <w:pPr>
                    <w:pStyle w:val="48"/>
                    <w:keepNext w:val="0"/>
                    <w:keepLines w:val="0"/>
                    <w:pageBreakBefore w:val="0"/>
                    <w:widowControl w:val="0"/>
                    <w:kinsoku/>
                    <w:wordWrap/>
                    <w:overflowPunct/>
                    <w:topLinePunct w:val="0"/>
                    <w:autoSpaceDE/>
                    <w:autoSpaceDN/>
                    <w:bidi w:val="0"/>
                    <w:adjustRightInd/>
                    <w:snapToGrid w:val="0"/>
                    <w:ind w:left="0" w:leftChars="0" w:right="0" w:rightChars="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采取</w:t>
                  </w:r>
                  <w:r>
                    <w:rPr>
                      <w:rFonts w:hint="eastAsia" w:cs="Times New Roman"/>
                      <w:color w:val="auto"/>
                      <w:highlight w:val="none"/>
                      <w:lang w:val="en-US" w:eastAsia="zh-CN"/>
                    </w:rPr>
                    <w:t>污污</w:t>
                  </w:r>
                  <w:r>
                    <w:rPr>
                      <w:rFonts w:hint="default" w:ascii="Times New Roman" w:hAnsi="Times New Roman" w:eastAsia="宋体" w:cs="Times New Roman"/>
                      <w:color w:val="auto"/>
                      <w:highlight w:val="none"/>
                    </w:rPr>
                    <w:t>分流排水体制</w:t>
                  </w:r>
                  <w:r>
                    <w:rPr>
                      <w:rFonts w:hint="eastAsia" w:cs="Times New Roman"/>
                      <w:color w:val="auto"/>
                      <w:highlight w:val="none"/>
                      <w:lang w:eastAsia="zh-CN"/>
                    </w:rPr>
                    <w:t>，</w:t>
                  </w:r>
                  <w:r>
                    <w:rPr>
                      <w:rFonts w:hint="eastAsia" w:cs="Times New Roman"/>
                      <w:color w:val="auto"/>
                      <w:highlight w:val="none"/>
                      <w:lang w:val="en-US" w:eastAsia="zh-CN"/>
                    </w:rPr>
                    <w:t>污水分为医疗废水、生活污水和其他污水，手术废水、手术器械清洗废水、诊疗废水、宠物笼清洗废水</w:t>
                  </w:r>
                  <w:r>
                    <w:rPr>
                      <w:rFonts w:hint="eastAsia" w:cs="Times New Roman"/>
                      <w:color w:val="auto"/>
                      <w:sz w:val="21"/>
                      <w:highlight w:val="none"/>
                      <w:lang w:val="en-US" w:eastAsia="zh-CN"/>
                    </w:rPr>
                    <w:t>经水槽</w:t>
                  </w:r>
                  <w:r>
                    <w:rPr>
                      <w:rFonts w:hint="eastAsia" w:ascii="Times New Roman" w:hAnsi="Times New Roman" w:eastAsia="宋体" w:cs="Times New Roman"/>
                      <w:color w:val="auto"/>
                      <w:sz w:val="21"/>
                      <w:highlight w:val="none"/>
                      <w:lang w:val="en-US" w:eastAsia="zh-CN"/>
                    </w:rPr>
                    <w:t>收集后进入消毒设施，消毒处理后与生活污水、</w:t>
                  </w:r>
                  <w:r>
                    <w:rPr>
                      <w:rFonts w:hint="eastAsia" w:cs="Times New Roman"/>
                      <w:color w:val="auto"/>
                      <w:highlight w:val="none"/>
                      <w:lang w:val="en-US" w:eastAsia="zh-CN"/>
                    </w:rPr>
                    <w:t>其他污水</w:t>
                  </w:r>
                  <w:r>
                    <w:rPr>
                      <w:rFonts w:hint="eastAsia" w:ascii="Times New Roman" w:hAnsi="Times New Roman" w:eastAsia="宋体" w:cs="Times New Roman"/>
                      <w:color w:val="auto"/>
                      <w:sz w:val="21"/>
                      <w:highlight w:val="none"/>
                      <w:lang w:val="en-US" w:eastAsia="zh-CN"/>
                    </w:rPr>
                    <w:t>一起</w:t>
                  </w:r>
                  <w:r>
                    <w:rPr>
                      <w:rFonts w:hint="eastAsia" w:cs="Times New Roman"/>
                      <w:color w:val="auto"/>
                      <w:highlight w:val="none"/>
                      <w:lang w:val="en-US" w:eastAsia="zh-CN"/>
                    </w:rPr>
                    <w:t>排入恒大绿岛新城B区</w:t>
                  </w:r>
                  <w:r>
                    <w:rPr>
                      <w:rFonts w:hint="eastAsia" w:ascii="Times New Roman" w:hAnsi="Times New Roman" w:cs="Times New Roman"/>
                      <w:color w:val="auto"/>
                      <w:highlight w:val="none"/>
                      <w:lang w:val="en-US" w:eastAsia="zh-CN"/>
                    </w:rPr>
                    <w:t>已建</w:t>
                  </w:r>
                  <w:r>
                    <w:rPr>
                      <w:rFonts w:hint="eastAsia" w:cs="Times New Roman"/>
                      <w:color w:val="auto"/>
                      <w:highlight w:val="none"/>
                      <w:lang w:val="en-US" w:eastAsia="zh-CN"/>
                    </w:rPr>
                    <w:t>生化池</w:t>
                  </w:r>
                  <w:r>
                    <w:rPr>
                      <w:rFonts w:hint="default" w:ascii="Times New Roman" w:hAnsi="Times New Roman" w:eastAsia="宋体" w:cs="Times New Roman"/>
                      <w:color w:val="auto"/>
                      <w:highlight w:val="none"/>
                      <w:lang w:val="en-US" w:eastAsia="zh-CN"/>
                    </w:rPr>
                    <w:t>处理</w:t>
                  </w:r>
                  <w:r>
                    <w:rPr>
                      <w:rFonts w:hint="eastAsia" w:cs="Times New Roman"/>
                      <w:color w:val="auto"/>
                      <w:highlight w:val="none"/>
                      <w:lang w:val="en-US" w:eastAsia="zh-CN"/>
                    </w:rPr>
                    <w:t>；恒大绿岛新城B区</w:t>
                  </w:r>
                  <w:r>
                    <w:rPr>
                      <w:rFonts w:hint="eastAsia" w:ascii="Times New Roman" w:hAnsi="Times New Roman" w:cs="Times New Roman"/>
                      <w:color w:val="auto"/>
                      <w:highlight w:val="none"/>
                      <w:lang w:val="en-US" w:eastAsia="zh-CN"/>
                    </w:rPr>
                    <w:t>已建</w:t>
                  </w:r>
                  <w:r>
                    <w:rPr>
                      <w:rFonts w:hint="eastAsia" w:cs="Times New Roman"/>
                      <w:color w:val="auto"/>
                      <w:highlight w:val="none"/>
                      <w:lang w:val="en-US" w:eastAsia="zh-CN"/>
                    </w:rPr>
                    <w:t>生化池处理后的污水排入市政污水管网，再经</w:t>
                  </w:r>
                  <w:r>
                    <w:rPr>
                      <w:rFonts w:hint="eastAsia" w:ascii="Times New Roman" w:hAnsi="Times New Roman" w:eastAsia="宋体" w:cs="Times New Roman"/>
                      <w:color w:val="auto"/>
                      <w:highlight w:val="none"/>
                      <w:lang w:val="en-US" w:eastAsia="zh-CN"/>
                    </w:rPr>
                    <w:t>观音塘</w:t>
                  </w:r>
                  <w:r>
                    <w:rPr>
                      <w:rFonts w:hint="eastAsia" w:ascii="Times New Roman" w:hAnsi="Times New Roman" w:eastAsia="宋体" w:cs="Times New Roman"/>
                      <w:color w:val="auto"/>
                      <w:szCs w:val="21"/>
                      <w:highlight w:val="none"/>
                      <w:lang w:eastAsia="zh-CN"/>
                    </w:rPr>
                    <w:t>污水处理厂</w:t>
                  </w:r>
                  <w:r>
                    <w:rPr>
                      <w:rFonts w:hint="default" w:ascii="Times New Roman" w:hAnsi="Times New Roman" w:eastAsia="宋体" w:cs="Times New Roman"/>
                      <w:color w:val="auto"/>
                      <w:szCs w:val="21"/>
                      <w:highlight w:val="none"/>
                      <w:lang w:val="en-US" w:eastAsia="zh-CN"/>
                    </w:rPr>
                    <w:t>处理达标后排入</w:t>
                  </w:r>
                  <w:r>
                    <w:rPr>
                      <w:rFonts w:hint="eastAsia" w:ascii="Times New Roman" w:hAnsi="Times New Roman" w:eastAsia="宋体" w:cs="Times New Roman"/>
                      <w:color w:val="auto"/>
                      <w:szCs w:val="21"/>
                      <w:highlight w:val="none"/>
                      <w:lang w:val="en-US" w:eastAsia="zh-CN"/>
                    </w:rPr>
                    <w:t>璧南河</w:t>
                  </w:r>
                  <w:r>
                    <w:rPr>
                      <w:rFonts w:hint="default" w:ascii="Times New Roman" w:hAnsi="Times New Roman" w:eastAsia="宋体" w:cs="Times New Roman"/>
                      <w:color w:val="auto"/>
                      <w:szCs w:val="21"/>
                      <w:highlight w:val="none"/>
                      <w:lang w:val="en-US" w:eastAsia="zh-CN"/>
                    </w:rPr>
                    <w:t>。</w:t>
                  </w:r>
                </w:p>
              </w:tc>
              <w:tc>
                <w:tcPr>
                  <w:tcW w:w="315" w:type="pct"/>
                  <w:tcBorders>
                    <w:tl2br w:val="nil"/>
                    <w:tr2bl w:val="nil"/>
                  </w:tcBorders>
                  <w:shd w:val="clear" w:color="auto" w:fill="auto"/>
                  <w:noWrap w:val="0"/>
                  <w:vAlign w:val="center"/>
                </w:tcPr>
                <w:p w14:paraId="08EA22A0">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ascii="Times New Roman" w:hAnsi="Times New Roman" w:eastAsia="宋体" w:cs="Times New Roman"/>
                      <w:lang w:val="en-US" w:eastAsia="zh-CN"/>
                    </w:rPr>
                  </w:pPr>
                  <w:r>
                    <w:rPr>
                      <w:rFonts w:hint="eastAsia" w:cs="Times New Roman"/>
                      <w:lang w:val="en-US" w:eastAsia="zh-CN"/>
                    </w:rPr>
                    <w:t>已建</w:t>
                  </w:r>
                  <w:r>
                    <w:rPr>
                      <w:rFonts w:hint="eastAsia" w:ascii="Times New Roman" w:hAnsi="Times New Roman" w:eastAsia="宋体" w:cs="Times New Roman"/>
                      <w:lang w:val="en-US" w:eastAsia="zh-CN"/>
                    </w:rPr>
                    <w:t>+</w:t>
                  </w:r>
                </w:p>
                <w:p w14:paraId="3CDBCCA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lang w:val="en-US" w:eastAsia="zh-CN"/>
                    </w:rPr>
                    <w:t>依托</w:t>
                  </w:r>
                </w:p>
              </w:tc>
            </w:tr>
            <w:tr w14:paraId="07CFE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restart"/>
                  <w:tcBorders>
                    <w:tl2br w:val="nil"/>
                    <w:tr2bl w:val="nil"/>
                  </w:tcBorders>
                  <w:noWrap w:val="0"/>
                  <w:vAlign w:val="center"/>
                </w:tcPr>
                <w:p w14:paraId="291A2D3F">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环保工程</w:t>
                  </w:r>
                </w:p>
              </w:tc>
              <w:tc>
                <w:tcPr>
                  <w:tcW w:w="258" w:type="pct"/>
                  <w:vMerge w:val="restart"/>
                  <w:tcBorders>
                    <w:tl2br w:val="nil"/>
                    <w:tr2bl w:val="nil"/>
                  </w:tcBorders>
                  <w:noWrap w:val="0"/>
                  <w:vAlign w:val="center"/>
                </w:tcPr>
                <w:p w14:paraId="749EB7C5">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废气</w:t>
                  </w:r>
                </w:p>
              </w:tc>
              <w:tc>
                <w:tcPr>
                  <w:tcW w:w="761" w:type="pct"/>
                  <w:tcBorders>
                    <w:tl2br w:val="nil"/>
                    <w:tr2bl w:val="nil"/>
                  </w:tcBorders>
                  <w:noWrap w:val="0"/>
                  <w:vAlign w:val="center"/>
                </w:tcPr>
                <w:p w14:paraId="41AA9E85">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cs="Times New Roman"/>
                      <w:highlight w:val="none"/>
                      <w:lang w:val="en-US" w:eastAsia="zh-CN"/>
                    </w:rPr>
                  </w:pPr>
                  <w:r>
                    <w:rPr>
                      <w:rFonts w:hint="default" w:cs="Times New Roman"/>
                      <w:highlight w:val="none"/>
                      <w:lang w:val="en-US" w:eastAsia="zh-CN"/>
                    </w:rPr>
                    <w:t>宠物</w:t>
                  </w:r>
                  <w:r>
                    <w:rPr>
                      <w:rFonts w:hint="eastAsia" w:cs="Times New Roman"/>
                      <w:highlight w:val="none"/>
                      <w:lang w:val="en-US" w:eastAsia="zh-CN"/>
                    </w:rPr>
                    <w:t>排泄物及</w:t>
                  </w:r>
                  <w:r>
                    <w:rPr>
                      <w:rFonts w:hint="default" w:cs="Times New Roman"/>
                      <w:highlight w:val="none"/>
                      <w:lang w:val="en-US" w:eastAsia="zh-CN"/>
                    </w:rPr>
                    <w:t>自身异味</w:t>
                  </w:r>
                </w:p>
              </w:tc>
              <w:tc>
                <w:tcPr>
                  <w:tcW w:w="3276" w:type="pct"/>
                  <w:tcBorders>
                    <w:tl2br w:val="nil"/>
                    <w:tr2bl w:val="nil"/>
                  </w:tcBorders>
                  <w:noWrap w:val="0"/>
                  <w:vAlign w:val="center"/>
                </w:tcPr>
                <w:p w14:paraId="4DDB760C">
                  <w:pPr>
                    <w:pStyle w:val="48"/>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cs="Times New Roman"/>
                      <w:highlight w:val="none"/>
                      <w:lang w:val="en-US" w:eastAsia="zh-CN"/>
                    </w:rPr>
                  </w:pPr>
                  <w:r>
                    <w:rPr>
                      <w:rFonts w:hint="default" w:cs="Times New Roman"/>
                      <w:highlight w:val="none"/>
                      <w:lang w:val="en-US" w:eastAsia="zh-CN"/>
                    </w:rPr>
                    <w:t>采用自然通风和单体式空调结合的形式进行通风</w:t>
                  </w:r>
                  <w:r>
                    <w:rPr>
                      <w:rFonts w:hint="eastAsia" w:cs="Times New Roman"/>
                      <w:highlight w:val="none"/>
                      <w:lang w:val="en-US" w:eastAsia="zh-CN"/>
                    </w:rPr>
                    <w:t>，住院区内设置</w:t>
                  </w:r>
                  <w:r>
                    <w:rPr>
                      <w:rFonts w:hint="default" w:cs="Times New Roman"/>
                      <w:highlight w:val="none"/>
                      <w:lang w:val="en-US" w:eastAsia="zh-CN"/>
                    </w:rPr>
                    <w:t>紫外线灯</w:t>
                  </w:r>
                  <w:r>
                    <w:rPr>
                      <w:rFonts w:hint="eastAsia" w:cs="Times New Roman"/>
                      <w:highlight w:val="none"/>
                      <w:lang w:val="en-US" w:eastAsia="zh-CN"/>
                    </w:rPr>
                    <w:t>管</w:t>
                  </w:r>
                  <w:r>
                    <w:rPr>
                      <w:rFonts w:hint="default" w:cs="Times New Roman"/>
                      <w:highlight w:val="none"/>
                      <w:lang w:val="en-US" w:eastAsia="zh-CN"/>
                    </w:rPr>
                    <w:t>消毒杀菌</w:t>
                  </w:r>
                  <w:r>
                    <w:rPr>
                      <w:rFonts w:hint="eastAsia" w:cs="Times New Roman"/>
                      <w:highlight w:val="none"/>
                      <w:lang w:val="en-US" w:eastAsia="zh-CN"/>
                    </w:rPr>
                    <w:t>，同时</w:t>
                  </w:r>
                  <w:r>
                    <w:rPr>
                      <w:rFonts w:hint="default" w:cs="Times New Roman"/>
                      <w:highlight w:val="none"/>
                      <w:lang w:val="en-US" w:eastAsia="zh-CN"/>
                    </w:rPr>
                    <w:t>每天使用84消毒液对医院进行消毒</w:t>
                  </w:r>
                  <w:r>
                    <w:rPr>
                      <w:rFonts w:hint="eastAsia" w:cs="Times New Roman"/>
                      <w:highlight w:val="none"/>
                      <w:lang w:val="en-US" w:eastAsia="zh-CN"/>
                    </w:rPr>
                    <w:t>，宠物粪污由专人进行及时清理和消毒。空调外机对向</w:t>
                  </w:r>
                  <w:r>
                    <w:rPr>
                      <w:rFonts w:hint="eastAsia"/>
                      <w:lang w:val="en-US" w:eastAsia="zh-CN"/>
                    </w:rPr>
                    <w:t>公路。</w:t>
                  </w:r>
                </w:p>
              </w:tc>
              <w:tc>
                <w:tcPr>
                  <w:tcW w:w="315" w:type="pct"/>
                  <w:tcBorders>
                    <w:tl2br w:val="nil"/>
                    <w:tr2bl w:val="nil"/>
                  </w:tcBorders>
                  <w:noWrap w:val="0"/>
                  <w:vAlign w:val="center"/>
                </w:tcPr>
                <w:p w14:paraId="6E008559">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eastAsia" w:cs="Times New Roman"/>
                      <w:lang w:val="en-US" w:eastAsia="zh-CN"/>
                    </w:rPr>
                    <w:t>已建</w:t>
                  </w:r>
                </w:p>
              </w:tc>
            </w:tr>
            <w:tr w14:paraId="455AB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50992B0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258" w:type="pct"/>
                  <w:vMerge w:val="continue"/>
                  <w:tcBorders>
                    <w:tl2br w:val="nil"/>
                    <w:tr2bl w:val="nil"/>
                  </w:tcBorders>
                  <w:noWrap w:val="0"/>
                  <w:vAlign w:val="center"/>
                </w:tcPr>
                <w:p w14:paraId="47518DAD">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761" w:type="pct"/>
                  <w:tcBorders>
                    <w:tl2br w:val="nil"/>
                    <w:tr2bl w:val="nil"/>
                  </w:tcBorders>
                  <w:shd w:val="clear" w:color="auto" w:fill="auto"/>
                  <w:noWrap w:val="0"/>
                  <w:vAlign w:val="center"/>
                </w:tcPr>
                <w:p w14:paraId="79B2E04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cs="Times New Roman"/>
                      <w:highlight w:val="none"/>
                      <w:lang w:val="en-US" w:eastAsia="zh-CN"/>
                    </w:rPr>
                    <w:t>消毒设施异味</w:t>
                  </w:r>
                </w:p>
              </w:tc>
              <w:tc>
                <w:tcPr>
                  <w:tcW w:w="3276" w:type="pct"/>
                  <w:tcBorders>
                    <w:tl2br w:val="nil"/>
                    <w:tr2bl w:val="nil"/>
                  </w:tcBorders>
                  <w:shd w:val="clear" w:color="auto" w:fill="auto"/>
                  <w:noWrap w:val="0"/>
                  <w:vAlign w:val="center"/>
                </w:tcPr>
                <w:p w14:paraId="51C02C5D">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cs="Times New Roman"/>
                      <w:highlight w:val="none"/>
                      <w:lang w:val="en-US" w:eastAsia="zh-CN"/>
                    </w:rPr>
                    <w:t>做好消毒工作，消毒设施密闭。</w:t>
                  </w:r>
                </w:p>
              </w:tc>
              <w:tc>
                <w:tcPr>
                  <w:tcW w:w="315" w:type="pct"/>
                  <w:tcBorders>
                    <w:tl2br w:val="nil"/>
                    <w:tr2bl w:val="nil"/>
                  </w:tcBorders>
                  <w:noWrap w:val="0"/>
                  <w:vAlign w:val="center"/>
                </w:tcPr>
                <w:p w14:paraId="0C3267C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cs="Times New Roman"/>
                      <w:lang w:val="en-US" w:eastAsia="zh-CN"/>
                    </w:rPr>
                  </w:pPr>
                  <w:r>
                    <w:rPr>
                      <w:rFonts w:hint="eastAsia" w:cs="Times New Roman"/>
                      <w:lang w:val="en-US" w:eastAsia="zh-CN"/>
                    </w:rPr>
                    <w:t>已建</w:t>
                  </w:r>
                </w:p>
              </w:tc>
            </w:tr>
            <w:tr w14:paraId="3011F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6F4504C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258" w:type="pct"/>
                  <w:vMerge w:val="continue"/>
                  <w:tcBorders>
                    <w:tl2br w:val="nil"/>
                    <w:tr2bl w:val="nil"/>
                  </w:tcBorders>
                  <w:noWrap w:val="0"/>
                  <w:vAlign w:val="center"/>
                </w:tcPr>
                <w:p w14:paraId="3ACB0F06">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761" w:type="pct"/>
                  <w:tcBorders>
                    <w:tl2br w:val="nil"/>
                    <w:tr2bl w:val="nil"/>
                  </w:tcBorders>
                  <w:noWrap w:val="0"/>
                  <w:vAlign w:val="center"/>
                </w:tcPr>
                <w:p w14:paraId="14F2E502">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cs="Times New Roman"/>
                      <w:highlight w:val="none"/>
                      <w:lang w:val="en-US" w:eastAsia="zh-CN"/>
                    </w:rPr>
                  </w:pPr>
                  <w:r>
                    <w:rPr>
                      <w:rFonts w:hint="eastAsia" w:cs="Times New Roman"/>
                      <w:highlight w:val="none"/>
                      <w:lang w:val="en-US" w:eastAsia="zh-CN"/>
                    </w:rPr>
                    <w:t>医疗废物</w:t>
                  </w:r>
                </w:p>
                <w:p w14:paraId="2179405D">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cs="Times New Roman"/>
                      <w:highlight w:val="none"/>
                      <w:lang w:val="en-US" w:eastAsia="zh-CN"/>
                    </w:rPr>
                  </w:pPr>
                  <w:r>
                    <w:rPr>
                      <w:rFonts w:hint="eastAsia" w:cs="Times New Roman"/>
                      <w:highlight w:val="none"/>
                      <w:lang w:val="en-US" w:eastAsia="zh-CN"/>
                    </w:rPr>
                    <w:t>暂存间异味</w:t>
                  </w:r>
                </w:p>
              </w:tc>
              <w:tc>
                <w:tcPr>
                  <w:tcW w:w="3276" w:type="pct"/>
                  <w:tcBorders>
                    <w:tl2br w:val="nil"/>
                    <w:tr2bl w:val="nil"/>
                  </w:tcBorders>
                  <w:noWrap w:val="0"/>
                  <w:vAlign w:val="center"/>
                </w:tcPr>
                <w:p w14:paraId="6D56D40F">
                  <w:pPr>
                    <w:pStyle w:val="48"/>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cs="Times New Roman"/>
                      <w:highlight w:val="none"/>
                      <w:lang w:val="en-US" w:eastAsia="zh-CN"/>
                    </w:rPr>
                  </w:pPr>
                  <w:r>
                    <w:rPr>
                      <w:rFonts w:hint="eastAsia" w:cs="Times New Roman"/>
                      <w:highlight w:val="none"/>
                      <w:lang w:val="en-US" w:eastAsia="zh-CN"/>
                    </w:rPr>
                    <w:t>医疗废物密封暂存，储存期不能超过两天，并做好消毒工作。</w:t>
                  </w:r>
                </w:p>
              </w:tc>
              <w:tc>
                <w:tcPr>
                  <w:tcW w:w="315" w:type="pct"/>
                  <w:tcBorders>
                    <w:tl2br w:val="nil"/>
                    <w:tr2bl w:val="nil"/>
                  </w:tcBorders>
                  <w:noWrap w:val="0"/>
                  <w:vAlign w:val="center"/>
                </w:tcPr>
                <w:p w14:paraId="35F6A126">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eastAsia" w:ascii="Times New Roman" w:hAnsi="Times New Roman" w:eastAsia="宋体" w:cs="Times New Roman"/>
                      <w:lang w:val="en-US" w:eastAsia="zh-CN"/>
                    </w:rPr>
                  </w:pPr>
                  <w:r>
                    <w:rPr>
                      <w:rFonts w:hint="eastAsia" w:cs="Times New Roman"/>
                      <w:lang w:val="en-US" w:eastAsia="zh-CN"/>
                    </w:rPr>
                    <w:t>已建</w:t>
                  </w:r>
                </w:p>
              </w:tc>
            </w:tr>
            <w:tr w14:paraId="1B43C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6346FD18">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noWrap w:val="0"/>
                  <w:vAlign w:val="center"/>
                </w:tcPr>
                <w:p w14:paraId="59093EBF">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default" w:ascii="Times New Roman" w:hAnsi="Times New Roman" w:eastAsia="宋体" w:cs="Times New Roman"/>
                    </w:rPr>
                    <w:t>废水</w:t>
                  </w:r>
                </w:p>
              </w:tc>
              <w:tc>
                <w:tcPr>
                  <w:tcW w:w="3276" w:type="pct"/>
                  <w:tcBorders>
                    <w:tl2br w:val="nil"/>
                    <w:tr2bl w:val="nil"/>
                  </w:tcBorders>
                  <w:shd w:val="clear" w:color="auto" w:fill="auto"/>
                  <w:noWrap w:val="0"/>
                  <w:vAlign w:val="center"/>
                </w:tcPr>
                <w:p w14:paraId="784A57C8">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both"/>
                    <w:textAlignment w:val="auto"/>
                    <w:rPr>
                      <w:rFonts w:hint="default" w:ascii="Times New Roman" w:hAnsi="Times New Roman" w:eastAsia="宋体" w:cs="Times New Roman"/>
                      <w:snapToGrid w:val="0"/>
                      <w:kern w:val="2"/>
                      <w:sz w:val="21"/>
                      <w:szCs w:val="21"/>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手术室水槽下方设置有消毒设施，有效容积为64L，</w:t>
                  </w:r>
                  <w:r>
                    <w:rPr>
                      <w:rFonts w:hint="eastAsia" w:cs="Times New Roman"/>
                      <w:snapToGrid w:val="0"/>
                      <w:color w:val="auto"/>
                      <w:kern w:val="2"/>
                      <w:sz w:val="21"/>
                      <w:szCs w:val="21"/>
                      <w:highlight w:val="none"/>
                      <w:vertAlign w:val="baseline"/>
                      <w:lang w:val="en-US" w:eastAsia="zh-CN" w:bidi="ar-SA"/>
                    </w:rPr>
                    <w:t>手术器械清洗废水、手术废水、诊疗废水</w:t>
                  </w:r>
                  <w:r>
                    <w:rPr>
                      <w:rFonts w:hint="eastAsia" w:ascii="Times New Roman" w:hAnsi="Times New Roman" w:eastAsia="宋体" w:cs="Times New Roman"/>
                      <w:color w:val="auto"/>
                      <w:sz w:val="21"/>
                      <w:highlight w:val="none"/>
                      <w:lang w:val="en-US" w:eastAsia="zh-CN"/>
                    </w:rPr>
                    <w:t>经</w:t>
                  </w:r>
                  <w:r>
                    <w:rPr>
                      <w:rFonts w:hint="eastAsia" w:ascii="Times New Roman" w:hAnsi="Times New Roman" w:eastAsia="宋体" w:cs="Times New Roman"/>
                      <w:snapToGrid w:val="0"/>
                      <w:color w:val="auto"/>
                      <w:kern w:val="2"/>
                      <w:sz w:val="21"/>
                      <w:szCs w:val="21"/>
                      <w:highlight w:val="none"/>
                      <w:lang w:val="en-US" w:eastAsia="zh-CN" w:bidi="ar-SA"/>
                    </w:rPr>
                    <w:t>手术室</w:t>
                  </w:r>
                  <w:r>
                    <w:rPr>
                      <w:rFonts w:hint="eastAsia" w:ascii="Times New Roman" w:hAnsi="Times New Roman" w:eastAsia="宋体" w:cs="Times New Roman"/>
                      <w:color w:val="auto"/>
                      <w:sz w:val="21"/>
                      <w:highlight w:val="none"/>
                      <w:lang w:val="en-US" w:eastAsia="zh-CN"/>
                    </w:rPr>
                    <w:t>水槽收集后进入消毒设施预处理</w:t>
                  </w:r>
                  <w:r>
                    <w:rPr>
                      <w:rFonts w:hint="eastAsia" w:cs="Times New Roman"/>
                      <w:color w:val="auto"/>
                      <w:sz w:val="21"/>
                      <w:highlight w:val="none"/>
                      <w:lang w:val="en-US" w:eastAsia="zh-CN"/>
                    </w:rPr>
                    <w:t>。卫生间</w:t>
                  </w:r>
                  <w:r>
                    <w:rPr>
                      <w:rFonts w:hint="eastAsia" w:ascii="Times New Roman" w:hAnsi="Times New Roman" w:eastAsia="宋体" w:cs="Times New Roman"/>
                      <w:snapToGrid w:val="0"/>
                      <w:color w:val="auto"/>
                      <w:kern w:val="2"/>
                      <w:sz w:val="21"/>
                      <w:szCs w:val="21"/>
                      <w:highlight w:val="none"/>
                      <w:lang w:val="en-US" w:eastAsia="zh-CN" w:bidi="ar-SA"/>
                    </w:rPr>
                    <w:t>水槽下方设置有消毒设施，有效容积为</w:t>
                  </w:r>
                  <w:r>
                    <w:rPr>
                      <w:rFonts w:hint="eastAsia" w:cs="Times New Roman"/>
                      <w:snapToGrid w:val="0"/>
                      <w:color w:val="auto"/>
                      <w:kern w:val="2"/>
                      <w:sz w:val="21"/>
                      <w:szCs w:val="21"/>
                      <w:highlight w:val="none"/>
                      <w:lang w:val="en-US" w:eastAsia="zh-CN" w:bidi="ar-SA"/>
                    </w:rPr>
                    <w:t>32</w:t>
                  </w:r>
                  <w:r>
                    <w:rPr>
                      <w:rFonts w:hint="eastAsia" w:ascii="Times New Roman" w:hAnsi="Times New Roman" w:eastAsia="宋体" w:cs="Times New Roman"/>
                      <w:snapToGrid w:val="0"/>
                      <w:color w:val="auto"/>
                      <w:kern w:val="2"/>
                      <w:sz w:val="21"/>
                      <w:szCs w:val="21"/>
                      <w:highlight w:val="none"/>
                      <w:lang w:val="en-US" w:eastAsia="zh-CN" w:bidi="ar-SA"/>
                    </w:rPr>
                    <w:t>L，</w:t>
                  </w:r>
                  <w:r>
                    <w:rPr>
                      <w:rFonts w:hint="eastAsia" w:cs="Times New Roman"/>
                      <w:snapToGrid w:val="0"/>
                      <w:color w:val="auto"/>
                      <w:kern w:val="2"/>
                      <w:sz w:val="21"/>
                      <w:szCs w:val="21"/>
                      <w:highlight w:val="none"/>
                      <w:vertAlign w:val="baseline"/>
                      <w:lang w:val="en-US" w:eastAsia="zh-CN" w:bidi="ar-SA"/>
                    </w:rPr>
                    <w:t>宠物笼清洗废水</w:t>
                  </w:r>
                  <w:r>
                    <w:rPr>
                      <w:rFonts w:hint="eastAsia" w:ascii="Times New Roman" w:hAnsi="Times New Roman" w:eastAsia="宋体" w:cs="Times New Roman"/>
                      <w:color w:val="auto"/>
                      <w:sz w:val="21"/>
                      <w:highlight w:val="none"/>
                      <w:lang w:val="en-US" w:eastAsia="zh-CN"/>
                    </w:rPr>
                    <w:t>经</w:t>
                  </w:r>
                  <w:r>
                    <w:rPr>
                      <w:rFonts w:hint="eastAsia" w:cs="Times New Roman"/>
                      <w:snapToGrid w:val="0"/>
                      <w:color w:val="auto"/>
                      <w:kern w:val="2"/>
                      <w:sz w:val="21"/>
                      <w:szCs w:val="21"/>
                      <w:highlight w:val="none"/>
                      <w:lang w:val="en-US" w:eastAsia="zh-CN" w:bidi="ar-SA"/>
                    </w:rPr>
                    <w:t>卫生间</w:t>
                  </w:r>
                  <w:r>
                    <w:rPr>
                      <w:rFonts w:hint="eastAsia" w:ascii="Times New Roman" w:hAnsi="Times New Roman" w:eastAsia="宋体" w:cs="Times New Roman"/>
                      <w:color w:val="auto"/>
                      <w:sz w:val="21"/>
                      <w:highlight w:val="none"/>
                      <w:lang w:val="en-US" w:eastAsia="zh-CN"/>
                    </w:rPr>
                    <w:t>水槽收集后进入消毒设施预处理</w:t>
                  </w:r>
                  <w:r>
                    <w:rPr>
                      <w:rFonts w:hint="eastAsia" w:cs="Times New Roman"/>
                      <w:color w:val="auto"/>
                      <w:sz w:val="21"/>
                      <w:highlight w:val="none"/>
                      <w:lang w:val="en-US" w:eastAsia="zh-CN"/>
                    </w:rPr>
                    <w:t>。</w:t>
                  </w:r>
                  <w:r>
                    <w:rPr>
                      <w:rFonts w:hint="eastAsia" w:cs="Times New Roman"/>
                      <w:snapToGrid w:val="0"/>
                      <w:color w:val="auto"/>
                      <w:kern w:val="2"/>
                      <w:sz w:val="21"/>
                      <w:szCs w:val="21"/>
                      <w:highlight w:val="none"/>
                      <w:vertAlign w:val="baseline"/>
                      <w:lang w:val="en-US" w:eastAsia="zh-CN" w:bidi="ar-SA"/>
                    </w:rPr>
                    <w:t>经消毒后的医疗废水与其他污水一并排入</w:t>
                  </w:r>
                  <w:r>
                    <w:rPr>
                      <w:rFonts w:hint="eastAsia" w:cs="Times New Roman"/>
                      <w:color w:val="auto"/>
                      <w:highlight w:val="none"/>
                      <w:lang w:val="en-US" w:eastAsia="zh-CN"/>
                    </w:rPr>
                    <w:t>恒大绿岛新城B区已建生化池，处理达标</w:t>
                  </w:r>
                  <w:r>
                    <w:rPr>
                      <w:rFonts w:hint="default" w:ascii="Times New Roman" w:hAnsi="Times New Roman" w:eastAsia="宋体" w:cs="Times New Roman"/>
                      <w:color w:val="auto"/>
                      <w:highlight w:val="none"/>
                      <w:lang w:val="en-US" w:eastAsia="zh-CN"/>
                    </w:rPr>
                    <w:t>后排入市政污水管网</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再经</w:t>
                  </w:r>
                  <w:r>
                    <w:rPr>
                      <w:rFonts w:hint="eastAsia" w:ascii="Times New Roman" w:hAnsi="Times New Roman" w:eastAsia="宋体" w:cs="Times New Roman"/>
                      <w:color w:val="auto"/>
                      <w:szCs w:val="21"/>
                      <w:highlight w:val="none"/>
                      <w:lang w:val="en-US" w:eastAsia="zh-CN"/>
                    </w:rPr>
                    <w:t>观音塘</w:t>
                  </w:r>
                  <w:r>
                    <w:rPr>
                      <w:rFonts w:hint="eastAsia" w:ascii="Times New Roman" w:hAnsi="Times New Roman" w:eastAsia="宋体" w:cs="Times New Roman"/>
                      <w:color w:val="auto"/>
                      <w:szCs w:val="21"/>
                      <w:highlight w:val="none"/>
                      <w:lang w:eastAsia="zh-CN"/>
                    </w:rPr>
                    <w:t>污水处理厂</w:t>
                  </w:r>
                  <w:r>
                    <w:rPr>
                      <w:rFonts w:hint="default" w:ascii="Times New Roman" w:hAnsi="Times New Roman" w:eastAsia="宋体" w:cs="Times New Roman"/>
                      <w:color w:val="auto"/>
                      <w:szCs w:val="21"/>
                      <w:highlight w:val="none"/>
                      <w:lang w:val="en-US" w:eastAsia="zh-CN"/>
                    </w:rPr>
                    <w:t>处理</w:t>
                  </w:r>
                  <w:r>
                    <w:rPr>
                      <w:rFonts w:hint="eastAsia" w:cs="Times New Roman"/>
                      <w:color w:val="auto"/>
                      <w:szCs w:val="21"/>
                      <w:highlight w:val="none"/>
                      <w:lang w:val="en-US" w:eastAsia="zh-CN"/>
                    </w:rPr>
                    <w:t>达标</w:t>
                  </w:r>
                  <w:r>
                    <w:rPr>
                      <w:rFonts w:hint="default" w:ascii="Times New Roman" w:hAnsi="Times New Roman" w:eastAsia="宋体" w:cs="Times New Roman"/>
                      <w:color w:val="auto"/>
                      <w:szCs w:val="21"/>
                      <w:highlight w:val="none"/>
                      <w:lang w:val="en-US" w:eastAsia="zh-CN"/>
                    </w:rPr>
                    <w:t>后排入</w:t>
                  </w:r>
                  <w:r>
                    <w:rPr>
                      <w:rFonts w:hint="eastAsia" w:ascii="Times New Roman" w:hAnsi="Times New Roman" w:eastAsia="宋体" w:cs="Times New Roman"/>
                      <w:color w:val="auto"/>
                      <w:szCs w:val="21"/>
                      <w:highlight w:val="none"/>
                      <w:lang w:val="en-US" w:eastAsia="zh-CN"/>
                    </w:rPr>
                    <w:t>璧南河</w:t>
                  </w:r>
                  <w:r>
                    <w:rPr>
                      <w:rFonts w:hint="default" w:ascii="Times New Roman" w:hAnsi="Times New Roman" w:eastAsia="宋体" w:cs="Times New Roman"/>
                      <w:color w:val="auto"/>
                      <w:szCs w:val="21"/>
                      <w:highlight w:val="none"/>
                      <w:lang w:val="en-US" w:eastAsia="zh-CN"/>
                    </w:rPr>
                    <w:t>。</w:t>
                  </w:r>
                </w:p>
              </w:tc>
              <w:tc>
                <w:tcPr>
                  <w:tcW w:w="315" w:type="pct"/>
                  <w:tcBorders>
                    <w:tl2br w:val="nil"/>
                    <w:tr2bl w:val="nil"/>
                  </w:tcBorders>
                  <w:noWrap w:val="0"/>
                  <w:vAlign w:val="center"/>
                </w:tcPr>
                <w:p w14:paraId="42AAAEC0">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lang w:val="en-US" w:eastAsia="zh-CN"/>
                    </w:rPr>
                  </w:pPr>
                  <w:r>
                    <w:rPr>
                      <w:rFonts w:hint="eastAsia" w:cs="Times New Roman"/>
                      <w:lang w:val="en-US" w:eastAsia="zh-CN"/>
                    </w:rPr>
                    <w:t>已建+依托</w:t>
                  </w:r>
                </w:p>
              </w:tc>
            </w:tr>
            <w:tr w14:paraId="15477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747072F9">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vMerge w:val="restart"/>
                  <w:tcBorders>
                    <w:tl2br w:val="nil"/>
                    <w:tr2bl w:val="nil"/>
                  </w:tcBorders>
                  <w:noWrap w:val="0"/>
                  <w:vAlign w:val="center"/>
                </w:tcPr>
                <w:p w14:paraId="6BA129B2">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lang w:val="en-US" w:eastAsia="zh-CN"/>
                    </w:rPr>
                    <w:t>固废</w:t>
                  </w:r>
                </w:p>
              </w:tc>
              <w:tc>
                <w:tcPr>
                  <w:tcW w:w="3276" w:type="pct"/>
                  <w:tcBorders>
                    <w:tl2br w:val="nil"/>
                    <w:tr2bl w:val="nil"/>
                  </w:tcBorders>
                  <w:shd w:val="clear" w:color="auto" w:fill="auto"/>
                  <w:noWrap w:val="0"/>
                  <w:vAlign w:val="center"/>
                </w:tcPr>
                <w:p w14:paraId="2EC4E64A">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设1间医疗废物暂存点，位于取药室内单独区域内</w:t>
                  </w:r>
                  <w:r>
                    <w:rPr>
                      <w:rFonts w:hint="eastAsia"/>
                      <w:color w:val="auto"/>
                      <w:szCs w:val="22"/>
                      <w:highlight w:val="none"/>
                    </w:rPr>
                    <w:t>，</w:t>
                  </w:r>
                  <w:r>
                    <w:rPr>
                      <w:rFonts w:hint="eastAsia"/>
                      <w:color w:val="auto"/>
                      <w:szCs w:val="22"/>
                      <w:highlight w:val="none"/>
                      <w:lang w:val="en-US" w:eastAsia="zh-CN"/>
                    </w:rPr>
                    <w:t>建筑</w:t>
                  </w:r>
                  <w:r>
                    <w:rPr>
                      <w:rFonts w:hint="eastAsia"/>
                      <w:color w:val="auto"/>
                      <w:szCs w:val="22"/>
                      <w:highlight w:val="none"/>
                    </w:rPr>
                    <w:t>面积约</w:t>
                  </w:r>
                  <w:r>
                    <w:rPr>
                      <w:rFonts w:hint="eastAsia"/>
                      <w:color w:val="auto"/>
                      <w:szCs w:val="22"/>
                      <w:highlight w:val="none"/>
                      <w:lang w:val="en-US" w:eastAsia="zh-CN"/>
                    </w:rPr>
                    <w:t>1</w:t>
                  </w:r>
                  <w:r>
                    <w:rPr>
                      <w:rFonts w:hint="eastAsia"/>
                      <w:color w:val="auto"/>
                      <w:szCs w:val="22"/>
                      <w:highlight w:val="none"/>
                    </w:rPr>
                    <w:t>m</w:t>
                  </w:r>
                  <w:r>
                    <w:rPr>
                      <w:rFonts w:hint="eastAsia"/>
                      <w:color w:val="auto"/>
                      <w:szCs w:val="22"/>
                      <w:highlight w:val="none"/>
                      <w:vertAlign w:val="superscript"/>
                    </w:rPr>
                    <w:t>2</w:t>
                  </w:r>
                  <w:r>
                    <w:rPr>
                      <w:rFonts w:hint="eastAsia"/>
                      <w:color w:val="auto"/>
                      <w:szCs w:val="22"/>
                      <w:highlight w:val="none"/>
                    </w:rPr>
                    <w:t>，</w:t>
                  </w:r>
                  <w:r>
                    <w:rPr>
                      <w:rFonts w:hint="eastAsia"/>
                      <w:color w:val="auto"/>
                      <w:szCs w:val="22"/>
                      <w:highlight w:val="none"/>
                      <w:lang w:val="en-US" w:eastAsia="zh-CN"/>
                    </w:rPr>
                    <w:t>用于医疗废物和废紫外灯管的暂存，内设加盖收集桶分类暂存医疗废物和废紫外线灯管，定期交有资质单位收运处置。</w:t>
                  </w:r>
                </w:p>
              </w:tc>
              <w:tc>
                <w:tcPr>
                  <w:tcW w:w="315" w:type="pct"/>
                  <w:tcBorders>
                    <w:tl2br w:val="nil"/>
                    <w:tr2bl w:val="nil"/>
                  </w:tcBorders>
                  <w:shd w:val="clear" w:color="auto" w:fill="auto"/>
                  <w:noWrap w:val="0"/>
                  <w:vAlign w:val="center"/>
                </w:tcPr>
                <w:p w14:paraId="25FC5027">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4D11E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0BB89B60">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vMerge w:val="continue"/>
                  <w:tcBorders>
                    <w:tl2br w:val="nil"/>
                    <w:tr2bl w:val="nil"/>
                  </w:tcBorders>
                  <w:noWrap w:val="0"/>
                  <w:vAlign w:val="center"/>
                </w:tcPr>
                <w:p w14:paraId="29438742">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cs="Times New Roman"/>
                      <w:color w:val="000000" w:themeColor="text1"/>
                      <w:highlight w:val="none"/>
                      <w:lang w:val="en-US" w:eastAsia="zh-CN"/>
                      <w14:textFill>
                        <w14:solidFill>
                          <w14:schemeClr w14:val="tx1"/>
                        </w14:solidFill>
                      </w14:textFill>
                    </w:rPr>
                  </w:pPr>
                </w:p>
              </w:tc>
              <w:tc>
                <w:tcPr>
                  <w:tcW w:w="3276" w:type="pct"/>
                  <w:tcBorders>
                    <w:tl2br w:val="nil"/>
                    <w:tr2bl w:val="nil"/>
                  </w:tcBorders>
                  <w:shd w:val="clear" w:color="auto" w:fill="auto"/>
                  <w:noWrap w:val="0"/>
                  <w:vAlign w:val="center"/>
                </w:tcPr>
                <w:p w14:paraId="700E49F7">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snapToGrid w:val="0"/>
                      <w:kern w:val="2"/>
                      <w:sz w:val="21"/>
                      <w:szCs w:val="21"/>
                      <w:lang w:val="en-US" w:eastAsia="zh-CN" w:bidi="ar-SA"/>
                    </w:rPr>
                    <w:t>院内设置加盖垃圾桶，猫砂喷洒消毒剂后紧袋收集暂存于加盖垃圾桶，定期交由当地环卫部门进行处理，犬尿液经消毒设施预处理后直接进入</w:t>
                  </w:r>
                  <w:r>
                    <w:rPr>
                      <w:rFonts w:hint="eastAsia" w:cs="Times New Roman"/>
                      <w:color w:val="auto"/>
                      <w:highlight w:val="none"/>
                      <w:lang w:val="en-US" w:eastAsia="zh-CN"/>
                    </w:rPr>
                    <w:t>恒大绿岛新城B区</w:t>
                  </w:r>
                  <w:r>
                    <w:rPr>
                      <w:rFonts w:hint="eastAsia" w:cs="Times New Roman"/>
                      <w:snapToGrid w:val="0"/>
                      <w:kern w:val="2"/>
                      <w:sz w:val="21"/>
                      <w:szCs w:val="21"/>
                      <w:lang w:val="en-US" w:eastAsia="zh-CN" w:bidi="ar-SA"/>
                    </w:rPr>
                    <w:t>生化池，犬粪便喷洒消毒剂后紧袋收集暂存于加盖垃圾桶，定期交由当地环卫部门进行处理。</w:t>
                  </w:r>
                </w:p>
              </w:tc>
              <w:tc>
                <w:tcPr>
                  <w:tcW w:w="315" w:type="pct"/>
                  <w:tcBorders>
                    <w:tl2br w:val="nil"/>
                    <w:tr2bl w:val="nil"/>
                  </w:tcBorders>
                  <w:shd w:val="clear" w:color="auto" w:fill="auto"/>
                  <w:noWrap w:val="0"/>
                  <w:vAlign w:val="center"/>
                </w:tcPr>
                <w:p w14:paraId="01C83ECA">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64A58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0AA76962">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vMerge w:val="continue"/>
                  <w:tcBorders>
                    <w:tl2br w:val="nil"/>
                    <w:tr2bl w:val="nil"/>
                  </w:tcBorders>
                  <w:noWrap w:val="0"/>
                  <w:vAlign w:val="center"/>
                </w:tcPr>
                <w:p w14:paraId="3E0A1B90">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cs="Times New Roman"/>
                      <w:color w:val="000000" w:themeColor="text1"/>
                      <w:highlight w:val="none"/>
                      <w:lang w:val="en-US" w:eastAsia="zh-CN"/>
                      <w14:textFill>
                        <w14:solidFill>
                          <w14:schemeClr w14:val="tx1"/>
                        </w14:solidFill>
                      </w14:textFill>
                    </w:rPr>
                  </w:pPr>
                </w:p>
              </w:tc>
              <w:tc>
                <w:tcPr>
                  <w:tcW w:w="3276" w:type="pct"/>
                  <w:tcBorders>
                    <w:tl2br w:val="nil"/>
                    <w:tr2bl w:val="nil"/>
                  </w:tcBorders>
                  <w:shd w:val="clear" w:color="auto" w:fill="auto"/>
                  <w:noWrap w:val="0"/>
                  <w:vAlign w:val="center"/>
                </w:tcPr>
                <w:p w14:paraId="32963FEF">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cs="Times New Roman"/>
                      <w:snapToGrid w:val="0"/>
                      <w:kern w:val="2"/>
                      <w:sz w:val="21"/>
                      <w:szCs w:val="21"/>
                      <w:lang w:val="en-US" w:eastAsia="zh-CN" w:bidi="ar-SA"/>
                    </w:rPr>
                  </w:pPr>
                  <w:r>
                    <w:rPr>
                      <w:rFonts w:hint="eastAsia" w:ascii="Times New Roman" w:hAnsi="Times New Roman" w:eastAsia="宋体" w:cs="Times New Roman"/>
                      <w:snapToGrid w:val="0"/>
                      <w:kern w:val="2"/>
                      <w:sz w:val="21"/>
                      <w:szCs w:val="21"/>
                      <w:lang w:val="en-US" w:eastAsia="zh-CN" w:bidi="ar-SA"/>
                    </w:rPr>
                    <w:t>动物组织密闭袋装收集在专用冰柜暂存，动物尸体不在院区暂存，有动物尸体产生时，宠物主人可以按照农业部印发的《病死及病害无害化处理技术规范》的通知（农医发201725号）文件要求对动物尸体自行处理；宠物主人无法自行处理的动物尸体与动物组织</w:t>
                  </w:r>
                  <w:r>
                    <w:rPr>
                      <w:rFonts w:hint="eastAsia" w:ascii="Times New Roman" w:hAnsi="Times New Roman" w:eastAsia="宋体" w:cs="Times New Roman"/>
                      <w:snapToGrid w:val="0"/>
                      <w:kern w:val="2"/>
                      <w:sz w:val="21"/>
                      <w:szCs w:val="21"/>
                      <w:highlight w:val="none"/>
                      <w:lang w:val="en-US" w:eastAsia="zh-CN" w:bidi="ar-SA"/>
                    </w:rPr>
                    <w:t>一并交</w:t>
                  </w:r>
                  <w:r>
                    <w:rPr>
                      <w:rFonts w:hint="eastAsia" w:cs="Times New Roman"/>
                      <w:b w:val="0"/>
                      <w:bCs w:val="0"/>
                      <w:sz w:val="21"/>
                      <w:szCs w:val="21"/>
                      <w:highlight w:val="none"/>
                      <w:vertAlign w:val="baseline"/>
                      <w:lang w:eastAsia="zh-CN"/>
                    </w:rPr>
                    <w:t>重庆市正羽环保科技有限公司</w:t>
                  </w:r>
                  <w:r>
                    <w:rPr>
                      <w:rFonts w:hint="eastAsia" w:ascii="Times New Roman" w:hAnsi="Times New Roman" w:eastAsia="宋体" w:cs="Times New Roman"/>
                      <w:color w:val="000000" w:themeColor="text1"/>
                      <w:highlight w:val="none"/>
                      <w:lang w:eastAsia="zh-CN"/>
                      <w14:textFill>
                        <w14:solidFill>
                          <w14:schemeClr w14:val="tx1"/>
                        </w14:solidFill>
                      </w14:textFill>
                    </w:rPr>
                    <w:t>进行无害化处置</w:t>
                  </w:r>
                  <w:r>
                    <w:rPr>
                      <w:rFonts w:hint="eastAsia" w:cs="Times New Roman"/>
                      <w:snapToGrid w:val="0"/>
                      <w:kern w:val="2"/>
                      <w:sz w:val="21"/>
                      <w:szCs w:val="21"/>
                      <w:highlight w:val="none"/>
                      <w:lang w:val="en-US" w:eastAsia="zh-CN" w:bidi="ar-SA"/>
                    </w:rPr>
                    <w:t>。</w:t>
                  </w:r>
                </w:p>
              </w:tc>
              <w:tc>
                <w:tcPr>
                  <w:tcW w:w="315" w:type="pct"/>
                  <w:tcBorders>
                    <w:tl2br w:val="nil"/>
                    <w:tr2bl w:val="nil"/>
                  </w:tcBorders>
                  <w:shd w:val="clear" w:color="auto" w:fill="auto"/>
                  <w:noWrap w:val="0"/>
                  <w:vAlign w:val="center"/>
                </w:tcPr>
                <w:p w14:paraId="14E239C0">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4AD4D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205B4A01">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vMerge w:val="continue"/>
                  <w:tcBorders>
                    <w:tl2br w:val="nil"/>
                    <w:tr2bl w:val="nil"/>
                  </w:tcBorders>
                  <w:noWrap w:val="0"/>
                  <w:vAlign w:val="center"/>
                </w:tcPr>
                <w:p w14:paraId="4BFD8B8C">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p>
              </w:tc>
              <w:tc>
                <w:tcPr>
                  <w:tcW w:w="3276" w:type="pct"/>
                  <w:tcBorders>
                    <w:tl2br w:val="nil"/>
                    <w:tr2bl w:val="nil"/>
                  </w:tcBorders>
                  <w:shd w:val="clear" w:color="auto" w:fill="auto"/>
                  <w:noWrap w:val="0"/>
                  <w:vAlign w:val="center"/>
                </w:tcPr>
                <w:p w14:paraId="72C7C1F5">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cs="Times New Roman"/>
                      <w:snapToGrid w:val="0"/>
                      <w:kern w:val="2"/>
                      <w:sz w:val="21"/>
                      <w:szCs w:val="21"/>
                      <w:lang w:val="en-US" w:eastAsia="zh-CN" w:bidi="ar-SA"/>
                    </w:rPr>
                  </w:pPr>
                  <w:r>
                    <w:rPr>
                      <w:rFonts w:hint="eastAsia" w:cs="Times New Roman"/>
                      <w:snapToGrid w:val="0"/>
                      <w:kern w:val="2"/>
                      <w:sz w:val="21"/>
                      <w:szCs w:val="21"/>
                      <w:lang w:val="en-US" w:eastAsia="zh-CN" w:bidi="ar-SA"/>
                    </w:rPr>
                    <w:t>设置收集箱收集一般固废。</w:t>
                  </w:r>
                </w:p>
              </w:tc>
              <w:tc>
                <w:tcPr>
                  <w:tcW w:w="315" w:type="pct"/>
                  <w:tcBorders>
                    <w:tl2br w:val="nil"/>
                    <w:tr2bl w:val="nil"/>
                  </w:tcBorders>
                  <w:shd w:val="clear" w:color="auto" w:fill="auto"/>
                  <w:noWrap w:val="0"/>
                  <w:vAlign w:val="center"/>
                </w:tcPr>
                <w:p w14:paraId="05CEF4A5">
                  <w:pPr>
                    <w:pStyle w:val="48"/>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cs="Times New Roman"/>
                      <w:snapToGrid w:val="0"/>
                      <w:kern w:val="2"/>
                      <w:sz w:val="21"/>
                      <w:szCs w:val="21"/>
                      <w:lang w:val="en-US" w:eastAsia="zh-CN" w:bidi="ar-SA"/>
                    </w:rPr>
                  </w:pPr>
                  <w:r>
                    <w:rPr>
                      <w:rFonts w:hint="eastAsia" w:cs="Times New Roman"/>
                      <w:snapToGrid w:val="0"/>
                      <w:kern w:val="2"/>
                      <w:sz w:val="21"/>
                      <w:szCs w:val="21"/>
                      <w:lang w:val="en-US" w:eastAsia="zh-CN" w:bidi="ar-SA"/>
                    </w:rPr>
                    <w:t>已建</w:t>
                  </w:r>
                </w:p>
              </w:tc>
            </w:tr>
            <w:tr w14:paraId="61542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8" w:type="pct"/>
                  <w:vMerge w:val="continue"/>
                  <w:tcBorders>
                    <w:tl2br w:val="nil"/>
                    <w:tr2bl w:val="nil"/>
                  </w:tcBorders>
                  <w:noWrap w:val="0"/>
                  <w:vAlign w:val="center"/>
                </w:tcPr>
                <w:p w14:paraId="5D267D07">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p>
              </w:tc>
              <w:tc>
                <w:tcPr>
                  <w:tcW w:w="1019" w:type="pct"/>
                  <w:gridSpan w:val="2"/>
                  <w:tcBorders>
                    <w:tl2br w:val="nil"/>
                    <w:tr2bl w:val="nil"/>
                  </w:tcBorders>
                  <w:noWrap w:val="0"/>
                  <w:vAlign w:val="center"/>
                </w:tcPr>
                <w:p w14:paraId="04130CDA">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噪声</w:t>
                  </w:r>
                </w:p>
              </w:tc>
              <w:tc>
                <w:tcPr>
                  <w:tcW w:w="3276" w:type="pct"/>
                  <w:tcBorders>
                    <w:tl2br w:val="nil"/>
                    <w:tr2bl w:val="nil"/>
                  </w:tcBorders>
                  <w:noWrap w:val="0"/>
                  <w:vAlign w:val="center"/>
                </w:tcPr>
                <w:p w14:paraId="3CBA9A42">
                  <w:pPr>
                    <w:pStyle w:val="48"/>
                    <w:keepNext w:val="0"/>
                    <w:keepLines w:val="0"/>
                    <w:pageBreakBefore w:val="0"/>
                    <w:widowControl w:val="0"/>
                    <w:kinsoku/>
                    <w:wordWrap/>
                    <w:overflowPunct/>
                    <w:topLinePunct w:val="0"/>
                    <w:autoSpaceDE/>
                    <w:autoSpaceDN/>
                    <w:bidi w:val="0"/>
                    <w:adjustRightInd/>
                    <w:snapToGrid w:val="0"/>
                    <w:ind w:left="0" w:leftChars="0" w:right="0" w:rightChars="0"/>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选用低噪声诊疗设备</w:t>
                  </w:r>
                  <w:r>
                    <w:rPr>
                      <w:rFonts w:hint="eastAsia" w:cs="Times New Roman"/>
                      <w:lang w:eastAsia="zh-CN"/>
                    </w:rPr>
                    <w:t>，宠物叫声</w:t>
                  </w:r>
                  <w:r>
                    <w:rPr>
                      <w:rFonts w:hint="default" w:ascii="Times New Roman" w:hAnsi="Times New Roman" w:eastAsia="宋体" w:cs="Times New Roman"/>
                      <w:lang w:eastAsia="zh-CN"/>
                    </w:rPr>
                    <w:t>采取加强管理的措施，避免宠物处于饥饿状态</w:t>
                  </w:r>
                  <w:r>
                    <w:rPr>
                      <w:rFonts w:hint="eastAsia" w:cs="Times New Roman"/>
                      <w:lang w:eastAsia="zh-CN"/>
                    </w:rPr>
                    <w:t>。</w:t>
                  </w:r>
                </w:p>
              </w:tc>
              <w:tc>
                <w:tcPr>
                  <w:tcW w:w="315" w:type="pct"/>
                  <w:tcBorders>
                    <w:tl2br w:val="nil"/>
                    <w:tr2bl w:val="nil"/>
                  </w:tcBorders>
                  <w:noWrap w:val="0"/>
                  <w:vAlign w:val="center"/>
                </w:tcPr>
                <w:p w14:paraId="7DFD0196">
                  <w:pPr>
                    <w:pStyle w:val="48"/>
                    <w:keepNext w:val="0"/>
                    <w:keepLines w:val="0"/>
                    <w:pageBreakBefore w:val="0"/>
                    <w:widowControl w:val="0"/>
                    <w:kinsoku/>
                    <w:wordWrap/>
                    <w:overflowPunct/>
                    <w:topLinePunct w:val="0"/>
                    <w:autoSpaceDE/>
                    <w:autoSpaceDN/>
                    <w:bidi w:val="0"/>
                    <w:adjustRightInd/>
                    <w:snapToGrid w:val="0"/>
                    <w:ind w:left="0" w:leftChars="0" w:right="0" w:rightChars="0"/>
                    <w:jc w:val="center"/>
                    <w:textAlignment w:val="auto"/>
                    <w:rPr>
                      <w:rFonts w:hint="default" w:ascii="Times New Roman" w:hAnsi="Times New Roman" w:eastAsia="宋体" w:cs="Times New Roman"/>
                    </w:rPr>
                  </w:pPr>
                  <w:r>
                    <w:rPr>
                      <w:rFonts w:hint="eastAsia" w:cs="Times New Roman"/>
                      <w:snapToGrid w:val="0"/>
                      <w:kern w:val="2"/>
                      <w:sz w:val="21"/>
                      <w:szCs w:val="21"/>
                      <w:lang w:val="en-US" w:eastAsia="zh-CN" w:bidi="ar-SA"/>
                    </w:rPr>
                    <w:t>已建</w:t>
                  </w:r>
                </w:p>
              </w:tc>
            </w:tr>
          </w:tbl>
          <w:p w14:paraId="497CDF9A">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lang w:val="en-US" w:eastAsia="zh-CN"/>
              </w:rPr>
              <w:t>本项目依托工程详见下表。</w:t>
            </w:r>
          </w:p>
          <w:p w14:paraId="3C9F735E">
            <w:pPr>
              <w:pStyle w:val="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val="0"/>
                <w:bCs/>
                <w:color w:val="auto"/>
                <w:sz w:val="24"/>
                <w:szCs w:val="24"/>
                <w:highlight w:val="none"/>
              </w:rPr>
              <w:t>表 2</w:t>
            </w:r>
            <w:r>
              <w:rPr>
                <w:rFonts w:hint="eastAsia" w:ascii="Times New Roman" w:hAnsi="Times New Roman" w:eastAsia="宋体" w:cs="Times New Roman"/>
                <w:b w:val="0"/>
                <w:bCs/>
                <w:color w:val="auto"/>
                <w:sz w:val="24"/>
                <w:szCs w:val="24"/>
                <w:highlight w:val="none"/>
                <w:lang w:val="en-US" w:eastAsia="zh-CN"/>
              </w:rPr>
              <w:t>.3-2</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本</w:t>
            </w:r>
            <w:r>
              <w:rPr>
                <w:rFonts w:hint="default" w:ascii="Times New Roman" w:hAnsi="Times New Roman" w:eastAsia="宋体" w:cs="Times New Roman"/>
                <w:b w:val="0"/>
                <w:bCs/>
                <w:color w:val="auto"/>
                <w:sz w:val="24"/>
                <w:szCs w:val="24"/>
                <w:highlight w:val="none"/>
              </w:rPr>
              <w:t>项目依托工程一览表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56"/>
              <w:gridCol w:w="5113"/>
              <w:gridCol w:w="1079"/>
            </w:tblGrid>
            <w:tr w14:paraId="77B2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40" w:type="dxa"/>
                  <w:tcBorders>
                    <w:top w:val="single" w:color="auto" w:sz="4" w:space="0"/>
                    <w:left w:val="single" w:color="auto" w:sz="4" w:space="0"/>
                    <w:bottom w:val="single" w:color="auto" w:sz="4" w:space="0"/>
                    <w:right w:val="single" w:color="auto" w:sz="4" w:space="0"/>
                  </w:tcBorders>
                  <w:vAlign w:val="center"/>
                </w:tcPr>
                <w:p w14:paraId="21A2CF87">
                  <w:pPr>
                    <w:pStyle w:val="48"/>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rPr>
                    <w:t>工程类别</w:t>
                  </w:r>
                </w:p>
              </w:tc>
              <w:tc>
                <w:tcPr>
                  <w:tcW w:w="1254" w:type="dxa"/>
                  <w:tcBorders>
                    <w:top w:val="single" w:color="auto" w:sz="4" w:space="0"/>
                    <w:left w:val="single" w:color="auto" w:sz="4" w:space="0"/>
                    <w:bottom w:val="single" w:color="auto" w:sz="4" w:space="0"/>
                    <w:right w:val="single" w:color="auto" w:sz="4" w:space="0"/>
                  </w:tcBorders>
                  <w:vAlign w:val="center"/>
                </w:tcPr>
                <w:p w14:paraId="37196162">
                  <w:pPr>
                    <w:pStyle w:val="48"/>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rPr>
                    <w:t>工程名称</w:t>
                  </w:r>
                </w:p>
              </w:tc>
              <w:tc>
                <w:tcPr>
                  <w:tcW w:w="5106" w:type="dxa"/>
                  <w:tcBorders>
                    <w:top w:val="single" w:color="auto" w:sz="4" w:space="0"/>
                    <w:left w:val="single" w:color="auto" w:sz="4" w:space="0"/>
                    <w:bottom w:val="single" w:color="auto" w:sz="4" w:space="0"/>
                    <w:right w:val="single" w:color="auto" w:sz="4" w:space="0"/>
                  </w:tcBorders>
                  <w:vAlign w:val="center"/>
                </w:tcPr>
                <w:p w14:paraId="6CF7791A">
                  <w:pPr>
                    <w:pStyle w:val="49"/>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依托可行性分析</w:t>
                  </w:r>
                </w:p>
              </w:tc>
              <w:tc>
                <w:tcPr>
                  <w:tcW w:w="1077" w:type="dxa"/>
                  <w:tcBorders>
                    <w:top w:val="single" w:color="auto" w:sz="4" w:space="0"/>
                    <w:left w:val="single" w:color="auto" w:sz="4" w:space="0"/>
                    <w:bottom w:val="single" w:color="auto" w:sz="4" w:space="0"/>
                    <w:right w:val="single" w:color="auto" w:sz="4" w:space="0"/>
                  </w:tcBorders>
                  <w:vAlign w:val="center"/>
                </w:tcPr>
                <w:p w14:paraId="49453434">
                  <w:pPr>
                    <w:pStyle w:val="49"/>
                    <w:keepNext w:val="0"/>
                    <w:keepLines w:val="0"/>
                    <w:pageBreakBefore w:val="0"/>
                    <w:widowControl w:val="0"/>
                    <w:kinsoku/>
                    <w:wordWrap/>
                    <w:overflowPunct/>
                    <w:topLinePunct w:val="0"/>
                    <w:autoSpaceDE/>
                    <w:autoSpaceDN/>
                    <w:bidi w:val="0"/>
                    <w:adjustRightInd w:val="0"/>
                    <w:snapToGrid w:val="0"/>
                    <w:ind w:left="-105" w:leftChars="-50" w:right="-105" w:rightChars="-5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依托可行性</w:t>
                  </w:r>
                </w:p>
              </w:tc>
            </w:tr>
            <w:tr w14:paraId="5FAA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40" w:type="dxa"/>
                  <w:vMerge w:val="restart"/>
                  <w:tcBorders>
                    <w:top w:val="single" w:color="auto" w:sz="4" w:space="0"/>
                    <w:left w:val="single" w:color="auto" w:sz="4" w:space="0"/>
                    <w:right w:val="single" w:color="auto" w:sz="4" w:space="0"/>
                  </w:tcBorders>
                  <w:vAlign w:val="center"/>
                </w:tcPr>
                <w:p w14:paraId="5E73A68C">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公用工程</w:t>
                  </w:r>
                </w:p>
              </w:tc>
              <w:tc>
                <w:tcPr>
                  <w:tcW w:w="1254" w:type="dxa"/>
                  <w:tcBorders>
                    <w:top w:val="single" w:color="auto" w:sz="4" w:space="0"/>
                    <w:left w:val="single" w:color="auto" w:sz="4" w:space="0"/>
                    <w:bottom w:val="single" w:color="auto" w:sz="4" w:space="0"/>
                    <w:right w:val="single" w:color="auto" w:sz="4" w:space="0"/>
                  </w:tcBorders>
                  <w:vAlign w:val="center"/>
                </w:tcPr>
                <w:p w14:paraId="58B25154">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rPr>
                    <w:t>供电工程</w:t>
                  </w:r>
                </w:p>
              </w:tc>
              <w:tc>
                <w:tcPr>
                  <w:tcW w:w="5106" w:type="dxa"/>
                  <w:tcBorders>
                    <w:top w:val="single" w:color="auto" w:sz="4" w:space="0"/>
                    <w:left w:val="single" w:color="auto" w:sz="4" w:space="0"/>
                    <w:bottom w:val="single" w:color="auto" w:sz="4" w:space="0"/>
                    <w:right w:val="single" w:color="auto" w:sz="4" w:space="0"/>
                  </w:tcBorders>
                  <w:vAlign w:val="center"/>
                </w:tcPr>
                <w:p w14:paraId="57029AD1">
                  <w:pPr>
                    <w:pStyle w:val="48"/>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rPr>
                    <w:t>由</w:t>
                  </w:r>
                  <w:r>
                    <w:rPr>
                      <w:rFonts w:hint="default" w:ascii="Times New Roman" w:hAnsi="Times New Roman" w:eastAsia="宋体" w:cs="Times New Roman"/>
                      <w:lang w:val="en-US" w:eastAsia="zh-CN"/>
                    </w:rPr>
                    <w:t>市政供电系统</w:t>
                  </w:r>
                  <w:r>
                    <w:rPr>
                      <w:rFonts w:hint="default" w:ascii="Times New Roman" w:hAnsi="Times New Roman" w:eastAsia="宋体" w:cs="Times New Roman"/>
                    </w:rPr>
                    <w:t>供给</w:t>
                  </w:r>
                  <w:r>
                    <w:rPr>
                      <w:rFonts w:hint="default" w:ascii="Times New Roman" w:hAnsi="Times New Roman" w:eastAsia="宋体" w:cs="Times New Roman"/>
                      <w:lang w:eastAsia="zh-CN"/>
                    </w:rPr>
                    <w:t>。</w:t>
                  </w:r>
                </w:p>
              </w:tc>
              <w:tc>
                <w:tcPr>
                  <w:tcW w:w="1077" w:type="dxa"/>
                  <w:tcBorders>
                    <w:top w:val="single" w:color="auto" w:sz="4" w:space="0"/>
                    <w:left w:val="single" w:color="auto" w:sz="4" w:space="0"/>
                    <w:bottom w:val="single" w:color="auto" w:sz="4" w:space="0"/>
                    <w:right w:val="single" w:color="auto" w:sz="4" w:space="0"/>
                  </w:tcBorders>
                  <w:vAlign w:val="center"/>
                </w:tcPr>
                <w:p w14:paraId="101F5DA1">
                  <w:pPr>
                    <w:pStyle w:val="4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可依托</w:t>
                  </w:r>
                </w:p>
              </w:tc>
            </w:tr>
            <w:tr w14:paraId="15F1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40" w:type="dxa"/>
                  <w:vMerge w:val="continue"/>
                  <w:tcBorders>
                    <w:left w:val="single" w:color="auto" w:sz="4" w:space="0"/>
                    <w:right w:val="single" w:color="auto" w:sz="4" w:space="0"/>
                  </w:tcBorders>
                  <w:vAlign w:val="center"/>
                </w:tcPr>
                <w:p w14:paraId="49B542F7">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lang w:val="en-US" w:eastAsia="zh-CN"/>
                    </w:rPr>
                  </w:pPr>
                </w:p>
              </w:tc>
              <w:tc>
                <w:tcPr>
                  <w:tcW w:w="1254" w:type="dxa"/>
                  <w:tcBorders>
                    <w:top w:val="single" w:color="auto" w:sz="4" w:space="0"/>
                    <w:left w:val="single" w:color="auto" w:sz="4" w:space="0"/>
                    <w:bottom w:val="single" w:color="auto" w:sz="4" w:space="0"/>
                    <w:right w:val="single" w:color="auto" w:sz="4" w:space="0"/>
                  </w:tcBorders>
                  <w:vAlign w:val="center"/>
                </w:tcPr>
                <w:p w14:paraId="2C0D31D8">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lang w:val="en-US" w:eastAsia="zh-CN"/>
                    </w:rPr>
                    <w:t>供气工程</w:t>
                  </w:r>
                </w:p>
              </w:tc>
              <w:tc>
                <w:tcPr>
                  <w:tcW w:w="5106" w:type="dxa"/>
                  <w:tcBorders>
                    <w:top w:val="single" w:color="auto" w:sz="4" w:space="0"/>
                    <w:left w:val="single" w:color="auto" w:sz="4" w:space="0"/>
                    <w:bottom w:val="single" w:color="auto" w:sz="4" w:space="0"/>
                    <w:right w:val="single" w:color="auto" w:sz="4" w:space="0"/>
                  </w:tcBorders>
                  <w:vAlign w:val="center"/>
                </w:tcPr>
                <w:p w14:paraId="1AFC04FF">
                  <w:pPr>
                    <w:pStyle w:val="48"/>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由市政燃气管网供给。</w:t>
                  </w:r>
                </w:p>
              </w:tc>
              <w:tc>
                <w:tcPr>
                  <w:tcW w:w="1077" w:type="dxa"/>
                  <w:tcBorders>
                    <w:top w:val="single" w:color="auto" w:sz="4" w:space="0"/>
                    <w:left w:val="single" w:color="auto" w:sz="4" w:space="0"/>
                    <w:bottom w:val="single" w:color="auto" w:sz="4" w:space="0"/>
                    <w:right w:val="single" w:color="auto" w:sz="4" w:space="0"/>
                  </w:tcBorders>
                  <w:vAlign w:val="center"/>
                </w:tcPr>
                <w:p w14:paraId="23516438">
                  <w:pPr>
                    <w:pStyle w:val="4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可依托</w:t>
                  </w:r>
                </w:p>
              </w:tc>
            </w:tr>
            <w:tr w14:paraId="778D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40" w:type="dxa"/>
                  <w:vMerge w:val="continue"/>
                  <w:tcBorders>
                    <w:left w:val="single" w:color="auto" w:sz="4" w:space="0"/>
                    <w:right w:val="single" w:color="auto" w:sz="4" w:space="0"/>
                  </w:tcBorders>
                  <w:vAlign w:val="center"/>
                </w:tcPr>
                <w:p w14:paraId="7C6AF449">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lang w:val="en-US" w:eastAsia="zh-CN"/>
                    </w:rPr>
                  </w:pPr>
                </w:p>
              </w:tc>
              <w:tc>
                <w:tcPr>
                  <w:tcW w:w="1254" w:type="dxa"/>
                  <w:tcBorders>
                    <w:top w:val="single" w:color="auto" w:sz="4" w:space="0"/>
                    <w:left w:val="single" w:color="auto" w:sz="4" w:space="0"/>
                    <w:bottom w:val="single" w:color="auto" w:sz="4" w:space="0"/>
                    <w:right w:val="single" w:color="auto" w:sz="4" w:space="0"/>
                  </w:tcBorders>
                  <w:vAlign w:val="center"/>
                </w:tcPr>
                <w:p w14:paraId="58F857A0">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lang w:val="en-US" w:eastAsia="zh-CN"/>
                    </w:rPr>
                    <w:t>供</w:t>
                  </w:r>
                  <w:r>
                    <w:rPr>
                      <w:rFonts w:hint="default" w:ascii="Times New Roman" w:hAnsi="Times New Roman" w:eastAsia="宋体" w:cs="Times New Roman"/>
                    </w:rPr>
                    <w:t>水工程</w:t>
                  </w:r>
                </w:p>
              </w:tc>
              <w:tc>
                <w:tcPr>
                  <w:tcW w:w="5106" w:type="dxa"/>
                  <w:tcBorders>
                    <w:top w:val="single" w:color="auto" w:sz="4" w:space="0"/>
                    <w:left w:val="single" w:color="auto" w:sz="4" w:space="0"/>
                    <w:bottom w:val="single" w:color="auto" w:sz="4" w:space="0"/>
                    <w:right w:val="single" w:color="auto" w:sz="4" w:space="0"/>
                  </w:tcBorders>
                  <w:vAlign w:val="center"/>
                </w:tcPr>
                <w:p w14:paraId="5B59E078">
                  <w:pPr>
                    <w:pStyle w:val="48"/>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由市政给水管网供给。</w:t>
                  </w:r>
                </w:p>
              </w:tc>
              <w:tc>
                <w:tcPr>
                  <w:tcW w:w="1077" w:type="dxa"/>
                  <w:tcBorders>
                    <w:top w:val="single" w:color="auto" w:sz="4" w:space="0"/>
                    <w:left w:val="single" w:color="auto" w:sz="4" w:space="0"/>
                    <w:bottom w:val="single" w:color="auto" w:sz="4" w:space="0"/>
                    <w:right w:val="single" w:color="auto" w:sz="4" w:space="0"/>
                  </w:tcBorders>
                  <w:vAlign w:val="center"/>
                </w:tcPr>
                <w:p w14:paraId="108A57FC">
                  <w:pPr>
                    <w:pStyle w:val="4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rPr>
                    <w:t>可依托</w:t>
                  </w:r>
                </w:p>
              </w:tc>
            </w:tr>
            <w:tr w14:paraId="3059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940" w:type="dxa"/>
                  <w:tcBorders>
                    <w:left w:val="single" w:color="auto" w:sz="4" w:space="0"/>
                    <w:bottom w:val="single" w:color="auto" w:sz="4" w:space="0"/>
                    <w:right w:val="single" w:color="auto" w:sz="4" w:space="0"/>
                  </w:tcBorders>
                  <w:vAlign w:val="center"/>
                </w:tcPr>
                <w:p w14:paraId="202A2282">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环保工程</w:t>
                  </w:r>
                </w:p>
              </w:tc>
              <w:tc>
                <w:tcPr>
                  <w:tcW w:w="1254" w:type="dxa"/>
                  <w:tcBorders>
                    <w:top w:val="single" w:color="auto" w:sz="4" w:space="0"/>
                    <w:left w:val="single" w:color="auto" w:sz="4" w:space="0"/>
                    <w:bottom w:val="single" w:color="auto" w:sz="4" w:space="0"/>
                    <w:right w:val="single" w:color="auto" w:sz="4" w:space="0"/>
                  </w:tcBorders>
                  <w:vAlign w:val="center"/>
                </w:tcPr>
                <w:p w14:paraId="509EBA89">
                  <w:pPr>
                    <w:pStyle w:val="48"/>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lang w:val="en-US" w:eastAsia="zh-CN"/>
                    </w:rPr>
                  </w:pPr>
                  <w:r>
                    <w:rPr>
                      <w:rFonts w:hint="eastAsia" w:cs="Times New Roman"/>
                      <w:lang w:val="en-US" w:eastAsia="zh-CN"/>
                    </w:rPr>
                    <w:t>生化池</w:t>
                  </w:r>
                </w:p>
              </w:tc>
              <w:tc>
                <w:tcPr>
                  <w:tcW w:w="5106" w:type="dxa"/>
                  <w:tcBorders>
                    <w:top w:val="single" w:color="auto" w:sz="4" w:space="0"/>
                    <w:left w:val="single" w:color="auto" w:sz="4" w:space="0"/>
                    <w:bottom w:val="single" w:color="auto" w:sz="4" w:space="0"/>
                    <w:right w:val="single" w:color="auto" w:sz="4" w:space="0"/>
                  </w:tcBorders>
                  <w:vAlign w:val="center"/>
                </w:tcPr>
                <w:p w14:paraId="3877FE4B">
                  <w:pPr>
                    <w:pStyle w:val="48"/>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位于</w:t>
                  </w:r>
                  <w:r>
                    <w:rPr>
                      <w:rFonts w:hint="eastAsia" w:cs="Times New Roman"/>
                      <w:color w:val="auto"/>
                      <w:highlight w:val="none"/>
                      <w:lang w:val="en-US" w:eastAsia="zh-CN"/>
                    </w:rPr>
                    <w:t>医院南侧</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snapToGrid w:val="0"/>
                      <w:color w:val="auto"/>
                      <w:kern w:val="2"/>
                      <w:sz w:val="21"/>
                      <w:szCs w:val="21"/>
                      <w:highlight w:val="none"/>
                      <w:lang w:val="en-US" w:eastAsia="zh-CN" w:bidi="ar-SA"/>
                    </w:rPr>
                    <w:t>该生化池设计初期的处理能力考虑了整个商业门面的废水量，废水管网完善，目前该生化池运行正常，能满足处理本项目污废水的需求</w:t>
                  </w:r>
                  <w:r>
                    <w:rPr>
                      <w:rFonts w:hint="eastAsia" w:ascii="Times New Roman" w:hAnsi="Times New Roman" w:eastAsia="宋体" w:cs="Times New Roman"/>
                      <w:color w:val="auto"/>
                      <w:highlight w:val="none"/>
                      <w:lang w:val="en-US" w:eastAsia="zh-CN"/>
                    </w:rPr>
                    <w:t>。</w:t>
                  </w:r>
                </w:p>
              </w:tc>
              <w:tc>
                <w:tcPr>
                  <w:tcW w:w="1077" w:type="dxa"/>
                  <w:tcBorders>
                    <w:top w:val="single" w:color="auto" w:sz="4" w:space="0"/>
                    <w:left w:val="single" w:color="auto" w:sz="4" w:space="0"/>
                    <w:bottom w:val="single" w:color="auto" w:sz="4" w:space="0"/>
                    <w:right w:val="single" w:color="auto" w:sz="4" w:space="0"/>
                  </w:tcBorders>
                  <w:vAlign w:val="center"/>
                </w:tcPr>
                <w:p w14:paraId="077ADDD4">
                  <w:pPr>
                    <w:pStyle w:val="49"/>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可依托</w:t>
                  </w:r>
                </w:p>
              </w:tc>
            </w:tr>
          </w:tbl>
          <w:p w14:paraId="597165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sz w:val="24"/>
                <w:szCs w:val="24"/>
                <w:lang w:val="en-US" w:eastAsia="zh-CN"/>
              </w:rPr>
            </w:pPr>
          </w:p>
          <w:p w14:paraId="582A88C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2.4主要生产设备</w:t>
            </w:r>
          </w:p>
          <w:p w14:paraId="214FAA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项目主要生产设备详见表 2.4-1。</w:t>
            </w:r>
          </w:p>
          <w:p w14:paraId="070CD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表 2.4-1项目主要生产设备一览表</w:t>
            </w:r>
          </w:p>
          <w:tbl>
            <w:tblPr>
              <w:tblStyle w:val="21"/>
              <w:tblW w:w="498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093"/>
              <w:gridCol w:w="2021"/>
              <w:gridCol w:w="2051"/>
              <w:gridCol w:w="834"/>
              <w:gridCol w:w="804"/>
              <w:gridCol w:w="827"/>
            </w:tblGrid>
            <w:tr w14:paraId="6D944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tcBorders>
                    <w:tl2br w:val="nil"/>
                    <w:tr2bl w:val="nil"/>
                  </w:tcBorders>
                  <w:vAlign w:val="center"/>
                </w:tcPr>
                <w:p w14:paraId="1F6204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序号</w:t>
                  </w:r>
                </w:p>
              </w:tc>
              <w:tc>
                <w:tcPr>
                  <w:tcW w:w="654" w:type="pct"/>
                  <w:tcBorders>
                    <w:tl2br w:val="nil"/>
                    <w:tr2bl w:val="nil"/>
                  </w:tcBorders>
                  <w:vAlign w:val="center"/>
                </w:tcPr>
                <w:p w14:paraId="0F49C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位置</w:t>
                  </w:r>
                </w:p>
              </w:tc>
              <w:tc>
                <w:tcPr>
                  <w:tcW w:w="1209" w:type="pct"/>
                  <w:tcBorders>
                    <w:tl2br w:val="nil"/>
                    <w:tr2bl w:val="nil"/>
                  </w:tcBorders>
                  <w:vAlign w:val="center"/>
                </w:tcPr>
                <w:p w14:paraId="6F8E66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设备名称</w:t>
                  </w:r>
                </w:p>
              </w:tc>
              <w:tc>
                <w:tcPr>
                  <w:tcW w:w="1227" w:type="pct"/>
                  <w:tcBorders>
                    <w:tl2br w:val="nil"/>
                    <w:tr2bl w:val="nil"/>
                  </w:tcBorders>
                  <w:vAlign w:val="center"/>
                </w:tcPr>
                <w:p w14:paraId="305AD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规格型号</w:t>
                  </w:r>
                </w:p>
              </w:tc>
              <w:tc>
                <w:tcPr>
                  <w:tcW w:w="499" w:type="pct"/>
                  <w:tcBorders>
                    <w:tl2br w:val="nil"/>
                    <w:tr2bl w:val="nil"/>
                  </w:tcBorders>
                  <w:vAlign w:val="center"/>
                </w:tcPr>
                <w:p w14:paraId="0277A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单位</w:t>
                  </w:r>
                </w:p>
              </w:tc>
              <w:tc>
                <w:tcPr>
                  <w:tcW w:w="481" w:type="pct"/>
                  <w:tcBorders>
                    <w:tl2br w:val="nil"/>
                    <w:tr2bl w:val="nil"/>
                  </w:tcBorders>
                  <w:vAlign w:val="center"/>
                </w:tcPr>
                <w:p w14:paraId="003AF6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数量</w:t>
                  </w:r>
                </w:p>
              </w:tc>
              <w:tc>
                <w:tcPr>
                  <w:tcW w:w="495" w:type="pct"/>
                  <w:tcBorders>
                    <w:tl2br w:val="nil"/>
                    <w:tr2bl w:val="nil"/>
                  </w:tcBorders>
                  <w:vAlign w:val="center"/>
                </w:tcPr>
                <w:p w14:paraId="6C8E6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备注</w:t>
                  </w:r>
                </w:p>
              </w:tc>
            </w:tr>
            <w:tr w14:paraId="31CC2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restart"/>
                  <w:tcBorders>
                    <w:tl2br w:val="nil"/>
                    <w:tr2bl w:val="nil"/>
                  </w:tcBorders>
                  <w:vAlign w:val="center"/>
                </w:tcPr>
                <w:p w14:paraId="7C44EE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w:t>
                  </w:r>
                </w:p>
              </w:tc>
              <w:tc>
                <w:tcPr>
                  <w:tcW w:w="654" w:type="pct"/>
                  <w:vMerge w:val="restart"/>
                  <w:tcBorders>
                    <w:tl2br w:val="nil"/>
                    <w:tr2bl w:val="nil"/>
                  </w:tcBorders>
                  <w:vAlign w:val="center"/>
                </w:tcPr>
                <w:p w14:paraId="37B777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DR室</w:t>
                  </w:r>
                </w:p>
              </w:tc>
              <w:tc>
                <w:tcPr>
                  <w:tcW w:w="1209" w:type="pct"/>
                  <w:tcBorders>
                    <w:tl2br w:val="nil"/>
                    <w:tr2bl w:val="nil"/>
                  </w:tcBorders>
                  <w:vAlign w:val="center"/>
                </w:tcPr>
                <w:p w14:paraId="52E76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eastAsia="宋体"/>
                      <w:kern w:val="0"/>
                      <w:sz w:val="21"/>
                      <w:szCs w:val="21"/>
                      <w:lang w:eastAsia="zh-CN"/>
                    </w:rPr>
                    <w:t>全数字兽用彩色超声诊断系统</w:t>
                  </w:r>
                </w:p>
              </w:tc>
              <w:tc>
                <w:tcPr>
                  <w:tcW w:w="1227" w:type="pct"/>
                  <w:tcBorders>
                    <w:tl2br w:val="nil"/>
                    <w:tr2bl w:val="nil"/>
                  </w:tcBorders>
                  <w:vAlign w:val="center"/>
                </w:tcPr>
                <w:p w14:paraId="70B8A4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szCs w:val="21"/>
                      <w:lang w:val="en-US" w:eastAsia="zh-CN"/>
                    </w:rPr>
                    <w:t>迈瑞Z70vet</w:t>
                  </w:r>
                </w:p>
              </w:tc>
              <w:tc>
                <w:tcPr>
                  <w:tcW w:w="499" w:type="pct"/>
                  <w:tcBorders>
                    <w:tl2br w:val="nil"/>
                    <w:tr2bl w:val="nil"/>
                  </w:tcBorders>
                  <w:vAlign w:val="center"/>
                </w:tcPr>
                <w:p w14:paraId="17F13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台</w:t>
                  </w:r>
                </w:p>
              </w:tc>
              <w:tc>
                <w:tcPr>
                  <w:tcW w:w="481" w:type="pct"/>
                  <w:tcBorders>
                    <w:tl2br w:val="nil"/>
                    <w:tr2bl w:val="nil"/>
                  </w:tcBorders>
                  <w:vAlign w:val="center"/>
                </w:tcPr>
                <w:p w14:paraId="704ACC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w:t>
                  </w:r>
                </w:p>
              </w:tc>
              <w:tc>
                <w:tcPr>
                  <w:tcW w:w="495" w:type="pct"/>
                  <w:tcBorders>
                    <w:tl2br w:val="nil"/>
                    <w:tr2bl w:val="nil"/>
                  </w:tcBorders>
                  <w:vAlign w:val="center"/>
                </w:tcPr>
                <w:p w14:paraId="38720D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现有</w:t>
                  </w:r>
                </w:p>
              </w:tc>
            </w:tr>
            <w:tr w14:paraId="3302F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tcBorders>
                    <w:tl2br w:val="nil"/>
                    <w:tr2bl w:val="nil"/>
                  </w:tcBorders>
                  <w:vAlign w:val="center"/>
                </w:tcPr>
                <w:p w14:paraId="0420A3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654" w:type="pct"/>
                  <w:vMerge w:val="continue"/>
                  <w:tcBorders>
                    <w:tl2br w:val="nil"/>
                    <w:tr2bl w:val="nil"/>
                  </w:tcBorders>
                  <w:vAlign w:val="center"/>
                </w:tcPr>
                <w:p w14:paraId="493C9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1209" w:type="pct"/>
                  <w:tcBorders>
                    <w:tl2br w:val="nil"/>
                    <w:tr2bl w:val="nil"/>
                  </w:tcBorders>
                  <w:shd w:val="clear" w:color="auto" w:fill="auto"/>
                  <w:vAlign w:val="center"/>
                </w:tcPr>
                <w:p w14:paraId="5A13F5E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动物专用数字化x射线摄影系统</w:t>
                  </w:r>
                </w:p>
              </w:tc>
              <w:tc>
                <w:tcPr>
                  <w:tcW w:w="1227" w:type="pct"/>
                  <w:tcBorders>
                    <w:tl2br w:val="nil"/>
                    <w:tr2bl w:val="nil"/>
                  </w:tcBorders>
                  <w:shd w:val="clear" w:color="auto" w:fill="auto"/>
                  <w:vAlign w:val="center"/>
                </w:tcPr>
                <w:p w14:paraId="3EAD856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TUTO100S932-A</w:t>
                  </w:r>
                </w:p>
              </w:tc>
              <w:tc>
                <w:tcPr>
                  <w:tcW w:w="499" w:type="pct"/>
                  <w:tcBorders>
                    <w:tl2br w:val="nil"/>
                    <w:tr2bl w:val="nil"/>
                  </w:tcBorders>
                  <w:shd w:val="clear" w:color="auto" w:fill="auto"/>
                  <w:vAlign w:val="center"/>
                </w:tcPr>
                <w:p w14:paraId="35B2CD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tcBorders>
                    <w:tl2br w:val="nil"/>
                    <w:tr2bl w:val="nil"/>
                  </w:tcBorders>
                  <w:shd w:val="clear" w:color="auto" w:fill="auto"/>
                  <w:vAlign w:val="center"/>
                </w:tcPr>
                <w:p w14:paraId="23B6A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tcBorders>
                    <w:tl2br w:val="nil"/>
                    <w:tr2bl w:val="nil"/>
                  </w:tcBorders>
                  <w:shd w:val="clear" w:color="auto" w:fill="auto"/>
                  <w:vAlign w:val="center"/>
                </w:tcPr>
                <w:p w14:paraId="2447EE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74A4E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restart"/>
                  <w:tcBorders>
                    <w:tl2br w:val="nil"/>
                    <w:tr2bl w:val="nil"/>
                  </w:tcBorders>
                  <w:vAlign w:val="center"/>
                </w:tcPr>
                <w:p w14:paraId="677FB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2</w:t>
                  </w:r>
                </w:p>
              </w:tc>
              <w:tc>
                <w:tcPr>
                  <w:tcW w:w="654" w:type="pct"/>
                  <w:vMerge w:val="restart"/>
                  <w:tcBorders>
                    <w:tl2br w:val="nil"/>
                    <w:tr2bl w:val="nil"/>
                  </w:tcBorders>
                  <w:vAlign w:val="center"/>
                </w:tcPr>
                <w:p w14:paraId="3BD5BF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检测室</w:t>
                  </w:r>
                </w:p>
              </w:tc>
              <w:tc>
                <w:tcPr>
                  <w:tcW w:w="1209" w:type="pct"/>
                  <w:tcBorders>
                    <w:tl2br w:val="nil"/>
                    <w:tr2bl w:val="nil"/>
                  </w:tcBorders>
                  <w:shd w:val="clear" w:color="auto" w:fill="auto"/>
                  <w:vAlign w:val="center"/>
                </w:tcPr>
                <w:p w14:paraId="64630260">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ascii="Times New Roman" w:hAnsi="Times New Roman" w:eastAsia="宋体"/>
                      <w:kern w:val="0"/>
                      <w:sz w:val="21"/>
                      <w:szCs w:val="21"/>
                    </w:rPr>
                    <w:t>显微镜</w:t>
                  </w:r>
                </w:p>
              </w:tc>
              <w:tc>
                <w:tcPr>
                  <w:tcW w:w="1227" w:type="pct"/>
                  <w:tcBorders>
                    <w:tl2br w:val="nil"/>
                    <w:tr2bl w:val="nil"/>
                  </w:tcBorders>
                  <w:shd w:val="clear" w:color="auto" w:fill="auto"/>
                  <w:vAlign w:val="center"/>
                </w:tcPr>
                <w:p w14:paraId="162C74D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eastAsia="zh-CN"/>
                    </w:rPr>
                    <w:t>莱卡</w:t>
                  </w:r>
                  <w:r>
                    <w:rPr>
                      <w:rFonts w:hint="eastAsia"/>
                      <w:szCs w:val="21"/>
                      <w:lang w:val="en-US" w:eastAsia="zh-CN"/>
                    </w:rPr>
                    <w:t>MD500</w:t>
                  </w:r>
                </w:p>
              </w:tc>
              <w:tc>
                <w:tcPr>
                  <w:tcW w:w="499" w:type="pct"/>
                  <w:tcBorders>
                    <w:tl2br w:val="nil"/>
                    <w:tr2bl w:val="nil"/>
                  </w:tcBorders>
                  <w:shd w:val="clear" w:color="auto" w:fill="auto"/>
                  <w:vAlign w:val="center"/>
                </w:tcPr>
                <w:p w14:paraId="12B4C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tcBorders>
                    <w:tl2br w:val="nil"/>
                    <w:tr2bl w:val="nil"/>
                  </w:tcBorders>
                  <w:shd w:val="clear" w:color="auto" w:fill="auto"/>
                  <w:vAlign w:val="center"/>
                </w:tcPr>
                <w:p w14:paraId="205F55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tcBorders>
                    <w:tl2br w:val="nil"/>
                    <w:tr2bl w:val="nil"/>
                  </w:tcBorders>
                  <w:shd w:val="clear" w:color="auto" w:fill="auto"/>
                  <w:vAlign w:val="center"/>
                </w:tcPr>
                <w:p w14:paraId="71CC5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434B4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tcBorders>
                    <w:tl2br w:val="nil"/>
                    <w:tr2bl w:val="nil"/>
                  </w:tcBorders>
                  <w:vAlign w:val="center"/>
                </w:tcPr>
                <w:p w14:paraId="68610E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654" w:type="pct"/>
                  <w:vMerge w:val="continue"/>
                  <w:tcBorders>
                    <w:tl2br w:val="nil"/>
                    <w:tr2bl w:val="nil"/>
                  </w:tcBorders>
                  <w:vAlign w:val="center"/>
                </w:tcPr>
                <w:p w14:paraId="60ADC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1209" w:type="pct"/>
                  <w:tcBorders>
                    <w:tl2br w:val="nil"/>
                    <w:tr2bl w:val="nil"/>
                  </w:tcBorders>
                  <w:shd w:val="clear" w:color="auto" w:fill="auto"/>
                  <w:vAlign w:val="center"/>
                </w:tcPr>
                <w:p w14:paraId="3A4829AB">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kern w:val="0"/>
                      <w:sz w:val="21"/>
                      <w:szCs w:val="21"/>
                      <w:lang w:val="en-US" w:eastAsia="zh-CN"/>
                    </w:rPr>
                    <w:t>全自动生化分析仪</w:t>
                  </w:r>
                </w:p>
              </w:tc>
              <w:tc>
                <w:tcPr>
                  <w:tcW w:w="1227" w:type="pct"/>
                  <w:tcBorders>
                    <w:tl2br w:val="nil"/>
                    <w:tr2bl w:val="nil"/>
                  </w:tcBorders>
                  <w:shd w:val="clear" w:color="auto" w:fill="auto"/>
                  <w:vAlign w:val="center"/>
                </w:tcPr>
                <w:p w14:paraId="2154260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eastAsia="zh-CN"/>
                    </w:rPr>
                    <w:t>爱德士</w:t>
                  </w:r>
                  <w:r>
                    <w:rPr>
                      <w:rFonts w:hint="eastAsia"/>
                      <w:szCs w:val="21"/>
                      <w:lang w:val="en-US" w:eastAsia="zh-CN"/>
                    </w:rPr>
                    <w:t>CAT-1</w:t>
                  </w:r>
                </w:p>
              </w:tc>
              <w:tc>
                <w:tcPr>
                  <w:tcW w:w="499" w:type="pct"/>
                  <w:tcBorders>
                    <w:tl2br w:val="nil"/>
                    <w:tr2bl w:val="nil"/>
                  </w:tcBorders>
                  <w:shd w:val="clear" w:color="auto" w:fill="auto"/>
                  <w:vAlign w:val="center"/>
                </w:tcPr>
                <w:p w14:paraId="2FD9F9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tcBorders>
                    <w:tl2br w:val="nil"/>
                    <w:tr2bl w:val="nil"/>
                  </w:tcBorders>
                  <w:shd w:val="clear" w:color="auto" w:fill="auto"/>
                  <w:vAlign w:val="center"/>
                </w:tcPr>
                <w:p w14:paraId="12822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tcBorders>
                    <w:tl2br w:val="nil"/>
                    <w:tr2bl w:val="nil"/>
                  </w:tcBorders>
                  <w:shd w:val="clear" w:color="auto" w:fill="auto"/>
                  <w:vAlign w:val="center"/>
                </w:tcPr>
                <w:p w14:paraId="3157E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2325D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tcBorders>
                    <w:tl2br w:val="nil"/>
                    <w:tr2bl w:val="nil"/>
                  </w:tcBorders>
                  <w:vAlign w:val="center"/>
                </w:tcPr>
                <w:p w14:paraId="61CF0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654" w:type="pct"/>
                  <w:vMerge w:val="continue"/>
                  <w:tcBorders>
                    <w:tl2br w:val="nil"/>
                    <w:tr2bl w:val="nil"/>
                  </w:tcBorders>
                  <w:vAlign w:val="center"/>
                </w:tcPr>
                <w:p w14:paraId="260E3C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1209" w:type="pct"/>
                  <w:tcBorders>
                    <w:tl2br w:val="nil"/>
                    <w:tr2bl w:val="nil"/>
                  </w:tcBorders>
                  <w:shd w:val="clear" w:color="auto" w:fill="auto"/>
                  <w:vAlign w:val="center"/>
                </w:tcPr>
                <w:p w14:paraId="4B5859C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离心机</w:t>
                  </w:r>
                </w:p>
              </w:tc>
              <w:tc>
                <w:tcPr>
                  <w:tcW w:w="1227" w:type="pct"/>
                  <w:tcBorders>
                    <w:tl2br w:val="nil"/>
                    <w:tr2bl w:val="nil"/>
                  </w:tcBorders>
                  <w:shd w:val="clear" w:color="auto" w:fill="auto"/>
                  <w:vAlign w:val="center"/>
                </w:tcPr>
                <w:p w14:paraId="23876A6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HC1016</w:t>
                  </w:r>
                </w:p>
              </w:tc>
              <w:tc>
                <w:tcPr>
                  <w:tcW w:w="499" w:type="pct"/>
                  <w:tcBorders>
                    <w:tl2br w:val="nil"/>
                    <w:tr2bl w:val="nil"/>
                  </w:tcBorders>
                  <w:shd w:val="clear" w:color="auto" w:fill="auto"/>
                  <w:vAlign w:val="center"/>
                </w:tcPr>
                <w:p w14:paraId="69199A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tcBorders>
                    <w:tl2br w:val="nil"/>
                    <w:tr2bl w:val="nil"/>
                  </w:tcBorders>
                  <w:shd w:val="clear" w:color="auto" w:fill="auto"/>
                  <w:vAlign w:val="center"/>
                </w:tcPr>
                <w:p w14:paraId="62491B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tcBorders>
                    <w:tl2br w:val="nil"/>
                    <w:tr2bl w:val="nil"/>
                  </w:tcBorders>
                  <w:shd w:val="clear" w:color="auto" w:fill="auto"/>
                  <w:vAlign w:val="center"/>
                </w:tcPr>
                <w:p w14:paraId="7B660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15510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10E5AE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654" w:type="pct"/>
                  <w:vMerge w:val="continue"/>
                  <w:vAlign w:val="center"/>
                </w:tcPr>
                <w:p w14:paraId="6BE20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1209" w:type="pct"/>
                  <w:shd w:val="clear" w:color="auto" w:fill="auto"/>
                  <w:vAlign w:val="center"/>
                </w:tcPr>
                <w:p w14:paraId="7A5AE25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血常规</w:t>
                  </w:r>
                </w:p>
              </w:tc>
              <w:tc>
                <w:tcPr>
                  <w:tcW w:w="1227" w:type="pct"/>
                  <w:shd w:val="clear" w:color="auto" w:fill="auto"/>
                  <w:vAlign w:val="center"/>
                </w:tcPr>
                <w:p w14:paraId="18A515F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eastAsia="zh-CN"/>
                    </w:rPr>
                    <w:t>迈瑞</w:t>
                  </w:r>
                  <w:r>
                    <w:rPr>
                      <w:rFonts w:hint="eastAsia"/>
                      <w:szCs w:val="21"/>
                      <w:lang w:val="en-US" w:eastAsia="zh-CN"/>
                    </w:rPr>
                    <w:t>BC-30VET</w:t>
                  </w:r>
                </w:p>
              </w:tc>
              <w:tc>
                <w:tcPr>
                  <w:tcW w:w="499" w:type="pct"/>
                  <w:shd w:val="clear" w:color="auto" w:fill="auto"/>
                  <w:vAlign w:val="center"/>
                </w:tcPr>
                <w:p w14:paraId="53F288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727C73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62D95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454BF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22BCF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654" w:type="pct"/>
                  <w:vMerge w:val="continue"/>
                  <w:vAlign w:val="center"/>
                </w:tcPr>
                <w:p w14:paraId="32E77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1209" w:type="pct"/>
                  <w:shd w:val="clear" w:color="auto" w:fill="auto"/>
                  <w:vAlign w:val="center"/>
                </w:tcPr>
                <w:p w14:paraId="6A4B692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kern w:val="0"/>
                      <w:sz w:val="21"/>
                      <w:szCs w:val="21"/>
                      <w:lang w:val="en-US" w:eastAsia="zh-CN"/>
                    </w:rPr>
                    <w:t>干式荧光免疫分析仪</w:t>
                  </w:r>
                </w:p>
              </w:tc>
              <w:tc>
                <w:tcPr>
                  <w:tcW w:w="1227" w:type="pct"/>
                  <w:shd w:val="clear" w:color="auto" w:fill="auto"/>
                  <w:vAlign w:val="center"/>
                </w:tcPr>
                <w:p w14:paraId="74AEBC2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499" w:type="pct"/>
                  <w:shd w:val="clear" w:color="auto" w:fill="auto"/>
                  <w:vAlign w:val="center"/>
                </w:tcPr>
                <w:p w14:paraId="33955D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1648E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1BA99C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69BB8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restart"/>
                  <w:vAlign w:val="center"/>
                </w:tcPr>
                <w:p w14:paraId="31905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3</w:t>
                  </w:r>
                </w:p>
              </w:tc>
              <w:tc>
                <w:tcPr>
                  <w:tcW w:w="654" w:type="pct"/>
                  <w:vMerge w:val="restart"/>
                  <w:vAlign w:val="center"/>
                </w:tcPr>
                <w:p w14:paraId="474042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手术室</w:t>
                  </w:r>
                </w:p>
              </w:tc>
              <w:tc>
                <w:tcPr>
                  <w:tcW w:w="1209" w:type="pct"/>
                  <w:shd w:val="clear" w:color="auto" w:fill="auto"/>
                  <w:vAlign w:val="center"/>
                </w:tcPr>
                <w:p w14:paraId="6C6BC024">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监护仪icu</w:t>
                  </w:r>
                </w:p>
              </w:tc>
              <w:tc>
                <w:tcPr>
                  <w:tcW w:w="1227" w:type="pct"/>
                  <w:shd w:val="clear" w:color="auto" w:fill="auto"/>
                  <w:vAlign w:val="center"/>
                </w:tcPr>
                <w:p w14:paraId="0A63126E">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EDlRO-1000</w:t>
                  </w:r>
                </w:p>
              </w:tc>
              <w:tc>
                <w:tcPr>
                  <w:tcW w:w="499" w:type="pct"/>
                  <w:shd w:val="clear" w:color="auto" w:fill="auto"/>
                  <w:vAlign w:val="center"/>
                </w:tcPr>
                <w:p w14:paraId="3E37A9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4AEAD9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5EFABE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新增</w:t>
                  </w:r>
                </w:p>
              </w:tc>
            </w:tr>
            <w:tr w14:paraId="59057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3AD73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654" w:type="pct"/>
                  <w:vMerge w:val="continue"/>
                  <w:vAlign w:val="center"/>
                </w:tcPr>
                <w:p w14:paraId="59AA0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p>
              </w:tc>
              <w:tc>
                <w:tcPr>
                  <w:tcW w:w="1209" w:type="pct"/>
                  <w:shd w:val="clear" w:color="auto" w:fill="auto"/>
                  <w:vAlign w:val="center"/>
                </w:tcPr>
                <w:p w14:paraId="79D43692">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多参数监护</w:t>
                  </w:r>
                </w:p>
              </w:tc>
              <w:tc>
                <w:tcPr>
                  <w:tcW w:w="1227" w:type="pct"/>
                  <w:shd w:val="clear" w:color="auto" w:fill="auto"/>
                  <w:vAlign w:val="center"/>
                </w:tcPr>
                <w:p w14:paraId="6A55FC06">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SP-100</w:t>
                  </w:r>
                </w:p>
              </w:tc>
              <w:tc>
                <w:tcPr>
                  <w:tcW w:w="499" w:type="pct"/>
                  <w:shd w:val="clear" w:color="auto" w:fill="auto"/>
                  <w:vAlign w:val="center"/>
                </w:tcPr>
                <w:p w14:paraId="1A73D5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667AA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27B421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新增</w:t>
                  </w:r>
                </w:p>
              </w:tc>
            </w:tr>
            <w:tr w14:paraId="4768F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5EBC1F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654" w:type="pct"/>
                  <w:vMerge w:val="continue"/>
                  <w:vAlign w:val="center"/>
                </w:tcPr>
                <w:p w14:paraId="36896A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1209" w:type="pct"/>
                  <w:shd w:val="clear" w:color="auto" w:fill="auto"/>
                  <w:vAlign w:val="center"/>
                </w:tcPr>
                <w:p w14:paraId="0E118E1B">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动物麻醉机</w:t>
                  </w:r>
                </w:p>
              </w:tc>
              <w:tc>
                <w:tcPr>
                  <w:tcW w:w="1227" w:type="pct"/>
                  <w:shd w:val="clear" w:color="auto" w:fill="auto"/>
                  <w:vAlign w:val="center"/>
                </w:tcPr>
                <w:p w14:paraId="79CF90F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eastAsia="zh-CN"/>
                    </w:rPr>
                    <w:t>舒普达</w:t>
                  </w:r>
                  <w:r>
                    <w:rPr>
                      <w:rFonts w:hint="eastAsia"/>
                      <w:szCs w:val="21"/>
                      <w:lang w:val="en-US" w:eastAsia="zh-CN"/>
                    </w:rPr>
                    <w:t>DM6C</w:t>
                  </w:r>
                </w:p>
              </w:tc>
              <w:tc>
                <w:tcPr>
                  <w:tcW w:w="499" w:type="pct"/>
                  <w:shd w:val="clear" w:color="auto" w:fill="auto"/>
                  <w:vAlign w:val="center"/>
                </w:tcPr>
                <w:p w14:paraId="62B5AC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1A93D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0F210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新增</w:t>
                  </w:r>
                </w:p>
              </w:tc>
            </w:tr>
            <w:tr w14:paraId="46F1C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1BCE2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654" w:type="pct"/>
                  <w:vMerge w:val="continue"/>
                  <w:vAlign w:val="center"/>
                </w:tcPr>
                <w:p w14:paraId="5095CC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1209" w:type="pct"/>
                  <w:shd w:val="clear" w:color="auto" w:fill="auto"/>
                  <w:vAlign w:val="center"/>
                </w:tcPr>
                <w:p w14:paraId="1312B92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手术台</w:t>
                  </w:r>
                </w:p>
              </w:tc>
              <w:tc>
                <w:tcPr>
                  <w:tcW w:w="1227" w:type="pct"/>
                  <w:shd w:val="clear" w:color="auto" w:fill="auto"/>
                  <w:vAlign w:val="center"/>
                </w:tcPr>
                <w:p w14:paraId="0B3CD43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499" w:type="pct"/>
                  <w:shd w:val="clear" w:color="auto" w:fill="auto"/>
                  <w:vAlign w:val="center"/>
                </w:tcPr>
                <w:p w14:paraId="5B810A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7388726B">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495" w:type="pct"/>
                  <w:shd w:val="clear" w:color="auto" w:fill="auto"/>
                  <w:vAlign w:val="center"/>
                </w:tcPr>
                <w:p w14:paraId="66E413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191F9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155CF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654" w:type="pct"/>
                  <w:vMerge w:val="continue"/>
                  <w:vAlign w:val="center"/>
                </w:tcPr>
                <w:p w14:paraId="459B8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1209" w:type="pct"/>
                  <w:shd w:val="clear" w:color="auto" w:fill="auto"/>
                  <w:vAlign w:val="center"/>
                </w:tcPr>
                <w:p w14:paraId="7248574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无影灯</w:t>
                  </w:r>
                </w:p>
              </w:tc>
              <w:tc>
                <w:tcPr>
                  <w:tcW w:w="1227" w:type="pct"/>
                  <w:shd w:val="clear" w:color="auto" w:fill="auto"/>
                  <w:vAlign w:val="center"/>
                </w:tcPr>
                <w:p w14:paraId="3AB60EF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499" w:type="pct"/>
                  <w:shd w:val="clear" w:color="auto" w:fill="auto"/>
                  <w:vAlign w:val="center"/>
                </w:tcPr>
                <w:p w14:paraId="02EF5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0BA242C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495" w:type="pct"/>
                  <w:shd w:val="clear" w:color="auto" w:fill="auto"/>
                  <w:vAlign w:val="center"/>
                </w:tcPr>
                <w:p w14:paraId="6F1DDA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2A01F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Merge w:val="continue"/>
                  <w:vAlign w:val="center"/>
                </w:tcPr>
                <w:p w14:paraId="431695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654" w:type="pct"/>
                  <w:vMerge w:val="continue"/>
                  <w:vAlign w:val="center"/>
                </w:tcPr>
                <w:p w14:paraId="010411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p>
              </w:tc>
              <w:tc>
                <w:tcPr>
                  <w:tcW w:w="1209" w:type="pct"/>
                  <w:shd w:val="clear" w:color="auto" w:fill="auto"/>
                  <w:vAlign w:val="center"/>
                </w:tcPr>
                <w:p w14:paraId="3B02CC7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手提式压力蒸汽灭菌器</w:t>
                  </w:r>
                </w:p>
              </w:tc>
              <w:tc>
                <w:tcPr>
                  <w:tcW w:w="1227" w:type="pct"/>
                  <w:shd w:val="clear" w:color="auto" w:fill="auto"/>
                  <w:vAlign w:val="center"/>
                </w:tcPr>
                <w:p w14:paraId="440BBF6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eastAsia="zh-CN"/>
                    </w:rPr>
                    <w:t>力辰科技</w:t>
                  </w:r>
                  <w:r>
                    <w:rPr>
                      <w:rFonts w:hint="eastAsia"/>
                      <w:szCs w:val="21"/>
                      <w:lang w:val="en-US" w:eastAsia="zh-CN"/>
                    </w:rPr>
                    <w:t>LC-LSH--18B</w:t>
                  </w:r>
                </w:p>
              </w:tc>
              <w:tc>
                <w:tcPr>
                  <w:tcW w:w="499" w:type="pct"/>
                  <w:shd w:val="clear" w:color="auto" w:fill="auto"/>
                  <w:vAlign w:val="center"/>
                </w:tcPr>
                <w:p w14:paraId="73B214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7C27AA7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val="en-US" w:eastAsia="zh-CN"/>
                    </w:rPr>
                    <w:t>1</w:t>
                  </w:r>
                </w:p>
              </w:tc>
              <w:tc>
                <w:tcPr>
                  <w:tcW w:w="495" w:type="pct"/>
                  <w:shd w:val="clear" w:color="auto" w:fill="auto"/>
                  <w:vAlign w:val="center"/>
                </w:tcPr>
                <w:p w14:paraId="186F72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4CD57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Align w:val="center"/>
                </w:tcPr>
                <w:p w14:paraId="78CB38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4</w:t>
                  </w:r>
                </w:p>
              </w:tc>
              <w:tc>
                <w:tcPr>
                  <w:tcW w:w="654" w:type="pct"/>
                  <w:vAlign w:val="center"/>
                </w:tcPr>
                <w:p w14:paraId="7FD457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住院区</w:t>
                  </w:r>
                </w:p>
              </w:tc>
              <w:tc>
                <w:tcPr>
                  <w:tcW w:w="1209" w:type="pct"/>
                  <w:shd w:val="clear" w:color="auto" w:fill="auto"/>
                  <w:vAlign w:val="center"/>
                </w:tcPr>
                <w:p w14:paraId="7DE90C9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宠物笼</w:t>
                  </w:r>
                </w:p>
              </w:tc>
              <w:tc>
                <w:tcPr>
                  <w:tcW w:w="1227" w:type="pct"/>
                  <w:shd w:val="clear" w:color="auto" w:fill="auto"/>
                  <w:vAlign w:val="center"/>
                </w:tcPr>
                <w:p w14:paraId="1A01D4B1">
                  <w:pPr>
                    <w:keepNext w:val="0"/>
                    <w:keepLines w:val="0"/>
                    <w:pageBreakBefore w:val="0"/>
                    <w:kinsoku/>
                    <w:wordWrap/>
                    <w:overflowPunct/>
                    <w:topLinePunct w:val="0"/>
                    <w:autoSpaceDE/>
                    <w:autoSpaceDN/>
                    <w:bidi w:val="0"/>
                    <w:spacing w:line="240" w:lineRule="auto"/>
                    <w:jc w:val="center"/>
                    <w:textAlignment w:val="auto"/>
                    <w:rPr>
                      <w:rFonts w:hint="default"/>
                      <w:szCs w:val="21"/>
                      <w:lang w:val="en-US" w:eastAsia="zh-CN"/>
                    </w:rPr>
                  </w:pPr>
                  <w:r>
                    <w:rPr>
                      <w:rFonts w:hint="eastAsia"/>
                      <w:szCs w:val="21"/>
                      <w:lang w:val="en-US" w:eastAsia="zh-CN"/>
                    </w:rPr>
                    <w:t>/</w:t>
                  </w:r>
                </w:p>
              </w:tc>
              <w:tc>
                <w:tcPr>
                  <w:tcW w:w="499" w:type="pct"/>
                  <w:shd w:val="clear" w:color="auto" w:fill="auto"/>
                  <w:vAlign w:val="center"/>
                </w:tcPr>
                <w:p w14:paraId="44152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个</w:t>
                  </w:r>
                </w:p>
              </w:tc>
              <w:tc>
                <w:tcPr>
                  <w:tcW w:w="481" w:type="pct"/>
                  <w:shd w:val="clear" w:color="auto" w:fill="auto"/>
                  <w:vAlign w:val="center"/>
                </w:tcPr>
                <w:p w14:paraId="7560CA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20</w:t>
                  </w:r>
                </w:p>
              </w:tc>
              <w:tc>
                <w:tcPr>
                  <w:tcW w:w="495" w:type="pct"/>
                  <w:shd w:val="clear" w:color="auto" w:fill="auto"/>
                  <w:vAlign w:val="center"/>
                </w:tcPr>
                <w:p w14:paraId="76AD35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7149D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Align w:val="center"/>
                </w:tcPr>
                <w:p w14:paraId="7D699C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w:t>
                  </w:r>
                </w:p>
              </w:tc>
              <w:tc>
                <w:tcPr>
                  <w:tcW w:w="654" w:type="pct"/>
                  <w:vAlign w:val="center"/>
                </w:tcPr>
                <w:p w14:paraId="6C93C1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隔离室</w:t>
                  </w:r>
                </w:p>
              </w:tc>
              <w:tc>
                <w:tcPr>
                  <w:tcW w:w="1209" w:type="pct"/>
                  <w:shd w:val="clear" w:color="auto" w:fill="auto"/>
                  <w:vAlign w:val="center"/>
                </w:tcPr>
                <w:p w14:paraId="2707BB7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宠物笼</w:t>
                  </w:r>
                </w:p>
              </w:tc>
              <w:tc>
                <w:tcPr>
                  <w:tcW w:w="1227" w:type="pct"/>
                  <w:shd w:val="clear" w:color="auto" w:fill="auto"/>
                  <w:vAlign w:val="center"/>
                </w:tcPr>
                <w:p w14:paraId="02E43F58">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w:t>
                  </w:r>
                </w:p>
              </w:tc>
              <w:tc>
                <w:tcPr>
                  <w:tcW w:w="499" w:type="pct"/>
                  <w:shd w:val="clear" w:color="auto" w:fill="auto"/>
                  <w:vAlign w:val="center"/>
                </w:tcPr>
                <w:p w14:paraId="32A2A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个</w:t>
                  </w:r>
                </w:p>
              </w:tc>
              <w:tc>
                <w:tcPr>
                  <w:tcW w:w="481" w:type="pct"/>
                  <w:shd w:val="clear" w:color="auto" w:fill="auto"/>
                  <w:vAlign w:val="center"/>
                </w:tcPr>
                <w:p w14:paraId="5CC93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6</w:t>
                  </w:r>
                </w:p>
              </w:tc>
              <w:tc>
                <w:tcPr>
                  <w:tcW w:w="495" w:type="pct"/>
                  <w:shd w:val="clear" w:color="auto" w:fill="auto"/>
                  <w:vAlign w:val="center"/>
                </w:tcPr>
                <w:p w14:paraId="5D814D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2D7AA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Align w:val="center"/>
                </w:tcPr>
                <w:p w14:paraId="3880B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6</w:t>
                  </w:r>
                </w:p>
              </w:tc>
              <w:tc>
                <w:tcPr>
                  <w:tcW w:w="654" w:type="pct"/>
                  <w:vAlign w:val="center"/>
                </w:tcPr>
                <w:p w14:paraId="1CE43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kern w:val="0"/>
                      <w:sz w:val="21"/>
                      <w:szCs w:val="21"/>
                      <w:lang w:val="en-US" w:eastAsia="zh-CN" w:bidi="ar-SA"/>
                    </w:rPr>
                    <w:t>1#消毒设施</w:t>
                  </w:r>
                </w:p>
              </w:tc>
              <w:tc>
                <w:tcPr>
                  <w:tcW w:w="1209" w:type="pct"/>
                  <w:shd w:val="clear" w:color="auto" w:fill="auto"/>
                  <w:vAlign w:val="center"/>
                </w:tcPr>
                <w:p w14:paraId="42C0C71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消毒设施</w:t>
                  </w:r>
                </w:p>
              </w:tc>
              <w:tc>
                <w:tcPr>
                  <w:tcW w:w="1227" w:type="pct"/>
                  <w:shd w:val="clear" w:color="auto" w:fill="auto"/>
                  <w:vAlign w:val="center"/>
                </w:tcPr>
                <w:p w14:paraId="1A628120">
                  <w:pPr>
                    <w:keepNext w:val="0"/>
                    <w:keepLines w:val="0"/>
                    <w:pageBreakBefore w:val="0"/>
                    <w:kinsoku/>
                    <w:wordWrap/>
                    <w:overflowPunct/>
                    <w:topLinePunct w:val="0"/>
                    <w:autoSpaceDE/>
                    <w:autoSpaceDN/>
                    <w:bidi w:val="0"/>
                    <w:spacing w:line="240" w:lineRule="auto"/>
                    <w:jc w:val="center"/>
                    <w:textAlignment w:val="auto"/>
                    <w:rPr>
                      <w:rFonts w:hint="default"/>
                      <w:szCs w:val="21"/>
                      <w:lang w:val="en-US" w:eastAsia="zh-CN"/>
                    </w:rPr>
                  </w:pPr>
                  <w:r>
                    <w:rPr>
                      <w:rFonts w:hint="eastAsia"/>
                      <w:szCs w:val="21"/>
                      <w:lang w:val="en-US" w:eastAsia="zh-CN"/>
                    </w:rPr>
                    <w:t>容积为0.064m</w:t>
                  </w:r>
                  <w:r>
                    <w:rPr>
                      <w:rFonts w:hint="eastAsia"/>
                      <w:szCs w:val="21"/>
                      <w:vertAlign w:val="superscript"/>
                      <w:lang w:val="en-US" w:eastAsia="zh-CN"/>
                    </w:rPr>
                    <w:t>3</w:t>
                  </w:r>
                </w:p>
              </w:tc>
              <w:tc>
                <w:tcPr>
                  <w:tcW w:w="499" w:type="pct"/>
                  <w:shd w:val="clear" w:color="auto" w:fill="auto"/>
                  <w:vAlign w:val="center"/>
                </w:tcPr>
                <w:p w14:paraId="165A3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6BFB4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2527F3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r w14:paraId="10868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2" w:type="pct"/>
                  <w:vAlign w:val="center"/>
                </w:tcPr>
                <w:p w14:paraId="6BAB4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7</w:t>
                  </w:r>
                </w:p>
              </w:tc>
              <w:tc>
                <w:tcPr>
                  <w:tcW w:w="654" w:type="pct"/>
                  <w:vAlign w:val="center"/>
                </w:tcPr>
                <w:p w14:paraId="05A918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z w:val="21"/>
                      <w:szCs w:val="21"/>
                      <w:highlight w:val="none"/>
                      <w:vertAlign w:val="baseline"/>
                      <w:lang w:val="en-US" w:eastAsia="zh-CN"/>
                    </w:rPr>
                  </w:pPr>
                  <w:r>
                    <w:rPr>
                      <w:rFonts w:hint="eastAsia" w:cs="Times New Roman"/>
                      <w:kern w:val="0"/>
                      <w:sz w:val="21"/>
                      <w:szCs w:val="21"/>
                      <w:lang w:val="en-US" w:eastAsia="zh-CN" w:bidi="ar-SA"/>
                    </w:rPr>
                    <w:t>2#消毒设施</w:t>
                  </w:r>
                </w:p>
              </w:tc>
              <w:tc>
                <w:tcPr>
                  <w:tcW w:w="1209" w:type="pct"/>
                  <w:shd w:val="clear" w:color="auto" w:fill="auto"/>
                  <w:vAlign w:val="center"/>
                </w:tcPr>
                <w:p w14:paraId="56E01CD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cs="Times New Roman"/>
                      <w:kern w:val="0"/>
                      <w:sz w:val="21"/>
                      <w:szCs w:val="21"/>
                      <w:lang w:val="en-US" w:eastAsia="zh-CN" w:bidi="ar-SA"/>
                    </w:rPr>
                  </w:pPr>
                  <w:r>
                    <w:rPr>
                      <w:rFonts w:hint="eastAsia" w:cs="Times New Roman"/>
                      <w:kern w:val="0"/>
                      <w:sz w:val="21"/>
                      <w:szCs w:val="21"/>
                      <w:lang w:val="en-US" w:eastAsia="zh-CN" w:bidi="ar-SA"/>
                    </w:rPr>
                    <w:t>消毒设施</w:t>
                  </w:r>
                </w:p>
              </w:tc>
              <w:tc>
                <w:tcPr>
                  <w:tcW w:w="1227" w:type="pct"/>
                  <w:shd w:val="clear" w:color="auto" w:fill="auto"/>
                  <w:vAlign w:val="center"/>
                </w:tcPr>
                <w:p w14:paraId="2378E52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容积为0.032m</w:t>
                  </w:r>
                  <w:r>
                    <w:rPr>
                      <w:rFonts w:hint="eastAsia"/>
                      <w:szCs w:val="21"/>
                      <w:vertAlign w:val="superscript"/>
                      <w:lang w:val="en-US" w:eastAsia="zh-CN"/>
                    </w:rPr>
                    <w:t>3</w:t>
                  </w:r>
                </w:p>
              </w:tc>
              <w:tc>
                <w:tcPr>
                  <w:tcW w:w="499" w:type="pct"/>
                  <w:shd w:val="clear" w:color="auto" w:fill="auto"/>
                  <w:vAlign w:val="center"/>
                </w:tcPr>
                <w:p w14:paraId="083D20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台</w:t>
                  </w:r>
                </w:p>
              </w:tc>
              <w:tc>
                <w:tcPr>
                  <w:tcW w:w="481" w:type="pct"/>
                  <w:shd w:val="clear" w:color="auto" w:fill="auto"/>
                  <w:vAlign w:val="center"/>
                </w:tcPr>
                <w:p w14:paraId="66C690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w:t>
                  </w:r>
                </w:p>
              </w:tc>
              <w:tc>
                <w:tcPr>
                  <w:tcW w:w="495" w:type="pct"/>
                  <w:shd w:val="clear" w:color="auto" w:fill="auto"/>
                  <w:vAlign w:val="center"/>
                </w:tcPr>
                <w:p w14:paraId="4B861F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现有</w:t>
                  </w:r>
                </w:p>
              </w:tc>
            </w:tr>
          </w:tbl>
          <w:p w14:paraId="24C471A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2.5主要原辅材料</w:t>
            </w:r>
          </w:p>
          <w:p w14:paraId="25B8EC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val="en-US" w:eastAsia="zh-CN"/>
              </w:rPr>
              <w:t>本项目使用的医疗耗材、药品均通过正规医药公司、医药机构正规渠道购买，符合国家药品标准。宠物住院期间由医护人员喂食宠物饲料。</w:t>
            </w:r>
            <w:r>
              <w:rPr>
                <w:rFonts w:hint="default" w:ascii="Times New Roman" w:hAnsi="Times New Roman" w:cs="Times New Roman"/>
                <w:b w:val="0"/>
                <w:bCs/>
                <w:sz w:val="24"/>
                <w:szCs w:val="24"/>
                <w:highlight w:val="none"/>
                <w:vertAlign w:val="baseline"/>
                <w:lang w:val="en-US" w:eastAsia="zh-CN"/>
              </w:rPr>
              <w:t>项目主要原辅材料详见表 2.5-1。</w:t>
            </w:r>
          </w:p>
          <w:p w14:paraId="0A031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表2.5-1项目主要原辅材料一览表</w:t>
            </w:r>
          </w:p>
          <w:tbl>
            <w:tblPr>
              <w:tblStyle w:val="21"/>
              <w:tblW w:w="499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195"/>
              <w:gridCol w:w="1195"/>
              <w:gridCol w:w="1195"/>
              <w:gridCol w:w="1195"/>
              <w:gridCol w:w="1195"/>
              <w:gridCol w:w="1198"/>
            </w:tblGrid>
            <w:tr w14:paraId="08993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tcBorders>
                    <w:tl2br w:val="nil"/>
                    <w:tr2bl w:val="nil"/>
                  </w:tcBorders>
                  <w:vAlign w:val="center"/>
                </w:tcPr>
                <w:p w14:paraId="0D43E1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类别</w:t>
                  </w:r>
                </w:p>
              </w:tc>
              <w:tc>
                <w:tcPr>
                  <w:tcW w:w="714" w:type="pct"/>
                  <w:tcBorders>
                    <w:tl2br w:val="nil"/>
                    <w:tr2bl w:val="nil"/>
                  </w:tcBorders>
                  <w:vAlign w:val="center"/>
                </w:tcPr>
                <w:p w14:paraId="27764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名称</w:t>
                  </w:r>
                </w:p>
              </w:tc>
              <w:tc>
                <w:tcPr>
                  <w:tcW w:w="714" w:type="pct"/>
                  <w:tcBorders>
                    <w:tl2br w:val="nil"/>
                    <w:tr2bl w:val="nil"/>
                  </w:tcBorders>
                  <w:vAlign w:val="center"/>
                </w:tcPr>
                <w:p w14:paraId="60FDB9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年用量</w:t>
                  </w:r>
                </w:p>
              </w:tc>
              <w:tc>
                <w:tcPr>
                  <w:tcW w:w="714" w:type="pct"/>
                  <w:tcBorders>
                    <w:tl2br w:val="nil"/>
                    <w:tr2bl w:val="nil"/>
                  </w:tcBorders>
                  <w:vAlign w:val="center"/>
                </w:tcPr>
                <w:p w14:paraId="27214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规格/型号</w:t>
                  </w:r>
                </w:p>
              </w:tc>
              <w:tc>
                <w:tcPr>
                  <w:tcW w:w="714" w:type="pct"/>
                  <w:tcBorders>
                    <w:tl2br w:val="nil"/>
                    <w:tr2bl w:val="nil"/>
                  </w:tcBorders>
                  <w:vAlign w:val="center"/>
                </w:tcPr>
                <w:p w14:paraId="22515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暂存量</w:t>
                  </w:r>
                </w:p>
              </w:tc>
              <w:tc>
                <w:tcPr>
                  <w:tcW w:w="714" w:type="pct"/>
                  <w:tcBorders>
                    <w:tl2br w:val="nil"/>
                    <w:tr2bl w:val="nil"/>
                  </w:tcBorders>
                  <w:vAlign w:val="center"/>
                </w:tcPr>
                <w:p w14:paraId="56496F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位置</w:t>
                  </w:r>
                </w:p>
              </w:tc>
              <w:tc>
                <w:tcPr>
                  <w:tcW w:w="716" w:type="pct"/>
                  <w:tcBorders>
                    <w:tl2br w:val="nil"/>
                    <w:tr2bl w:val="nil"/>
                  </w:tcBorders>
                  <w:vAlign w:val="center"/>
                </w:tcPr>
                <w:p w14:paraId="47C2D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ascii="Times New Roman" w:hAnsi="Times New Roman" w:cs="Times New Roman"/>
                      <w:b w:val="0"/>
                      <w:bCs/>
                      <w:color w:val="auto"/>
                      <w:sz w:val="21"/>
                      <w:szCs w:val="21"/>
                      <w:highlight w:val="none"/>
                      <w:vertAlign w:val="baseline"/>
                      <w:lang w:val="en-US" w:eastAsia="zh-CN"/>
                    </w:rPr>
                    <w:t>备注</w:t>
                  </w:r>
                </w:p>
              </w:tc>
            </w:tr>
            <w:tr w14:paraId="0EC96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restart"/>
                  <w:tcBorders>
                    <w:tl2br w:val="nil"/>
                    <w:tr2bl w:val="nil"/>
                  </w:tcBorders>
                  <w:vAlign w:val="center"/>
                </w:tcPr>
                <w:p w14:paraId="416209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医疗器械</w:t>
                  </w:r>
                </w:p>
              </w:tc>
              <w:tc>
                <w:tcPr>
                  <w:tcW w:w="714" w:type="pct"/>
                  <w:tcBorders>
                    <w:tl2br w:val="nil"/>
                    <w:tr2bl w:val="nil"/>
                  </w:tcBorders>
                  <w:shd w:val="clear" w:color="auto" w:fill="auto"/>
                  <w:vAlign w:val="center"/>
                </w:tcPr>
                <w:p w14:paraId="4A96F15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棉球</w:t>
                  </w:r>
                </w:p>
              </w:tc>
              <w:tc>
                <w:tcPr>
                  <w:tcW w:w="714" w:type="pct"/>
                  <w:tcBorders>
                    <w:tl2br w:val="nil"/>
                    <w:tr2bl w:val="nil"/>
                  </w:tcBorders>
                  <w:shd w:val="clear" w:color="auto" w:fill="auto"/>
                  <w:vAlign w:val="center"/>
                </w:tcPr>
                <w:p w14:paraId="4E966DDB">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kg</w:t>
                  </w:r>
                </w:p>
              </w:tc>
              <w:tc>
                <w:tcPr>
                  <w:tcW w:w="714" w:type="pct"/>
                  <w:tcBorders>
                    <w:tl2br w:val="nil"/>
                    <w:tr2bl w:val="nil"/>
                  </w:tcBorders>
                  <w:shd w:val="clear" w:color="auto" w:fill="auto"/>
                  <w:vAlign w:val="center"/>
                </w:tcPr>
                <w:p w14:paraId="343049FF">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5</w:t>
                  </w:r>
                </w:p>
              </w:tc>
              <w:tc>
                <w:tcPr>
                  <w:tcW w:w="714" w:type="pct"/>
                  <w:tcBorders>
                    <w:tl2br w:val="nil"/>
                    <w:tr2bl w:val="nil"/>
                  </w:tcBorders>
                  <w:shd w:val="clear" w:color="auto" w:fill="auto"/>
                  <w:vAlign w:val="center"/>
                </w:tcPr>
                <w:p w14:paraId="1600E981">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w:t>
                  </w:r>
                </w:p>
              </w:tc>
              <w:tc>
                <w:tcPr>
                  <w:tcW w:w="714" w:type="pct"/>
                  <w:vMerge w:val="restart"/>
                  <w:tcBorders>
                    <w:tl2br w:val="nil"/>
                    <w:tr2bl w:val="nil"/>
                  </w:tcBorders>
                  <w:vAlign w:val="center"/>
                </w:tcPr>
                <w:p w14:paraId="511DA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药房</w:t>
                  </w:r>
                </w:p>
              </w:tc>
              <w:tc>
                <w:tcPr>
                  <w:tcW w:w="716" w:type="pct"/>
                  <w:tcBorders>
                    <w:tl2br w:val="nil"/>
                    <w:tr2bl w:val="nil"/>
                  </w:tcBorders>
                  <w:shd w:val="clear" w:color="auto" w:fill="auto"/>
                  <w:vAlign w:val="center"/>
                </w:tcPr>
                <w:p w14:paraId="63915E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7FE46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vAlign w:val="center"/>
                </w:tcPr>
                <w:p w14:paraId="67E56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4" w:type="pct"/>
                  <w:tcBorders>
                    <w:tl2br w:val="nil"/>
                    <w:tr2bl w:val="nil"/>
                  </w:tcBorders>
                  <w:shd w:val="clear" w:color="auto" w:fill="auto"/>
                  <w:vAlign w:val="center"/>
                </w:tcPr>
                <w:p w14:paraId="063014F6">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注射器</w:t>
                  </w:r>
                </w:p>
              </w:tc>
              <w:tc>
                <w:tcPr>
                  <w:tcW w:w="714" w:type="pct"/>
                  <w:tcBorders>
                    <w:tl2br w:val="nil"/>
                    <w:tr2bl w:val="nil"/>
                  </w:tcBorders>
                  <w:shd w:val="clear" w:color="auto" w:fill="auto"/>
                  <w:vAlign w:val="center"/>
                </w:tcPr>
                <w:p w14:paraId="4BD19195">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包</w:t>
                  </w:r>
                </w:p>
              </w:tc>
              <w:tc>
                <w:tcPr>
                  <w:tcW w:w="714" w:type="pct"/>
                  <w:tcBorders>
                    <w:tl2br w:val="nil"/>
                    <w:tr2bl w:val="nil"/>
                  </w:tcBorders>
                  <w:shd w:val="clear" w:color="auto" w:fill="auto"/>
                  <w:vAlign w:val="center"/>
                </w:tcPr>
                <w:p w14:paraId="46260A23">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2100</w:t>
                  </w:r>
                </w:p>
              </w:tc>
              <w:tc>
                <w:tcPr>
                  <w:tcW w:w="714" w:type="pct"/>
                  <w:tcBorders>
                    <w:tl2br w:val="nil"/>
                    <w:tr2bl w:val="nil"/>
                  </w:tcBorders>
                  <w:shd w:val="clear" w:color="auto" w:fill="auto"/>
                  <w:vAlign w:val="center"/>
                </w:tcPr>
                <w:p w14:paraId="5DB75A11">
                  <w:pPr>
                    <w:spacing w:line="36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500</w:t>
                  </w:r>
                </w:p>
              </w:tc>
              <w:tc>
                <w:tcPr>
                  <w:tcW w:w="714" w:type="pct"/>
                  <w:vMerge w:val="continue"/>
                  <w:tcBorders>
                    <w:tl2br w:val="nil"/>
                    <w:tr2bl w:val="nil"/>
                  </w:tcBorders>
                  <w:vAlign w:val="center"/>
                </w:tcPr>
                <w:p w14:paraId="0284D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0E4CCF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739BB8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vAlign w:val="center"/>
                </w:tcPr>
                <w:p w14:paraId="3A95F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4" w:type="pct"/>
                  <w:tcBorders>
                    <w:tl2br w:val="nil"/>
                    <w:tr2bl w:val="nil"/>
                  </w:tcBorders>
                  <w:shd w:val="clear" w:color="auto" w:fill="auto"/>
                  <w:vAlign w:val="center"/>
                </w:tcPr>
                <w:p w14:paraId="046CD10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olor w:val="auto"/>
                      <w:kern w:val="0"/>
                      <w:sz w:val="21"/>
                      <w:szCs w:val="21"/>
                      <w:lang w:eastAsia="zh-CN"/>
                    </w:rPr>
                    <w:t>纱布</w:t>
                  </w:r>
                </w:p>
              </w:tc>
              <w:tc>
                <w:tcPr>
                  <w:tcW w:w="714" w:type="pct"/>
                  <w:tcBorders>
                    <w:tl2br w:val="nil"/>
                    <w:tr2bl w:val="nil"/>
                  </w:tcBorders>
                  <w:shd w:val="clear" w:color="auto" w:fill="auto"/>
                  <w:vAlign w:val="center"/>
                </w:tcPr>
                <w:p w14:paraId="33DECC0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包</w:t>
                  </w:r>
                </w:p>
              </w:tc>
              <w:tc>
                <w:tcPr>
                  <w:tcW w:w="714" w:type="pct"/>
                  <w:tcBorders>
                    <w:tl2br w:val="nil"/>
                    <w:tr2bl w:val="nil"/>
                  </w:tcBorders>
                  <w:shd w:val="clear" w:color="auto" w:fill="auto"/>
                  <w:vAlign w:val="center"/>
                </w:tcPr>
                <w:p w14:paraId="667F83C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120</w:t>
                  </w:r>
                </w:p>
              </w:tc>
              <w:tc>
                <w:tcPr>
                  <w:tcW w:w="714" w:type="pct"/>
                  <w:tcBorders>
                    <w:tl2br w:val="nil"/>
                    <w:tr2bl w:val="nil"/>
                  </w:tcBorders>
                  <w:shd w:val="clear" w:color="auto" w:fill="auto"/>
                  <w:vAlign w:val="center"/>
                </w:tcPr>
                <w:p w14:paraId="432B0390">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3</w:t>
                  </w:r>
                </w:p>
              </w:tc>
              <w:tc>
                <w:tcPr>
                  <w:tcW w:w="714" w:type="pct"/>
                  <w:vMerge w:val="continue"/>
                  <w:tcBorders>
                    <w:tl2br w:val="nil"/>
                    <w:tr2bl w:val="nil"/>
                  </w:tcBorders>
                  <w:vAlign w:val="center"/>
                </w:tcPr>
                <w:p w14:paraId="638C86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41309E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54917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vAlign w:val="center"/>
                </w:tcPr>
                <w:p w14:paraId="39CC9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4" w:type="pct"/>
                  <w:tcBorders>
                    <w:tl2br w:val="nil"/>
                    <w:tr2bl w:val="nil"/>
                  </w:tcBorders>
                  <w:shd w:val="clear" w:color="auto" w:fill="auto"/>
                  <w:vAlign w:val="center"/>
                </w:tcPr>
                <w:p w14:paraId="05B3331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ascii="Times New Roman" w:hAnsi="Times New Roman" w:eastAsia="宋体"/>
                      <w:color w:val="auto"/>
                      <w:kern w:val="0"/>
                      <w:sz w:val="21"/>
                      <w:szCs w:val="21"/>
                    </w:rPr>
                    <w:t>输液袋</w:t>
                  </w:r>
                </w:p>
              </w:tc>
              <w:tc>
                <w:tcPr>
                  <w:tcW w:w="714" w:type="pct"/>
                  <w:tcBorders>
                    <w:tl2br w:val="nil"/>
                    <w:tr2bl w:val="nil"/>
                  </w:tcBorders>
                  <w:shd w:val="clear" w:color="auto" w:fill="auto"/>
                  <w:vAlign w:val="center"/>
                </w:tcPr>
                <w:p w14:paraId="4A6EC44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袋</w:t>
                  </w:r>
                </w:p>
              </w:tc>
              <w:tc>
                <w:tcPr>
                  <w:tcW w:w="714" w:type="pct"/>
                  <w:tcBorders>
                    <w:tl2br w:val="nil"/>
                    <w:tr2bl w:val="nil"/>
                  </w:tcBorders>
                  <w:shd w:val="clear" w:color="auto" w:fill="auto"/>
                  <w:vAlign w:val="center"/>
                </w:tcPr>
                <w:p w14:paraId="3949F13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240</w:t>
                  </w:r>
                </w:p>
              </w:tc>
              <w:tc>
                <w:tcPr>
                  <w:tcW w:w="714" w:type="pct"/>
                  <w:tcBorders>
                    <w:tl2br w:val="nil"/>
                    <w:tr2bl w:val="nil"/>
                  </w:tcBorders>
                  <w:shd w:val="clear" w:color="auto" w:fill="auto"/>
                  <w:vAlign w:val="center"/>
                </w:tcPr>
                <w:p w14:paraId="2136B67E">
                  <w:pPr>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50</w:t>
                  </w:r>
                </w:p>
              </w:tc>
              <w:tc>
                <w:tcPr>
                  <w:tcW w:w="714" w:type="pct"/>
                  <w:vMerge w:val="continue"/>
                  <w:tcBorders>
                    <w:tl2br w:val="nil"/>
                    <w:tr2bl w:val="nil"/>
                  </w:tcBorders>
                  <w:vAlign w:val="center"/>
                </w:tcPr>
                <w:p w14:paraId="2E281C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0A6C3F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5BC0E6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restart"/>
                  <w:tcBorders>
                    <w:tl2br w:val="nil"/>
                    <w:tr2bl w:val="nil"/>
                  </w:tcBorders>
                  <w:shd w:val="clear" w:color="auto" w:fill="auto"/>
                  <w:vAlign w:val="center"/>
                </w:tcPr>
                <w:p w14:paraId="316DDFC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药品</w:t>
                  </w:r>
                </w:p>
              </w:tc>
              <w:tc>
                <w:tcPr>
                  <w:tcW w:w="714" w:type="pct"/>
                  <w:tcBorders>
                    <w:tl2br w:val="nil"/>
                    <w:tr2bl w:val="nil"/>
                  </w:tcBorders>
                  <w:shd w:val="clear" w:color="auto" w:fill="auto"/>
                  <w:vAlign w:val="center"/>
                </w:tcPr>
                <w:p w14:paraId="094396EB">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抗生素类（口服）</w:t>
                  </w:r>
                </w:p>
              </w:tc>
              <w:tc>
                <w:tcPr>
                  <w:tcW w:w="714" w:type="pct"/>
                  <w:tcBorders>
                    <w:tl2br w:val="nil"/>
                    <w:tr2bl w:val="nil"/>
                  </w:tcBorders>
                  <w:shd w:val="clear" w:color="auto" w:fill="auto"/>
                  <w:vAlign w:val="center"/>
                </w:tcPr>
                <w:p w14:paraId="05ABE9C3">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1080</w:t>
                  </w:r>
                </w:p>
              </w:tc>
              <w:tc>
                <w:tcPr>
                  <w:tcW w:w="714" w:type="pct"/>
                  <w:tcBorders>
                    <w:tl2br w:val="nil"/>
                    <w:tr2bl w:val="nil"/>
                  </w:tcBorders>
                  <w:shd w:val="clear" w:color="auto" w:fill="auto"/>
                  <w:vAlign w:val="center"/>
                </w:tcPr>
                <w:p w14:paraId="7514964D">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颗</w:t>
                  </w:r>
                </w:p>
              </w:tc>
              <w:tc>
                <w:tcPr>
                  <w:tcW w:w="714" w:type="pct"/>
                  <w:tcBorders>
                    <w:tl2br w:val="nil"/>
                    <w:tr2bl w:val="nil"/>
                  </w:tcBorders>
                  <w:shd w:val="clear" w:color="auto" w:fill="auto"/>
                  <w:vAlign w:val="center"/>
                </w:tcPr>
                <w:p w14:paraId="4F3E3CFC">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45</w:t>
                  </w:r>
                </w:p>
              </w:tc>
              <w:tc>
                <w:tcPr>
                  <w:tcW w:w="714" w:type="pct"/>
                  <w:vMerge w:val="continue"/>
                  <w:tcBorders>
                    <w:tl2br w:val="nil"/>
                    <w:tr2bl w:val="nil"/>
                  </w:tcBorders>
                  <w:vAlign w:val="center"/>
                </w:tcPr>
                <w:p w14:paraId="0F16C0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59D8BC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0BA29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shd w:val="clear" w:color="auto" w:fill="auto"/>
                  <w:vAlign w:val="center"/>
                </w:tcPr>
                <w:p w14:paraId="6E22B3A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0C12F344">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内科类（口服）</w:t>
                  </w:r>
                </w:p>
              </w:tc>
              <w:tc>
                <w:tcPr>
                  <w:tcW w:w="714" w:type="pct"/>
                  <w:tcBorders>
                    <w:tl2br w:val="nil"/>
                    <w:tr2bl w:val="nil"/>
                  </w:tcBorders>
                  <w:shd w:val="clear" w:color="auto" w:fill="auto"/>
                  <w:vAlign w:val="center"/>
                </w:tcPr>
                <w:p w14:paraId="0D04CA2A">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900</w:t>
                  </w:r>
                </w:p>
              </w:tc>
              <w:tc>
                <w:tcPr>
                  <w:tcW w:w="714" w:type="pct"/>
                  <w:tcBorders>
                    <w:tl2br w:val="nil"/>
                    <w:tr2bl w:val="nil"/>
                  </w:tcBorders>
                  <w:shd w:val="clear" w:color="auto" w:fill="auto"/>
                  <w:vAlign w:val="center"/>
                </w:tcPr>
                <w:p w14:paraId="05D1A752">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颗</w:t>
                  </w:r>
                </w:p>
              </w:tc>
              <w:tc>
                <w:tcPr>
                  <w:tcW w:w="714" w:type="pct"/>
                  <w:tcBorders>
                    <w:tl2br w:val="nil"/>
                    <w:tr2bl w:val="nil"/>
                  </w:tcBorders>
                  <w:shd w:val="clear" w:color="auto" w:fill="auto"/>
                  <w:vAlign w:val="center"/>
                </w:tcPr>
                <w:p w14:paraId="2C71DF61">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45</w:t>
                  </w:r>
                </w:p>
              </w:tc>
              <w:tc>
                <w:tcPr>
                  <w:tcW w:w="714" w:type="pct"/>
                  <w:vMerge w:val="continue"/>
                  <w:tcBorders>
                    <w:tl2br w:val="nil"/>
                    <w:tr2bl w:val="nil"/>
                  </w:tcBorders>
                  <w:vAlign w:val="center"/>
                </w:tcPr>
                <w:p w14:paraId="414EE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59E666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外购</w:t>
                  </w:r>
                </w:p>
              </w:tc>
            </w:tr>
            <w:tr w14:paraId="36B15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shd w:val="clear" w:color="auto" w:fill="auto"/>
                  <w:vAlign w:val="center"/>
                </w:tcPr>
                <w:p w14:paraId="0A6CA13F">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4D07FC56">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外科类（口服）</w:t>
                  </w:r>
                </w:p>
              </w:tc>
              <w:tc>
                <w:tcPr>
                  <w:tcW w:w="714" w:type="pct"/>
                  <w:tcBorders>
                    <w:tl2br w:val="nil"/>
                    <w:tr2bl w:val="nil"/>
                  </w:tcBorders>
                  <w:shd w:val="clear" w:color="auto" w:fill="auto"/>
                  <w:vAlign w:val="center"/>
                </w:tcPr>
                <w:p w14:paraId="5B942378">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720</w:t>
                  </w:r>
                </w:p>
              </w:tc>
              <w:tc>
                <w:tcPr>
                  <w:tcW w:w="714" w:type="pct"/>
                  <w:tcBorders>
                    <w:tl2br w:val="nil"/>
                    <w:tr2bl w:val="nil"/>
                  </w:tcBorders>
                  <w:shd w:val="clear" w:color="auto" w:fill="auto"/>
                  <w:vAlign w:val="center"/>
                </w:tcPr>
                <w:p w14:paraId="0F818DD7">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颗</w:t>
                  </w:r>
                </w:p>
              </w:tc>
              <w:tc>
                <w:tcPr>
                  <w:tcW w:w="714" w:type="pct"/>
                  <w:tcBorders>
                    <w:tl2br w:val="nil"/>
                    <w:tr2bl w:val="nil"/>
                  </w:tcBorders>
                  <w:shd w:val="clear" w:color="auto" w:fill="auto"/>
                  <w:vAlign w:val="center"/>
                </w:tcPr>
                <w:p w14:paraId="6DB83F08">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45</w:t>
                  </w:r>
                </w:p>
              </w:tc>
              <w:tc>
                <w:tcPr>
                  <w:tcW w:w="714" w:type="pct"/>
                  <w:vMerge w:val="continue"/>
                  <w:tcBorders>
                    <w:tl2br w:val="nil"/>
                    <w:tr2bl w:val="nil"/>
                  </w:tcBorders>
                  <w:vAlign w:val="center"/>
                </w:tcPr>
                <w:p w14:paraId="03A588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28734F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0206F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shd w:val="clear" w:color="auto" w:fill="auto"/>
                  <w:vAlign w:val="center"/>
                </w:tcPr>
                <w:p w14:paraId="1D04F8EE">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19AB26D3">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抗生素类（针剂）</w:t>
                  </w:r>
                </w:p>
              </w:tc>
              <w:tc>
                <w:tcPr>
                  <w:tcW w:w="714" w:type="pct"/>
                  <w:tcBorders>
                    <w:tl2br w:val="nil"/>
                    <w:tr2bl w:val="nil"/>
                  </w:tcBorders>
                  <w:shd w:val="clear" w:color="auto" w:fill="auto"/>
                  <w:vAlign w:val="center"/>
                </w:tcPr>
                <w:p w14:paraId="03C71BA9">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540</w:t>
                  </w:r>
                </w:p>
              </w:tc>
              <w:tc>
                <w:tcPr>
                  <w:tcW w:w="714" w:type="pct"/>
                  <w:tcBorders>
                    <w:tl2br w:val="nil"/>
                    <w:tr2bl w:val="nil"/>
                  </w:tcBorders>
                  <w:shd w:val="clear" w:color="auto" w:fill="auto"/>
                  <w:vAlign w:val="center"/>
                </w:tcPr>
                <w:p w14:paraId="1FF68D72">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支</w:t>
                  </w:r>
                </w:p>
              </w:tc>
              <w:tc>
                <w:tcPr>
                  <w:tcW w:w="714" w:type="pct"/>
                  <w:tcBorders>
                    <w:tl2br w:val="nil"/>
                    <w:tr2bl w:val="nil"/>
                  </w:tcBorders>
                  <w:shd w:val="clear" w:color="auto" w:fill="auto"/>
                  <w:vAlign w:val="center"/>
                </w:tcPr>
                <w:p w14:paraId="4C716628">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15</w:t>
                  </w:r>
                </w:p>
              </w:tc>
              <w:tc>
                <w:tcPr>
                  <w:tcW w:w="714" w:type="pct"/>
                  <w:vMerge w:val="continue"/>
                  <w:tcBorders>
                    <w:tl2br w:val="nil"/>
                    <w:tr2bl w:val="nil"/>
                  </w:tcBorders>
                  <w:vAlign w:val="center"/>
                </w:tcPr>
                <w:p w14:paraId="62A95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46839D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74DA5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shd w:val="clear" w:color="auto" w:fill="auto"/>
                  <w:vAlign w:val="center"/>
                </w:tcPr>
                <w:p w14:paraId="5FB475D5">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470BDD75">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内科类（针剂）</w:t>
                  </w:r>
                </w:p>
              </w:tc>
              <w:tc>
                <w:tcPr>
                  <w:tcW w:w="714" w:type="pct"/>
                  <w:tcBorders>
                    <w:tl2br w:val="nil"/>
                    <w:tr2bl w:val="nil"/>
                  </w:tcBorders>
                  <w:shd w:val="clear" w:color="auto" w:fill="auto"/>
                  <w:vAlign w:val="center"/>
                </w:tcPr>
                <w:p w14:paraId="3515E799">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540</w:t>
                  </w:r>
                </w:p>
              </w:tc>
              <w:tc>
                <w:tcPr>
                  <w:tcW w:w="714" w:type="pct"/>
                  <w:tcBorders>
                    <w:tl2br w:val="nil"/>
                    <w:tr2bl w:val="nil"/>
                  </w:tcBorders>
                  <w:shd w:val="clear" w:color="auto" w:fill="auto"/>
                  <w:vAlign w:val="center"/>
                </w:tcPr>
                <w:p w14:paraId="2C4E16C2">
                  <w:pPr>
                    <w:numPr>
                      <w:ilvl w:val="0"/>
                      <w:numId w:val="0"/>
                    </w:numPr>
                    <w:ind w:left="0" w:leftChars="0" w:firstLine="0" w:firstLineChars="0"/>
                    <w:jc w:val="center"/>
                    <w:rPr>
                      <w:rFonts w:hint="eastAsia"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支</w:t>
                  </w:r>
                </w:p>
              </w:tc>
              <w:tc>
                <w:tcPr>
                  <w:tcW w:w="714" w:type="pct"/>
                  <w:tcBorders>
                    <w:tl2br w:val="nil"/>
                    <w:tr2bl w:val="nil"/>
                  </w:tcBorders>
                  <w:shd w:val="clear" w:color="auto" w:fill="auto"/>
                  <w:vAlign w:val="center"/>
                </w:tcPr>
                <w:p w14:paraId="657853DE">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15</w:t>
                  </w:r>
                </w:p>
              </w:tc>
              <w:tc>
                <w:tcPr>
                  <w:tcW w:w="714" w:type="pct"/>
                  <w:vMerge w:val="continue"/>
                  <w:tcBorders>
                    <w:tl2br w:val="nil"/>
                    <w:tr2bl w:val="nil"/>
                  </w:tcBorders>
                  <w:vAlign w:val="center"/>
                </w:tcPr>
                <w:p w14:paraId="6076F3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6AEEA8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03866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shd w:val="clear" w:color="auto" w:fill="auto"/>
                  <w:vAlign w:val="center"/>
                </w:tcPr>
                <w:p w14:paraId="2C1792A4">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5EB272C2">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外科类（针剂）</w:t>
                  </w:r>
                </w:p>
              </w:tc>
              <w:tc>
                <w:tcPr>
                  <w:tcW w:w="714" w:type="pct"/>
                  <w:tcBorders>
                    <w:tl2br w:val="nil"/>
                    <w:tr2bl w:val="nil"/>
                  </w:tcBorders>
                  <w:shd w:val="clear" w:color="auto" w:fill="auto"/>
                  <w:vAlign w:val="center"/>
                </w:tcPr>
                <w:p w14:paraId="0DCB429B">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b w:val="0"/>
                      <w:bCs w:val="0"/>
                      <w:highlight w:val="none"/>
                      <w:vertAlign w:val="baseline"/>
                      <w:lang w:val="en-US" w:eastAsia="zh-CN"/>
                    </w:rPr>
                    <w:t>540</w:t>
                  </w:r>
                </w:p>
              </w:tc>
              <w:tc>
                <w:tcPr>
                  <w:tcW w:w="714" w:type="pct"/>
                  <w:tcBorders>
                    <w:tl2br w:val="nil"/>
                    <w:tr2bl w:val="nil"/>
                  </w:tcBorders>
                  <w:shd w:val="clear" w:color="auto" w:fill="auto"/>
                  <w:vAlign w:val="center"/>
                </w:tcPr>
                <w:p w14:paraId="0B3CFEB2">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支</w:t>
                  </w:r>
                </w:p>
              </w:tc>
              <w:tc>
                <w:tcPr>
                  <w:tcW w:w="714" w:type="pct"/>
                  <w:tcBorders>
                    <w:tl2br w:val="nil"/>
                    <w:tr2bl w:val="nil"/>
                  </w:tcBorders>
                  <w:shd w:val="clear" w:color="auto" w:fill="auto"/>
                  <w:vAlign w:val="center"/>
                </w:tcPr>
                <w:p w14:paraId="65067D52">
                  <w:pPr>
                    <w:numPr>
                      <w:ilvl w:val="0"/>
                      <w:numId w:val="0"/>
                    </w:numPr>
                    <w:ind w:left="0" w:leftChars="0" w:firstLine="0" w:firstLineChars="0"/>
                    <w:jc w:val="center"/>
                    <w:rPr>
                      <w:rFonts w:hint="default" w:ascii="Times New Roman" w:hAnsi="Times New Roman" w:eastAsia="宋体" w:cs="Times New Roman"/>
                      <w:b w:val="0"/>
                      <w:bCs w:val="0"/>
                      <w:kern w:val="2"/>
                      <w:sz w:val="21"/>
                      <w:szCs w:val="24"/>
                      <w:highlight w:val="none"/>
                      <w:vertAlign w:val="baseline"/>
                      <w:lang w:val="en-US" w:eastAsia="zh-CN" w:bidi="ar-SA"/>
                    </w:rPr>
                  </w:pPr>
                  <w:r>
                    <w:rPr>
                      <w:rFonts w:hint="eastAsia" w:cs="Times New Roman"/>
                      <w:b w:val="0"/>
                      <w:bCs w:val="0"/>
                      <w:kern w:val="2"/>
                      <w:sz w:val="21"/>
                      <w:szCs w:val="24"/>
                      <w:highlight w:val="none"/>
                      <w:vertAlign w:val="baseline"/>
                      <w:lang w:val="en-US" w:eastAsia="zh-CN" w:bidi="ar-SA"/>
                    </w:rPr>
                    <w:t>15</w:t>
                  </w:r>
                </w:p>
              </w:tc>
              <w:tc>
                <w:tcPr>
                  <w:tcW w:w="714" w:type="pct"/>
                  <w:vMerge w:val="continue"/>
                  <w:tcBorders>
                    <w:tl2br w:val="nil"/>
                    <w:tr2bl w:val="nil"/>
                  </w:tcBorders>
                  <w:vAlign w:val="center"/>
                </w:tcPr>
                <w:p w14:paraId="11F2DD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439BB3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6F46D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11" w:type="pct"/>
                  <w:vMerge w:val="continue"/>
                  <w:tcBorders>
                    <w:tl2br w:val="nil"/>
                    <w:tr2bl w:val="nil"/>
                  </w:tcBorders>
                  <w:shd w:val="clear" w:color="auto" w:fill="auto"/>
                  <w:vAlign w:val="center"/>
                </w:tcPr>
                <w:p w14:paraId="2012218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7F746A2D">
                  <w:pPr>
                    <w:keepNext w:val="0"/>
                    <w:keepLines w:val="0"/>
                    <w:pageBreakBefore w:val="0"/>
                    <w:widowControl/>
                    <w:kinsoku/>
                    <w:wordWrap/>
                    <w:overflowPunct/>
                    <w:topLinePunct w:val="0"/>
                    <w:autoSpaceDE/>
                    <w:autoSpaceDN/>
                    <w:bidi w:val="0"/>
                    <w:adjustRightInd/>
                    <w:snapToGrid/>
                    <w:spacing w:line="240" w:lineRule="auto"/>
                    <w:ind w:left="0" w:leftChars="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异氟烷</w:t>
                  </w:r>
                </w:p>
              </w:tc>
              <w:tc>
                <w:tcPr>
                  <w:tcW w:w="714" w:type="pct"/>
                  <w:tcBorders>
                    <w:tl2br w:val="nil"/>
                    <w:tr2bl w:val="nil"/>
                  </w:tcBorders>
                  <w:shd w:val="clear" w:color="auto" w:fill="auto"/>
                  <w:vAlign w:val="center"/>
                </w:tcPr>
                <w:p w14:paraId="4F33163F">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color w:val="auto"/>
                      <w:sz w:val="21"/>
                      <w:lang w:val="en-US" w:eastAsia="zh-CN"/>
                    </w:rPr>
                    <w:t>20</w:t>
                  </w:r>
                </w:p>
              </w:tc>
              <w:tc>
                <w:tcPr>
                  <w:tcW w:w="714" w:type="pct"/>
                  <w:tcBorders>
                    <w:tl2br w:val="nil"/>
                    <w:tr2bl w:val="nil"/>
                  </w:tcBorders>
                  <w:shd w:val="clear" w:color="auto" w:fill="auto"/>
                  <w:vAlign w:val="center"/>
                </w:tcPr>
                <w:p w14:paraId="4748D088">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lang w:val="en-US" w:eastAsia="zh-CN"/>
                    </w:rPr>
                    <w:t>瓶</w:t>
                  </w:r>
                </w:p>
              </w:tc>
              <w:tc>
                <w:tcPr>
                  <w:tcW w:w="714" w:type="pct"/>
                  <w:tcBorders>
                    <w:tl2br w:val="nil"/>
                    <w:tr2bl w:val="nil"/>
                  </w:tcBorders>
                  <w:shd w:val="clear" w:color="auto" w:fill="auto"/>
                  <w:vAlign w:val="center"/>
                </w:tcPr>
                <w:p w14:paraId="15D4E1E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auto"/>
                      <w:kern w:val="2"/>
                      <w:sz w:val="21"/>
                      <w:szCs w:val="24"/>
                      <w:lang w:val="en-US" w:eastAsia="zh-CN" w:bidi="ar-SA"/>
                    </w:rPr>
                  </w:pPr>
                  <w:r>
                    <w:rPr>
                      <w:rFonts w:hint="eastAsia"/>
                      <w:color w:val="auto"/>
                      <w:sz w:val="21"/>
                      <w:lang w:val="en-US" w:eastAsia="zh-CN"/>
                    </w:rPr>
                    <w:t>5</w:t>
                  </w:r>
                </w:p>
              </w:tc>
              <w:tc>
                <w:tcPr>
                  <w:tcW w:w="714" w:type="pct"/>
                  <w:vMerge w:val="continue"/>
                  <w:tcBorders>
                    <w:tl2br w:val="nil"/>
                    <w:tr2bl w:val="nil"/>
                  </w:tcBorders>
                  <w:vAlign w:val="center"/>
                </w:tcPr>
                <w:p w14:paraId="6EBE3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1B3911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外购</w:t>
                  </w:r>
                </w:p>
              </w:tc>
            </w:tr>
            <w:tr w14:paraId="1FC36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restart"/>
                  <w:tcBorders>
                    <w:tl2br w:val="nil"/>
                    <w:tr2bl w:val="nil"/>
                  </w:tcBorders>
                  <w:shd w:val="clear" w:color="auto" w:fill="auto"/>
                  <w:vAlign w:val="center"/>
                </w:tcPr>
                <w:p w14:paraId="3060A91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检测试纸</w:t>
                  </w:r>
                </w:p>
              </w:tc>
              <w:tc>
                <w:tcPr>
                  <w:tcW w:w="714" w:type="pct"/>
                  <w:tcBorders>
                    <w:tl2br w:val="nil"/>
                    <w:tr2bl w:val="nil"/>
                  </w:tcBorders>
                  <w:shd w:val="clear" w:color="auto" w:fill="auto"/>
                  <w:vAlign w:val="center"/>
                </w:tcPr>
                <w:p w14:paraId="2FB298DB">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color w:val="auto"/>
                      <w:highlight w:val="none"/>
                      <w:lang w:val="en-US" w:eastAsia="zh-CN"/>
                    </w:rPr>
                    <w:t xml:space="preserve">犬细小病毒检测盒 </w:t>
                  </w:r>
                </w:p>
              </w:tc>
              <w:tc>
                <w:tcPr>
                  <w:tcW w:w="714" w:type="pct"/>
                  <w:tcBorders>
                    <w:tl2br w:val="nil"/>
                    <w:tr2bl w:val="nil"/>
                  </w:tcBorders>
                  <w:shd w:val="clear" w:color="auto" w:fill="auto"/>
                  <w:vAlign w:val="center"/>
                </w:tcPr>
                <w:p w14:paraId="4E485F5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144</w:t>
                  </w:r>
                </w:p>
              </w:tc>
              <w:tc>
                <w:tcPr>
                  <w:tcW w:w="714" w:type="pct"/>
                  <w:tcBorders>
                    <w:tl2br w:val="nil"/>
                    <w:tr2bl w:val="nil"/>
                  </w:tcBorders>
                  <w:shd w:val="clear" w:color="auto" w:fill="auto"/>
                  <w:vAlign w:val="center"/>
                </w:tcPr>
                <w:p w14:paraId="151D249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714" w:type="pct"/>
                  <w:tcBorders>
                    <w:tl2br w:val="nil"/>
                    <w:tr2bl w:val="nil"/>
                  </w:tcBorders>
                  <w:shd w:val="clear" w:color="auto" w:fill="auto"/>
                  <w:vAlign w:val="center"/>
                </w:tcPr>
                <w:p w14:paraId="5F9C337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30</w:t>
                  </w:r>
                </w:p>
              </w:tc>
              <w:tc>
                <w:tcPr>
                  <w:tcW w:w="714" w:type="pct"/>
                  <w:vMerge w:val="restart"/>
                  <w:tcBorders>
                    <w:tl2br w:val="nil"/>
                    <w:tr2bl w:val="nil"/>
                  </w:tcBorders>
                  <w:vAlign w:val="center"/>
                </w:tcPr>
                <w:p w14:paraId="44B2BF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检测室</w:t>
                  </w:r>
                </w:p>
              </w:tc>
              <w:tc>
                <w:tcPr>
                  <w:tcW w:w="716" w:type="pct"/>
                  <w:tcBorders>
                    <w:tl2br w:val="nil"/>
                    <w:tr2bl w:val="nil"/>
                  </w:tcBorders>
                  <w:shd w:val="clear" w:color="auto" w:fill="auto"/>
                  <w:vAlign w:val="center"/>
                </w:tcPr>
                <w:p w14:paraId="6B293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740DC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tcBorders>
                    <w:tl2br w:val="nil"/>
                    <w:tr2bl w:val="nil"/>
                  </w:tcBorders>
                  <w:shd w:val="clear" w:color="auto" w:fill="auto"/>
                  <w:vAlign w:val="center"/>
                </w:tcPr>
                <w:p w14:paraId="7CADC80D">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77E08E3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olor w:val="auto"/>
                      <w:sz w:val="21"/>
                      <w:szCs w:val="21"/>
                      <w:lang w:val="en-US" w:eastAsia="zh-CN"/>
                    </w:rPr>
                  </w:pPr>
                  <w:r>
                    <w:rPr>
                      <w:rFonts w:hint="eastAsia"/>
                      <w:color w:val="auto"/>
                      <w:highlight w:val="none"/>
                      <w:lang w:val="en-US" w:eastAsia="zh-CN"/>
                    </w:rPr>
                    <w:t>犬瘟病毒检测盒</w:t>
                  </w:r>
                </w:p>
              </w:tc>
              <w:tc>
                <w:tcPr>
                  <w:tcW w:w="714" w:type="pct"/>
                  <w:tcBorders>
                    <w:tl2br w:val="nil"/>
                    <w:tr2bl w:val="nil"/>
                  </w:tcBorders>
                  <w:shd w:val="clear" w:color="auto" w:fill="auto"/>
                  <w:vAlign w:val="center"/>
                </w:tcPr>
                <w:p w14:paraId="4EB1C03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144</w:t>
                  </w:r>
                </w:p>
              </w:tc>
              <w:tc>
                <w:tcPr>
                  <w:tcW w:w="714" w:type="pct"/>
                  <w:tcBorders>
                    <w:tl2br w:val="nil"/>
                    <w:tr2bl w:val="nil"/>
                  </w:tcBorders>
                  <w:shd w:val="clear" w:color="auto" w:fill="auto"/>
                  <w:vAlign w:val="center"/>
                </w:tcPr>
                <w:p w14:paraId="6B0D173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714" w:type="pct"/>
                  <w:tcBorders>
                    <w:tl2br w:val="nil"/>
                    <w:tr2bl w:val="nil"/>
                  </w:tcBorders>
                  <w:shd w:val="clear" w:color="auto" w:fill="auto"/>
                  <w:vAlign w:val="center"/>
                </w:tcPr>
                <w:p w14:paraId="4FEFD62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714" w:type="pct"/>
                  <w:vMerge w:val="continue"/>
                  <w:tcBorders>
                    <w:tl2br w:val="nil"/>
                    <w:tr2bl w:val="nil"/>
                  </w:tcBorders>
                  <w:vAlign w:val="center"/>
                </w:tcPr>
                <w:p w14:paraId="294B3A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4E1495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45969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711" w:type="pct"/>
                  <w:vMerge w:val="continue"/>
                  <w:tcBorders>
                    <w:tl2br w:val="nil"/>
                    <w:tr2bl w:val="nil"/>
                  </w:tcBorders>
                  <w:shd w:val="clear" w:color="auto" w:fill="auto"/>
                  <w:vAlign w:val="center"/>
                </w:tcPr>
                <w:p w14:paraId="4775848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olor w:val="auto"/>
                      <w:sz w:val="21"/>
                      <w:szCs w:val="21"/>
                      <w:lang w:val="en-US" w:eastAsia="zh-CN"/>
                    </w:rPr>
                  </w:pPr>
                </w:p>
              </w:tc>
              <w:tc>
                <w:tcPr>
                  <w:tcW w:w="714" w:type="pct"/>
                  <w:tcBorders>
                    <w:tl2br w:val="nil"/>
                    <w:tr2bl w:val="nil"/>
                  </w:tcBorders>
                  <w:shd w:val="clear" w:color="auto" w:fill="auto"/>
                  <w:vAlign w:val="center"/>
                </w:tcPr>
                <w:p w14:paraId="211DDDE3">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color w:val="auto"/>
                      <w:sz w:val="21"/>
                      <w:szCs w:val="21"/>
                      <w:lang w:val="en-US" w:eastAsia="zh-CN"/>
                    </w:rPr>
                  </w:pPr>
                  <w:r>
                    <w:rPr>
                      <w:rFonts w:hint="eastAsia"/>
                      <w:color w:val="auto"/>
                      <w:highlight w:val="none"/>
                      <w:lang w:val="en-US" w:eastAsia="zh-CN"/>
                    </w:rPr>
                    <w:t>猫瘟病毒检测盒</w:t>
                  </w:r>
                </w:p>
              </w:tc>
              <w:tc>
                <w:tcPr>
                  <w:tcW w:w="714" w:type="pct"/>
                  <w:tcBorders>
                    <w:tl2br w:val="nil"/>
                    <w:tr2bl w:val="nil"/>
                  </w:tcBorders>
                  <w:shd w:val="clear" w:color="auto" w:fill="auto"/>
                  <w:vAlign w:val="center"/>
                </w:tcPr>
                <w:p w14:paraId="68C539B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144</w:t>
                  </w:r>
                </w:p>
              </w:tc>
              <w:tc>
                <w:tcPr>
                  <w:tcW w:w="714" w:type="pct"/>
                  <w:tcBorders>
                    <w:tl2br w:val="nil"/>
                    <w:tr2bl w:val="nil"/>
                  </w:tcBorders>
                  <w:shd w:val="clear" w:color="auto" w:fill="auto"/>
                  <w:vAlign w:val="center"/>
                </w:tcPr>
                <w:p w14:paraId="565646A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个</w:t>
                  </w:r>
                </w:p>
              </w:tc>
              <w:tc>
                <w:tcPr>
                  <w:tcW w:w="714" w:type="pct"/>
                  <w:tcBorders>
                    <w:tl2br w:val="nil"/>
                    <w:tr2bl w:val="nil"/>
                  </w:tcBorders>
                  <w:shd w:val="clear" w:color="auto" w:fill="auto"/>
                  <w:vAlign w:val="center"/>
                </w:tcPr>
                <w:p w14:paraId="41F57C7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714" w:type="pct"/>
                  <w:vMerge w:val="continue"/>
                  <w:tcBorders>
                    <w:tl2br w:val="nil"/>
                    <w:tr2bl w:val="nil"/>
                  </w:tcBorders>
                  <w:vAlign w:val="center"/>
                </w:tcPr>
                <w:p w14:paraId="0E2CC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tcBorders>
                    <w:tl2br w:val="nil"/>
                    <w:tr2bl w:val="nil"/>
                  </w:tcBorders>
                  <w:shd w:val="clear" w:color="auto" w:fill="auto"/>
                  <w:vAlign w:val="center"/>
                </w:tcPr>
                <w:p w14:paraId="001A1D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5B46DF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restart"/>
                  <w:tcBorders>
                    <w:tl2br w:val="nil"/>
                    <w:tr2bl w:val="nil"/>
                  </w:tcBorders>
                  <w:shd w:val="clear" w:color="auto" w:fill="auto"/>
                  <w:vAlign w:val="center"/>
                </w:tcPr>
                <w:p w14:paraId="548F373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消毒剂</w:t>
                  </w:r>
                </w:p>
              </w:tc>
              <w:tc>
                <w:tcPr>
                  <w:tcW w:w="714" w:type="pct"/>
                  <w:tcBorders>
                    <w:tl2br w:val="nil"/>
                    <w:tr2bl w:val="nil"/>
                  </w:tcBorders>
                  <w:shd w:val="clear" w:color="auto" w:fill="auto"/>
                  <w:vAlign w:val="center"/>
                </w:tcPr>
                <w:p w14:paraId="4D2050D3">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olor w:val="auto"/>
                      <w:kern w:val="0"/>
                      <w:sz w:val="21"/>
                      <w:szCs w:val="21"/>
                    </w:rPr>
                    <w:t>医用酒精</w:t>
                  </w:r>
                </w:p>
              </w:tc>
              <w:tc>
                <w:tcPr>
                  <w:tcW w:w="714" w:type="pct"/>
                  <w:tcBorders>
                    <w:tl2br w:val="nil"/>
                    <w:tr2bl w:val="nil"/>
                  </w:tcBorders>
                  <w:shd w:val="clear" w:color="auto" w:fill="auto"/>
                  <w:vAlign w:val="center"/>
                </w:tcPr>
                <w:p w14:paraId="6CB9E9E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714" w:type="pct"/>
                  <w:tcBorders>
                    <w:tl2br w:val="nil"/>
                    <w:tr2bl w:val="nil"/>
                  </w:tcBorders>
                  <w:shd w:val="clear" w:color="auto" w:fill="auto"/>
                  <w:vAlign w:val="center"/>
                </w:tcPr>
                <w:p w14:paraId="1DA503E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714" w:type="pct"/>
                  <w:tcBorders>
                    <w:tl2br w:val="nil"/>
                    <w:tr2bl w:val="nil"/>
                  </w:tcBorders>
                  <w:shd w:val="clear" w:color="auto" w:fill="auto"/>
                  <w:vAlign w:val="center"/>
                </w:tcPr>
                <w:p w14:paraId="7ECA78E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5</w:t>
                  </w:r>
                </w:p>
              </w:tc>
              <w:tc>
                <w:tcPr>
                  <w:tcW w:w="714" w:type="pct"/>
                  <w:vMerge w:val="restart"/>
                  <w:tcBorders>
                    <w:tl2br w:val="nil"/>
                    <w:tr2bl w:val="nil"/>
                  </w:tcBorders>
                  <w:vAlign w:val="center"/>
                </w:tcPr>
                <w:p w14:paraId="7FDBE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药房</w:t>
                  </w:r>
                </w:p>
              </w:tc>
              <w:tc>
                <w:tcPr>
                  <w:tcW w:w="716" w:type="pct"/>
                  <w:tcBorders>
                    <w:tl2br w:val="nil"/>
                    <w:tr2bl w:val="nil"/>
                  </w:tcBorders>
                  <w:shd w:val="clear" w:color="auto" w:fill="auto"/>
                  <w:vAlign w:val="center"/>
                </w:tcPr>
                <w:p w14:paraId="12AED0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77F1E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shd w:val="clear" w:color="auto" w:fill="auto"/>
                  <w:vAlign w:val="center"/>
                </w:tcPr>
                <w:p w14:paraId="4C3CB72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p>
              </w:tc>
              <w:tc>
                <w:tcPr>
                  <w:tcW w:w="714" w:type="pct"/>
                  <w:shd w:val="clear" w:color="auto" w:fill="auto"/>
                  <w:vAlign w:val="center"/>
                </w:tcPr>
                <w:p w14:paraId="26198C3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eastAsia="zh-CN"/>
                    </w:rPr>
                    <w:t>碘附</w:t>
                  </w:r>
                </w:p>
              </w:tc>
              <w:tc>
                <w:tcPr>
                  <w:tcW w:w="714" w:type="pct"/>
                  <w:shd w:val="clear" w:color="auto" w:fill="auto"/>
                  <w:vAlign w:val="center"/>
                </w:tcPr>
                <w:p w14:paraId="5150D4D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w:t>
                  </w:r>
                </w:p>
              </w:tc>
              <w:tc>
                <w:tcPr>
                  <w:tcW w:w="714" w:type="pct"/>
                  <w:shd w:val="clear" w:color="auto" w:fill="auto"/>
                  <w:vAlign w:val="center"/>
                </w:tcPr>
                <w:p w14:paraId="44158E2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瓶</w:t>
                  </w:r>
                </w:p>
              </w:tc>
              <w:tc>
                <w:tcPr>
                  <w:tcW w:w="714" w:type="pct"/>
                  <w:shd w:val="clear" w:color="auto" w:fill="auto"/>
                  <w:vAlign w:val="center"/>
                </w:tcPr>
                <w:p w14:paraId="5FBDA0C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5</w:t>
                  </w:r>
                </w:p>
              </w:tc>
              <w:tc>
                <w:tcPr>
                  <w:tcW w:w="714" w:type="pct"/>
                  <w:vMerge w:val="continue"/>
                  <w:vAlign w:val="center"/>
                </w:tcPr>
                <w:p w14:paraId="6F4F7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shd w:val="clear" w:color="auto" w:fill="auto"/>
                  <w:vAlign w:val="center"/>
                </w:tcPr>
                <w:p w14:paraId="12935C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77A9D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shd w:val="clear" w:color="auto" w:fill="auto"/>
                  <w:vAlign w:val="center"/>
                </w:tcPr>
                <w:p w14:paraId="7DDC5442">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14" w:type="pct"/>
                  <w:shd w:val="clear" w:color="auto" w:fill="auto"/>
                  <w:vAlign w:val="center"/>
                </w:tcPr>
                <w:p w14:paraId="0F67486E">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二氧化氯</w:t>
                  </w:r>
                </w:p>
                <w:p w14:paraId="27B97D56">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消毒片</w:t>
                  </w:r>
                </w:p>
              </w:tc>
              <w:tc>
                <w:tcPr>
                  <w:tcW w:w="714" w:type="pct"/>
                  <w:shd w:val="clear" w:color="auto" w:fill="auto"/>
                  <w:vAlign w:val="center"/>
                </w:tcPr>
                <w:p w14:paraId="2C663881">
                  <w:pPr>
                    <w:pStyle w:val="49"/>
                    <w:bidi w:val="0"/>
                    <w:ind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w:t>
                  </w:r>
                  <w:r>
                    <w:rPr>
                      <w:rFonts w:hint="eastAsia" w:cs="Times New Roman"/>
                      <w:snapToGrid w:val="0"/>
                      <w:color w:val="auto"/>
                      <w:kern w:val="2"/>
                      <w:sz w:val="21"/>
                      <w:szCs w:val="21"/>
                      <w:highlight w:val="none"/>
                      <w:lang w:val="en-US" w:eastAsia="zh-CN" w:bidi="ar-SA"/>
                    </w:rPr>
                    <w:t>8</w:t>
                  </w:r>
                  <w:r>
                    <w:rPr>
                      <w:rFonts w:hint="eastAsia" w:ascii="Times New Roman" w:hAnsi="Times New Roman" w:eastAsia="宋体" w:cs="Times New Roman"/>
                      <w:snapToGrid w:val="0"/>
                      <w:color w:val="auto"/>
                      <w:kern w:val="2"/>
                      <w:sz w:val="21"/>
                      <w:szCs w:val="21"/>
                      <w:highlight w:val="none"/>
                      <w:lang w:val="en-US" w:eastAsia="zh-CN" w:bidi="ar-SA"/>
                    </w:rPr>
                    <w:t>kg</w:t>
                  </w:r>
                </w:p>
              </w:tc>
              <w:tc>
                <w:tcPr>
                  <w:tcW w:w="714" w:type="pct"/>
                  <w:shd w:val="clear" w:color="auto" w:fill="auto"/>
                  <w:vAlign w:val="center"/>
                </w:tcPr>
                <w:p w14:paraId="445728F8">
                  <w:pPr>
                    <w:pStyle w:val="49"/>
                    <w:bidi w:val="0"/>
                    <w:ind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2kg/袋</w:t>
                  </w:r>
                </w:p>
              </w:tc>
              <w:tc>
                <w:tcPr>
                  <w:tcW w:w="714" w:type="pct"/>
                  <w:shd w:val="clear" w:color="auto" w:fill="auto"/>
                  <w:vAlign w:val="center"/>
                </w:tcPr>
                <w:p w14:paraId="60445EEF">
                  <w:pPr>
                    <w:pStyle w:val="49"/>
                    <w:bidi w:val="0"/>
                    <w:ind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8</w:t>
                  </w:r>
                  <w:r>
                    <w:rPr>
                      <w:rFonts w:hint="eastAsia" w:ascii="Times New Roman" w:hAnsi="Times New Roman" w:eastAsia="宋体" w:cs="Times New Roman"/>
                      <w:snapToGrid w:val="0"/>
                      <w:color w:val="auto"/>
                      <w:kern w:val="2"/>
                      <w:sz w:val="21"/>
                      <w:szCs w:val="21"/>
                      <w:highlight w:val="none"/>
                      <w:lang w:val="en-US" w:eastAsia="zh-CN" w:bidi="ar-SA"/>
                    </w:rPr>
                    <w:t>kg</w:t>
                  </w:r>
                </w:p>
              </w:tc>
              <w:tc>
                <w:tcPr>
                  <w:tcW w:w="714" w:type="pct"/>
                  <w:vMerge w:val="continue"/>
                  <w:vAlign w:val="center"/>
                </w:tcPr>
                <w:p w14:paraId="6B162C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shd w:val="clear" w:color="auto" w:fill="auto"/>
                  <w:vAlign w:val="center"/>
                </w:tcPr>
                <w:p w14:paraId="5F0B5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45651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vAlign w:val="center"/>
                </w:tcPr>
                <w:p w14:paraId="6E37100D">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14" w:type="pct"/>
                  <w:shd w:val="clear" w:color="auto" w:fill="auto"/>
                  <w:vAlign w:val="center"/>
                </w:tcPr>
                <w:p w14:paraId="55767B3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84消毒液</w:t>
                  </w:r>
                </w:p>
              </w:tc>
              <w:tc>
                <w:tcPr>
                  <w:tcW w:w="714" w:type="pct"/>
                  <w:shd w:val="clear" w:color="auto" w:fill="auto"/>
                  <w:vAlign w:val="center"/>
                </w:tcPr>
                <w:p w14:paraId="75E0B0E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42</w:t>
                  </w:r>
                  <w:r>
                    <w:rPr>
                      <w:rFonts w:hint="eastAsia" w:ascii="Times New Roman" w:hAnsi="Times New Roman"/>
                      <w:color w:val="auto"/>
                      <w:sz w:val="21"/>
                      <w:szCs w:val="21"/>
                      <w:lang w:val="en-US" w:eastAsia="zh-CN"/>
                    </w:rPr>
                    <w:t>瓶</w:t>
                  </w:r>
                </w:p>
              </w:tc>
              <w:tc>
                <w:tcPr>
                  <w:tcW w:w="714" w:type="pct"/>
                  <w:shd w:val="clear" w:color="auto" w:fill="auto"/>
                  <w:vAlign w:val="center"/>
                </w:tcPr>
                <w:p w14:paraId="425678D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eastAsia="zh-CN"/>
                    </w:rPr>
                    <w:t>500ml/瓶，次氯酸钠</w:t>
                  </w:r>
                </w:p>
              </w:tc>
              <w:tc>
                <w:tcPr>
                  <w:tcW w:w="714" w:type="pct"/>
                  <w:shd w:val="clear" w:color="auto" w:fill="auto"/>
                  <w:vAlign w:val="center"/>
                </w:tcPr>
                <w:p w14:paraId="7C88684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714" w:type="pct"/>
                  <w:vMerge w:val="continue"/>
                  <w:vAlign w:val="center"/>
                </w:tcPr>
                <w:p w14:paraId="3E1132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shd w:val="clear" w:color="auto" w:fill="auto"/>
                  <w:vAlign w:val="center"/>
                </w:tcPr>
                <w:p w14:paraId="6FAB6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sz w:val="21"/>
                      <w:szCs w:val="21"/>
                      <w:highlight w:val="none"/>
                      <w:vertAlign w:val="baseline"/>
                      <w:lang w:val="en-US" w:eastAsia="zh-CN"/>
                    </w:rPr>
                    <w:t>外购</w:t>
                  </w:r>
                </w:p>
              </w:tc>
            </w:tr>
            <w:tr w14:paraId="335D6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restart"/>
                  <w:vAlign w:val="center"/>
                </w:tcPr>
                <w:p w14:paraId="670D4FE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住院动物</w:t>
                  </w:r>
                </w:p>
              </w:tc>
              <w:tc>
                <w:tcPr>
                  <w:tcW w:w="714" w:type="pct"/>
                  <w:shd w:val="clear" w:color="auto" w:fill="auto"/>
                  <w:vAlign w:val="center"/>
                </w:tcPr>
                <w:p w14:paraId="05C64EE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val="en-US" w:eastAsia="zh-CN"/>
                    </w:rPr>
                    <w:t>猫砂</w:t>
                  </w:r>
                </w:p>
              </w:tc>
              <w:tc>
                <w:tcPr>
                  <w:tcW w:w="714" w:type="pct"/>
                  <w:shd w:val="clear" w:color="auto" w:fill="auto"/>
                  <w:vAlign w:val="center"/>
                </w:tcPr>
                <w:p w14:paraId="47042A5F">
                  <w:pPr>
                    <w:spacing w:line="36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kg</w:t>
                  </w:r>
                </w:p>
              </w:tc>
              <w:tc>
                <w:tcPr>
                  <w:tcW w:w="714" w:type="pct"/>
                  <w:shd w:val="clear" w:color="auto" w:fill="auto"/>
                  <w:vAlign w:val="center"/>
                </w:tcPr>
                <w:p w14:paraId="0DEB18AE">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180</w:t>
                  </w:r>
                </w:p>
              </w:tc>
              <w:tc>
                <w:tcPr>
                  <w:tcW w:w="714" w:type="pct"/>
                  <w:shd w:val="clear" w:color="auto" w:fill="auto"/>
                  <w:vAlign w:val="center"/>
                </w:tcPr>
                <w:p w14:paraId="2AE95FB1">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50</w:t>
                  </w:r>
                </w:p>
              </w:tc>
              <w:tc>
                <w:tcPr>
                  <w:tcW w:w="714" w:type="pct"/>
                  <w:vMerge w:val="restart"/>
                  <w:vAlign w:val="center"/>
                </w:tcPr>
                <w:p w14:paraId="375DAE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用品区</w:t>
                  </w:r>
                </w:p>
              </w:tc>
              <w:tc>
                <w:tcPr>
                  <w:tcW w:w="716" w:type="pct"/>
                  <w:vAlign w:val="center"/>
                </w:tcPr>
                <w:p w14:paraId="624114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外购</w:t>
                  </w:r>
                </w:p>
              </w:tc>
            </w:tr>
            <w:tr w14:paraId="32B937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vAlign w:val="center"/>
                </w:tcPr>
                <w:p w14:paraId="5238E407">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14" w:type="pct"/>
                  <w:shd w:val="clear" w:color="auto" w:fill="auto"/>
                  <w:vAlign w:val="center"/>
                </w:tcPr>
                <w:p w14:paraId="550CD35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尿垫</w:t>
                  </w:r>
                </w:p>
              </w:tc>
              <w:tc>
                <w:tcPr>
                  <w:tcW w:w="714" w:type="pct"/>
                  <w:shd w:val="clear" w:color="auto" w:fill="auto"/>
                  <w:vAlign w:val="center"/>
                </w:tcPr>
                <w:p w14:paraId="7B6580D6">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kg</w:t>
                  </w:r>
                </w:p>
              </w:tc>
              <w:tc>
                <w:tcPr>
                  <w:tcW w:w="714" w:type="pct"/>
                  <w:shd w:val="clear" w:color="auto" w:fill="auto"/>
                  <w:vAlign w:val="center"/>
                </w:tcPr>
                <w:p w14:paraId="0C5D6CFC">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200</w:t>
                  </w:r>
                </w:p>
              </w:tc>
              <w:tc>
                <w:tcPr>
                  <w:tcW w:w="714" w:type="pct"/>
                  <w:shd w:val="clear" w:color="auto" w:fill="auto"/>
                  <w:vAlign w:val="center"/>
                </w:tcPr>
                <w:p w14:paraId="3A09046E">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40</w:t>
                  </w:r>
                </w:p>
              </w:tc>
              <w:tc>
                <w:tcPr>
                  <w:tcW w:w="714" w:type="pct"/>
                  <w:vMerge w:val="continue"/>
                  <w:vAlign w:val="center"/>
                </w:tcPr>
                <w:p w14:paraId="38CF0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vAlign w:val="center"/>
                </w:tcPr>
                <w:p w14:paraId="3B14A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外购</w:t>
                  </w:r>
                </w:p>
              </w:tc>
            </w:tr>
            <w:tr w14:paraId="3A7D7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Merge w:val="continue"/>
                  <w:vAlign w:val="center"/>
                </w:tcPr>
                <w:p w14:paraId="044DBD00">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p>
              </w:tc>
              <w:tc>
                <w:tcPr>
                  <w:tcW w:w="714" w:type="pct"/>
                  <w:shd w:val="clear" w:color="auto" w:fill="auto"/>
                  <w:vAlign w:val="center"/>
                </w:tcPr>
                <w:p w14:paraId="5DEED40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kern w:val="0"/>
                      <w:sz w:val="21"/>
                      <w:szCs w:val="21"/>
                      <w:lang w:eastAsia="zh-CN"/>
                    </w:rPr>
                    <w:t>宠物饲料</w:t>
                  </w:r>
                </w:p>
              </w:tc>
              <w:tc>
                <w:tcPr>
                  <w:tcW w:w="714" w:type="pct"/>
                  <w:shd w:val="clear" w:color="auto" w:fill="auto"/>
                  <w:vAlign w:val="center"/>
                </w:tcPr>
                <w:p w14:paraId="1505EAF9">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kg</w:t>
                  </w:r>
                </w:p>
              </w:tc>
              <w:tc>
                <w:tcPr>
                  <w:tcW w:w="714" w:type="pct"/>
                  <w:shd w:val="clear" w:color="auto" w:fill="auto"/>
                  <w:vAlign w:val="center"/>
                </w:tcPr>
                <w:p w14:paraId="72CD5A2E">
                  <w:pPr>
                    <w:spacing w:line="360" w:lineRule="exact"/>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sz w:val="21"/>
                      <w:szCs w:val="21"/>
                      <w:lang w:val="en-US" w:eastAsia="zh-CN"/>
                    </w:rPr>
                    <w:t>100</w:t>
                  </w:r>
                </w:p>
              </w:tc>
              <w:tc>
                <w:tcPr>
                  <w:tcW w:w="714" w:type="pct"/>
                  <w:shd w:val="clear" w:color="auto" w:fill="auto"/>
                  <w:vAlign w:val="center"/>
                </w:tcPr>
                <w:p w14:paraId="04FAC73A">
                  <w:pPr>
                    <w:spacing w:line="36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sz w:val="21"/>
                      <w:szCs w:val="21"/>
                      <w:lang w:val="en-US" w:eastAsia="zh-CN"/>
                    </w:rPr>
                    <w:t>50</w:t>
                  </w:r>
                </w:p>
              </w:tc>
              <w:tc>
                <w:tcPr>
                  <w:tcW w:w="714" w:type="pct"/>
                  <w:vMerge w:val="continue"/>
                  <w:vAlign w:val="center"/>
                </w:tcPr>
                <w:p w14:paraId="072D3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p>
              </w:tc>
              <w:tc>
                <w:tcPr>
                  <w:tcW w:w="716" w:type="pct"/>
                  <w:vAlign w:val="center"/>
                </w:tcPr>
                <w:p w14:paraId="1FADA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外购</w:t>
                  </w:r>
                </w:p>
              </w:tc>
            </w:tr>
            <w:tr w14:paraId="248854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1" w:type="pct"/>
                  <w:vAlign w:val="center"/>
                </w:tcPr>
                <w:p w14:paraId="58B92D4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14" w:type="pct"/>
                  <w:shd w:val="clear" w:color="auto" w:fill="auto"/>
                  <w:vAlign w:val="center"/>
                </w:tcPr>
                <w:p w14:paraId="4DDF044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olor w:val="auto"/>
                      <w:kern w:val="0"/>
                      <w:sz w:val="21"/>
                      <w:szCs w:val="21"/>
                      <w:lang w:val="en-US" w:eastAsia="zh-CN"/>
                    </w:rPr>
                  </w:pPr>
                  <w:r>
                    <w:rPr>
                      <w:rFonts w:hint="eastAsia" w:ascii="Times New Roman" w:hAnsi="Times New Roman" w:eastAsia="宋体"/>
                      <w:color w:val="auto"/>
                      <w:kern w:val="0"/>
                      <w:sz w:val="21"/>
                      <w:szCs w:val="21"/>
                      <w:lang w:val="en-US" w:eastAsia="zh-CN"/>
                    </w:rPr>
                    <w:t>氧气瓶</w:t>
                  </w:r>
                </w:p>
              </w:tc>
              <w:tc>
                <w:tcPr>
                  <w:tcW w:w="714" w:type="pct"/>
                  <w:shd w:val="clear" w:color="auto" w:fill="auto"/>
                  <w:vAlign w:val="center"/>
                </w:tcPr>
                <w:p w14:paraId="71A4333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2</w:t>
                  </w:r>
                </w:p>
              </w:tc>
              <w:tc>
                <w:tcPr>
                  <w:tcW w:w="714" w:type="pct"/>
                  <w:shd w:val="clear" w:color="auto" w:fill="auto"/>
                  <w:vAlign w:val="center"/>
                </w:tcPr>
                <w:p w14:paraId="59A13FD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40L/</w:t>
                  </w:r>
                  <w:r>
                    <w:rPr>
                      <w:rFonts w:hint="eastAsia" w:ascii="Times New Roman" w:hAnsi="Times New Roman"/>
                      <w:color w:val="auto"/>
                      <w:sz w:val="21"/>
                      <w:szCs w:val="21"/>
                      <w:lang w:val="en-US" w:eastAsia="zh-CN"/>
                    </w:rPr>
                    <w:t>罐</w:t>
                  </w:r>
                </w:p>
              </w:tc>
              <w:tc>
                <w:tcPr>
                  <w:tcW w:w="714" w:type="pct"/>
                  <w:shd w:val="clear" w:color="auto" w:fill="auto"/>
                  <w:vAlign w:val="center"/>
                </w:tcPr>
                <w:p w14:paraId="456B316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2</w:t>
                  </w:r>
                </w:p>
              </w:tc>
              <w:tc>
                <w:tcPr>
                  <w:tcW w:w="714" w:type="pct"/>
                  <w:vAlign w:val="center"/>
                </w:tcPr>
                <w:p w14:paraId="4558F2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手术室</w:t>
                  </w:r>
                </w:p>
              </w:tc>
              <w:tc>
                <w:tcPr>
                  <w:tcW w:w="716" w:type="pct"/>
                  <w:vAlign w:val="center"/>
                </w:tcPr>
                <w:p w14:paraId="5D3E5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1"/>
                      <w:szCs w:val="21"/>
                      <w:highlight w:val="none"/>
                      <w:vertAlign w:val="baseline"/>
                      <w:lang w:val="en-US" w:eastAsia="zh-CN"/>
                    </w:rPr>
                  </w:pPr>
                  <w:r>
                    <w:rPr>
                      <w:rFonts w:hint="eastAsia" w:cs="Times New Roman"/>
                      <w:b w:val="0"/>
                      <w:bCs/>
                      <w:color w:val="auto"/>
                      <w:sz w:val="21"/>
                      <w:szCs w:val="21"/>
                      <w:highlight w:val="none"/>
                      <w:vertAlign w:val="baseline"/>
                      <w:lang w:val="en-US" w:eastAsia="zh-CN"/>
                    </w:rPr>
                    <w:t>1用一备</w:t>
                  </w:r>
                </w:p>
              </w:tc>
            </w:tr>
          </w:tbl>
          <w:p w14:paraId="13F96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表 2.5-2主要能源消耗情况表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673"/>
              <w:gridCol w:w="1675"/>
              <w:gridCol w:w="1675"/>
              <w:gridCol w:w="1676"/>
            </w:tblGrid>
            <w:tr w14:paraId="00AAE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47CFF6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序号</w:t>
                  </w:r>
                </w:p>
              </w:tc>
              <w:tc>
                <w:tcPr>
                  <w:tcW w:w="999" w:type="pct"/>
                  <w:tcBorders>
                    <w:tl2br w:val="nil"/>
                    <w:tr2bl w:val="nil"/>
                  </w:tcBorders>
                  <w:vAlign w:val="center"/>
                </w:tcPr>
                <w:p w14:paraId="656531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名称</w:t>
                  </w:r>
                </w:p>
              </w:tc>
              <w:tc>
                <w:tcPr>
                  <w:tcW w:w="1000" w:type="pct"/>
                  <w:tcBorders>
                    <w:tl2br w:val="nil"/>
                    <w:tr2bl w:val="nil"/>
                  </w:tcBorders>
                  <w:vAlign w:val="center"/>
                </w:tcPr>
                <w:p w14:paraId="7A6DBB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单位</w:t>
                  </w:r>
                </w:p>
              </w:tc>
              <w:tc>
                <w:tcPr>
                  <w:tcW w:w="1000" w:type="pct"/>
                  <w:tcBorders>
                    <w:tl2br w:val="nil"/>
                    <w:tr2bl w:val="nil"/>
                  </w:tcBorders>
                  <w:vAlign w:val="center"/>
                </w:tcPr>
                <w:p w14:paraId="1B04D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年消耗量</w:t>
                  </w:r>
                </w:p>
              </w:tc>
              <w:tc>
                <w:tcPr>
                  <w:tcW w:w="1000" w:type="pct"/>
                  <w:tcBorders>
                    <w:tl2br w:val="nil"/>
                    <w:tr2bl w:val="nil"/>
                  </w:tcBorders>
                  <w:vAlign w:val="center"/>
                </w:tcPr>
                <w:p w14:paraId="7E431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备注</w:t>
                  </w:r>
                </w:p>
              </w:tc>
            </w:tr>
            <w:tr w14:paraId="02B9A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2C8DE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1</w:t>
                  </w:r>
                </w:p>
              </w:tc>
              <w:tc>
                <w:tcPr>
                  <w:tcW w:w="999" w:type="pct"/>
                  <w:tcBorders>
                    <w:tl2br w:val="nil"/>
                    <w:tr2bl w:val="nil"/>
                  </w:tcBorders>
                  <w:vAlign w:val="center"/>
                </w:tcPr>
                <w:p w14:paraId="4FBBE7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水</w:t>
                  </w:r>
                </w:p>
              </w:tc>
              <w:tc>
                <w:tcPr>
                  <w:tcW w:w="1000" w:type="pct"/>
                  <w:tcBorders>
                    <w:tl2br w:val="nil"/>
                    <w:tr2bl w:val="nil"/>
                  </w:tcBorders>
                  <w:vAlign w:val="center"/>
                </w:tcPr>
                <w:p w14:paraId="18DDC5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万t</w:t>
                  </w:r>
                </w:p>
              </w:tc>
              <w:tc>
                <w:tcPr>
                  <w:tcW w:w="1000" w:type="pct"/>
                  <w:tcBorders>
                    <w:tl2br w:val="nil"/>
                    <w:tr2bl w:val="nil"/>
                  </w:tcBorders>
                  <w:vAlign w:val="center"/>
                </w:tcPr>
                <w:p w14:paraId="44AC7D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eastAsia"/>
                      <w:lang w:val="en-US" w:eastAsia="zh-CN"/>
                    </w:rPr>
                    <w:t>0.0533</w:t>
                  </w:r>
                </w:p>
              </w:tc>
              <w:tc>
                <w:tcPr>
                  <w:tcW w:w="1000" w:type="pct"/>
                  <w:tcBorders>
                    <w:tl2br w:val="nil"/>
                    <w:tr2bl w:val="nil"/>
                  </w:tcBorders>
                  <w:vAlign w:val="center"/>
                </w:tcPr>
                <w:p w14:paraId="638F6B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市政</w:t>
                  </w:r>
                </w:p>
              </w:tc>
            </w:tr>
            <w:tr w14:paraId="65AF6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9" w:type="pct"/>
                  <w:tcBorders>
                    <w:tl2br w:val="nil"/>
                    <w:tr2bl w:val="nil"/>
                  </w:tcBorders>
                  <w:vAlign w:val="center"/>
                </w:tcPr>
                <w:p w14:paraId="3B7126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2</w:t>
                  </w:r>
                </w:p>
              </w:tc>
              <w:tc>
                <w:tcPr>
                  <w:tcW w:w="999" w:type="pct"/>
                  <w:tcBorders>
                    <w:tl2br w:val="nil"/>
                    <w:tr2bl w:val="nil"/>
                  </w:tcBorders>
                  <w:vAlign w:val="center"/>
                </w:tcPr>
                <w:p w14:paraId="51DB2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电</w:t>
                  </w:r>
                </w:p>
              </w:tc>
              <w:tc>
                <w:tcPr>
                  <w:tcW w:w="1000" w:type="pct"/>
                  <w:tcBorders>
                    <w:tl2br w:val="nil"/>
                    <w:tr2bl w:val="nil"/>
                  </w:tcBorders>
                  <w:vAlign w:val="center"/>
                </w:tcPr>
                <w:p w14:paraId="7D80C4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万度</w:t>
                  </w:r>
                </w:p>
              </w:tc>
              <w:tc>
                <w:tcPr>
                  <w:tcW w:w="1000" w:type="pct"/>
                  <w:tcBorders>
                    <w:tl2br w:val="nil"/>
                    <w:tr2bl w:val="nil"/>
                  </w:tcBorders>
                  <w:vAlign w:val="center"/>
                </w:tcPr>
                <w:p w14:paraId="348C88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0.4</w:t>
                  </w:r>
                </w:p>
              </w:tc>
              <w:tc>
                <w:tcPr>
                  <w:tcW w:w="1000" w:type="pct"/>
                  <w:tcBorders>
                    <w:tl2br w:val="nil"/>
                    <w:tr2bl w:val="nil"/>
                  </w:tcBorders>
                  <w:vAlign w:val="center"/>
                </w:tcPr>
                <w:p w14:paraId="320829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市政</w:t>
                  </w:r>
                </w:p>
              </w:tc>
            </w:tr>
          </w:tbl>
          <w:p w14:paraId="2EA291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表 2.5-3 原辅材料主要成分及理化性质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7192"/>
            </w:tblGrid>
            <w:tr w14:paraId="6AFDD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126C7D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名称</w:t>
                  </w:r>
                </w:p>
              </w:tc>
              <w:tc>
                <w:tcPr>
                  <w:tcW w:w="4294" w:type="pct"/>
                  <w:tcBorders>
                    <w:tl2br w:val="nil"/>
                    <w:tr2bl w:val="nil"/>
                  </w:tcBorders>
                  <w:vAlign w:val="center"/>
                </w:tcPr>
                <w:p w14:paraId="474E2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理化性质</w:t>
                  </w:r>
                </w:p>
              </w:tc>
            </w:tr>
            <w:tr w14:paraId="5E66F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2606E2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cs="Times New Roman"/>
                      <w:b w:val="0"/>
                      <w:bCs/>
                      <w:sz w:val="21"/>
                      <w:szCs w:val="21"/>
                      <w:highlight w:val="none"/>
                      <w:vertAlign w:val="baseline"/>
                      <w:lang w:val="en-US" w:eastAsia="zh-CN"/>
                    </w:rPr>
                  </w:pPr>
                  <w:r>
                    <w:rPr>
                      <w:rFonts w:hint="eastAsia"/>
                      <w:color w:val="auto"/>
                      <w:kern w:val="0"/>
                      <w:sz w:val="21"/>
                      <w:szCs w:val="21"/>
                      <w:lang w:val="en-US" w:eastAsia="zh-CN"/>
                    </w:rPr>
                    <w:t>异氟烷</w:t>
                  </w:r>
                </w:p>
              </w:tc>
              <w:tc>
                <w:tcPr>
                  <w:tcW w:w="4294" w:type="pct"/>
                  <w:tcBorders>
                    <w:tl2br w:val="nil"/>
                    <w:tr2bl w:val="nil"/>
                  </w:tcBorders>
                  <w:vAlign w:val="center"/>
                </w:tcPr>
                <w:p w14:paraId="32430CF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cs="Times New Roman"/>
                      <w:b w:val="0"/>
                      <w:bCs/>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卤代醚类吸入性麻醉剂，</w:t>
                  </w:r>
                  <w:r>
                    <w:rPr>
                      <w:rFonts w:hint="eastAsia" w:cs="Times New Roman"/>
                      <w:b w:val="0"/>
                      <w:bCs/>
                      <w:color w:val="auto"/>
                      <w:sz w:val="21"/>
                      <w:szCs w:val="21"/>
                      <w:highlight w:val="none"/>
                      <w:vertAlign w:val="baseline"/>
                      <w:lang w:val="en-US" w:eastAsia="zh-CN"/>
                    </w:rPr>
                    <w:t>为</w:t>
                  </w:r>
                  <w:r>
                    <w:rPr>
                      <w:rFonts w:hint="default" w:ascii="Times New Roman" w:hAnsi="Times New Roman" w:eastAsia="宋体" w:cs="Times New Roman"/>
                      <w:b w:val="0"/>
                      <w:bCs/>
                      <w:color w:val="auto"/>
                      <w:sz w:val="21"/>
                      <w:szCs w:val="21"/>
                      <w:highlight w:val="none"/>
                      <w:vertAlign w:val="baseline"/>
                      <w:lang w:val="en-US" w:eastAsia="zh-CN"/>
                    </w:rPr>
                    <w:t>无色的澄明液体，具有辛辣和发霉气味，易挥发。多用于动物麻醉，能引起中枢神经系统抑制。</w:t>
                  </w:r>
                </w:p>
              </w:tc>
            </w:tr>
            <w:tr w14:paraId="7D801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193B9D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75%酒精</w:t>
                  </w:r>
                </w:p>
              </w:tc>
              <w:tc>
                <w:tcPr>
                  <w:tcW w:w="4294" w:type="pct"/>
                  <w:tcBorders>
                    <w:tl2br w:val="nil"/>
                    <w:tr2bl w:val="nil"/>
                  </w:tcBorders>
                  <w:vAlign w:val="center"/>
                </w:tcPr>
                <w:p w14:paraId="526AD9B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主要成分为乙醇，乙醇在常温常压下是一种易挥发的无色透明液体，低毒性，纯液体不可直接饮用。乙醇的水溶液具有酒香的气味，并略带刺激性味甘。乙醇易燃，其蒸气能与空气形成爆炸性混合物。乙醇能与水以任意比互溶，医疗上体积分数为75%的乙醇水溶液一般作为消毒剂使用。</w:t>
                  </w:r>
                </w:p>
              </w:tc>
            </w:tr>
            <w:tr w14:paraId="11AD8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760CAD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碘附</w:t>
                  </w:r>
                </w:p>
              </w:tc>
              <w:tc>
                <w:tcPr>
                  <w:tcW w:w="4294" w:type="pct"/>
                  <w:tcBorders>
                    <w:tl2br w:val="nil"/>
                    <w:tr2bl w:val="nil"/>
                  </w:tcBorders>
                  <w:vAlign w:val="center"/>
                </w:tcPr>
                <w:p w14:paraId="23736B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碘附</w:t>
                  </w:r>
                  <w:r>
                    <w:rPr>
                      <w:rFonts w:hint="default" w:ascii="Times New Roman" w:hAnsi="Times New Roman" w:cs="Times New Roman"/>
                      <w:b w:val="0"/>
                      <w:bCs/>
                      <w:sz w:val="21"/>
                      <w:szCs w:val="21"/>
                      <w:highlight w:val="none"/>
                      <w:vertAlign w:val="baseline"/>
                      <w:lang w:val="en-US" w:eastAsia="zh-CN"/>
                    </w:rPr>
                    <w:t>是单质碘与聚乙烯吡咯烷酮的不定型结合物。医用</w:t>
                  </w:r>
                  <w:r>
                    <w:rPr>
                      <w:rFonts w:hint="eastAsia" w:cs="Times New Roman"/>
                      <w:b w:val="0"/>
                      <w:bCs/>
                      <w:sz w:val="21"/>
                      <w:szCs w:val="21"/>
                      <w:highlight w:val="none"/>
                      <w:vertAlign w:val="baseline"/>
                      <w:lang w:val="en-US" w:eastAsia="zh-CN"/>
                    </w:rPr>
                    <w:t>碘附</w:t>
                  </w:r>
                  <w:r>
                    <w:rPr>
                      <w:rFonts w:hint="default" w:ascii="Times New Roman" w:hAnsi="Times New Roman" w:cs="Times New Roman"/>
                      <w:b w:val="0"/>
                      <w:bCs/>
                      <w:sz w:val="21"/>
                      <w:szCs w:val="21"/>
                      <w:highlight w:val="none"/>
                      <w:vertAlign w:val="baseline"/>
                      <w:lang w:val="en-US" w:eastAsia="zh-CN"/>
                    </w:rPr>
                    <w:t>通常浓度较低</w:t>
                  </w:r>
                  <w:r>
                    <w:rPr>
                      <w:rFonts w:hint="eastAsia" w:ascii="Times New Roman" w:hAnsi="Times New Roman" w:cs="Times New Roman"/>
                      <w:b w:val="0"/>
                      <w:bCs/>
                      <w:sz w:val="21"/>
                      <w:szCs w:val="21"/>
                      <w:highlight w:val="none"/>
                      <w:vertAlign w:val="baseline"/>
                      <w:lang w:val="en-US" w:eastAsia="zh-CN"/>
                    </w:rPr>
                    <w:t>（</w:t>
                  </w:r>
                  <w:r>
                    <w:rPr>
                      <w:rFonts w:hint="default" w:ascii="Times New Roman" w:hAnsi="Times New Roman" w:cs="Times New Roman"/>
                      <w:b w:val="0"/>
                      <w:bCs/>
                      <w:sz w:val="21"/>
                      <w:szCs w:val="21"/>
                      <w:highlight w:val="none"/>
                      <w:vertAlign w:val="baseline"/>
                      <w:lang w:val="en-US" w:eastAsia="zh-CN"/>
                    </w:rPr>
                    <w:t>1%或以下</w:t>
                  </w:r>
                  <w:r>
                    <w:rPr>
                      <w:rFonts w:hint="eastAsia" w:ascii="Times New Roman" w:hAnsi="Times New Roman" w:cs="Times New Roman"/>
                      <w:b w:val="0"/>
                      <w:bCs/>
                      <w:sz w:val="21"/>
                      <w:szCs w:val="21"/>
                      <w:highlight w:val="none"/>
                      <w:vertAlign w:val="baseline"/>
                      <w:lang w:val="en-US" w:eastAsia="zh-CN"/>
                    </w:rPr>
                    <w:t>）</w:t>
                  </w:r>
                  <w:r>
                    <w:rPr>
                      <w:rFonts w:hint="default" w:ascii="Times New Roman" w:hAnsi="Times New Roman" w:cs="Times New Roman"/>
                      <w:b w:val="0"/>
                      <w:bCs/>
                      <w:sz w:val="21"/>
                      <w:szCs w:val="21"/>
                      <w:highlight w:val="none"/>
                      <w:vertAlign w:val="baseline"/>
                      <w:lang w:val="en-US" w:eastAsia="zh-CN"/>
                    </w:rPr>
                    <w:t>，呈现浅棕色。</w:t>
                  </w:r>
                  <w:r>
                    <w:rPr>
                      <w:rFonts w:hint="eastAsia" w:cs="Times New Roman"/>
                      <w:b w:val="0"/>
                      <w:bCs/>
                      <w:sz w:val="21"/>
                      <w:szCs w:val="21"/>
                      <w:highlight w:val="none"/>
                      <w:vertAlign w:val="baseline"/>
                      <w:lang w:val="en-US" w:eastAsia="zh-CN"/>
                    </w:rPr>
                    <w:t>碘附</w:t>
                  </w:r>
                  <w:r>
                    <w:rPr>
                      <w:rFonts w:hint="default" w:ascii="Times New Roman" w:hAnsi="Times New Roman" w:cs="Times New Roman"/>
                      <w:b w:val="0"/>
                      <w:bCs/>
                      <w:sz w:val="21"/>
                      <w:szCs w:val="21"/>
                      <w:highlight w:val="none"/>
                      <w:vertAlign w:val="baseline"/>
                      <w:lang w:val="en-US" w:eastAsia="zh-CN"/>
                    </w:rPr>
                    <w:t>具有广谱杀菌作用，可杀灭细菌繁殖体真菌、原虫和部分病毒。在医疗上用作杀菌消毒剂，可用于皮肤、</w:t>
                  </w:r>
                  <w:r>
                    <w:rPr>
                      <w:rFonts w:hint="eastAsia" w:cs="Times New Roman"/>
                      <w:b w:val="0"/>
                      <w:bCs/>
                      <w:sz w:val="21"/>
                      <w:szCs w:val="21"/>
                      <w:highlight w:val="none"/>
                      <w:vertAlign w:val="baseline"/>
                      <w:lang w:val="en-US" w:eastAsia="zh-CN"/>
                    </w:rPr>
                    <w:t>黏膜</w:t>
                  </w:r>
                  <w:r>
                    <w:rPr>
                      <w:rFonts w:hint="default" w:ascii="Times New Roman" w:hAnsi="Times New Roman" w:cs="Times New Roman"/>
                      <w:b w:val="0"/>
                      <w:bCs/>
                      <w:sz w:val="21"/>
                      <w:szCs w:val="21"/>
                      <w:highlight w:val="none"/>
                      <w:vertAlign w:val="baseline"/>
                      <w:lang w:val="en-US" w:eastAsia="zh-CN"/>
                    </w:rPr>
                    <w:t>的消毒，可用于手术前和</w:t>
                  </w:r>
                  <w:r>
                    <w:rPr>
                      <w:rFonts w:hint="eastAsia" w:cs="Times New Roman"/>
                      <w:b w:val="0"/>
                      <w:bCs/>
                      <w:sz w:val="21"/>
                      <w:szCs w:val="21"/>
                      <w:highlight w:val="none"/>
                      <w:vertAlign w:val="baseline"/>
                      <w:lang w:val="en-US" w:eastAsia="zh-CN"/>
                    </w:rPr>
                    <w:t>其他</w:t>
                  </w:r>
                  <w:r>
                    <w:rPr>
                      <w:rFonts w:hint="default" w:ascii="Times New Roman" w:hAnsi="Times New Roman" w:cs="Times New Roman"/>
                      <w:b w:val="0"/>
                      <w:bCs/>
                      <w:sz w:val="21"/>
                      <w:szCs w:val="21"/>
                      <w:highlight w:val="none"/>
                      <w:vertAlign w:val="baseline"/>
                      <w:lang w:val="en-US" w:eastAsia="zh-CN"/>
                    </w:rPr>
                    <w:t>皮肤的消毒、各种注射部位皮肤消毒、器械浸泡消毒等。</w:t>
                  </w:r>
                </w:p>
              </w:tc>
            </w:tr>
            <w:tr w14:paraId="669A2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vAlign w:val="center"/>
                </w:tcPr>
                <w:p w14:paraId="661977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84消毒液</w:t>
                  </w:r>
                </w:p>
              </w:tc>
              <w:tc>
                <w:tcPr>
                  <w:tcW w:w="4294" w:type="pct"/>
                  <w:tcBorders>
                    <w:tl2br w:val="nil"/>
                    <w:tr2bl w:val="nil"/>
                  </w:tcBorders>
                  <w:vAlign w:val="center"/>
                </w:tcPr>
                <w:p w14:paraId="70D49D6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b w:val="0"/>
                      <w:bCs/>
                      <w:sz w:val="21"/>
                      <w:szCs w:val="21"/>
                      <w:highlight w:val="none"/>
                      <w:vertAlign w:val="baseline"/>
                      <w:lang w:val="en-US" w:eastAsia="zh-CN"/>
                    </w:rPr>
                  </w:pPr>
                  <w:r>
                    <w:rPr>
                      <w:rFonts w:hint="default" w:ascii="Times New Roman" w:hAnsi="Times New Roman" w:cs="Times New Roman"/>
                      <w:b w:val="0"/>
                      <w:bCs/>
                      <w:sz w:val="21"/>
                      <w:szCs w:val="21"/>
                      <w:highlight w:val="none"/>
                      <w:vertAlign w:val="baseline"/>
                      <w:lang w:val="en-US" w:eastAsia="zh-CN"/>
                    </w:rPr>
                    <w:t>淡黄绿色、液态、刺激性气味、能溶于水。可用于餐饮具、环境物体表面消毒。84消毒液消毒的机理主要在于次氯酸的氧化作用。84消毒液在水中形成的次氯酸不仅可与细胞壁发生作用，且因分子小不带电荷，故容易侵入细胞内与蛋白质发生氧化作用或破坏其磷酸脱氢酶，使糖代谢失调而致细胞死亡，次氯酸分解形成新生态氧可将菌体蛋白质氧化。其中所含的氯对蛋白质起氯化作用，使细胞膜通透性发生变化，促使细胞内向外渗出，杀死微生物。84 消毒液具有较强的挥发性，放置过久，尤其是稀释后的使用液，有效成分会挥发或降解，逐渐失去对微生物的杀灭作用，直至失效。</w:t>
                  </w:r>
                </w:p>
              </w:tc>
            </w:tr>
            <w:tr w14:paraId="0FE77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5" w:type="pct"/>
                  <w:tcBorders>
                    <w:tl2br w:val="nil"/>
                    <w:tr2bl w:val="nil"/>
                  </w:tcBorders>
                  <w:shd w:val="clear" w:color="auto" w:fill="auto"/>
                  <w:vAlign w:val="center"/>
                </w:tcPr>
                <w:p w14:paraId="64E648C1">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二氧化氯</w:t>
                  </w:r>
                </w:p>
                <w:p w14:paraId="60A9F005">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消毒片</w:t>
                  </w:r>
                </w:p>
              </w:tc>
              <w:tc>
                <w:tcPr>
                  <w:tcW w:w="4294" w:type="pct"/>
                  <w:tcBorders>
                    <w:tl2br w:val="nil"/>
                    <w:tr2bl w:val="nil"/>
                  </w:tcBorders>
                  <w:shd w:val="clear" w:color="auto" w:fill="auto"/>
                  <w:vAlign w:val="center"/>
                </w:tcPr>
                <w:p w14:paraId="7185F291">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固态，主要成分为二氧化氯，又被称作为二氧化氯泡腾片，属于一种安全环保的消毒片，杀菌能力不受pH值影响，具有消毒和杀菌的作用，在日常生活中应用比较广泛，可以作用于医疗器械、医院病房、传染病房、手术室，可以直接作用于室内消毒等。本项目主要用于医疗废水消毒。</w:t>
                  </w:r>
                </w:p>
              </w:tc>
            </w:tr>
          </w:tbl>
          <w:p w14:paraId="73FF90A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2.6劳动定员及工作制度</w:t>
            </w:r>
          </w:p>
          <w:p w14:paraId="360C16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劳动定员</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vertAlign w:val="baseline"/>
                <w:lang w:val="en-US" w:eastAsia="zh-CN"/>
              </w:rPr>
              <w:t>项目劳动定员</w:t>
            </w:r>
            <w:r>
              <w:rPr>
                <w:rFonts w:hint="eastAsia" w:cs="Times New Roman"/>
                <w:b w:val="0"/>
                <w:bCs/>
                <w:sz w:val="24"/>
                <w:szCs w:val="24"/>
                <w:highlight w:val="none"/>
                <w:vertAlign w:val="baseline"/>
                <w:lang w:val="en-US" w:eastAsia="zh-CN"/>
              </w:rPr>
              <w:t>6</w:t>
            </w:r>
            <w:r>
              <w:rPr>
                <w:rFonts w:hint="default" w:ascii="Times New Roman" w:hAnsi="Times New Roman" w:cs="Times New Roman"/>
                <w:b w:val="0"/>
                <w:bCs/>
                <w:sz w:val="24"/>
                <w:szCs w:val="24"/>
                <w:highlight w:val="none"/>
                <w:vertAlign w:val="baseline"/>
                <w:lang w:val="en-US" w:eastAsia="zh-CN"/>
              </w:rPr>
              <w:t>人，不提供食堂</w:t>
            </w:r>
            <w:r>
              <w:rPr>
                <w:rFonts w:hint="eastAsia" w:cs="Times New Roman"/>
                <w:b w:val="0"/>
                <w:bCs/>
                <w:sz w:val="24"/>
                <w:szCs w:val="24"/>
                <w:highlight w:val="none"/>
                <w:vertAlign w:val="baseline"/>
                <w:lang w:val="en-US" w:eastAsia="zh-CN"/>
              </w:rPr>
              <w:t>和宿舍</w:t>
            </w:r>
            <w:r>
              <w:rPr>
                <w:rFonts w:hint="default" w:ascii="Times New Roman" w:hAnsi="Times New Roman" w:cs="Times New Roman"/>
                <w:b w:val="0"/>
                <w:bCs/>
                <w:sz w:val="24"/>
                <w:szCs w:val="24"/>
                <w:highlight w:val="none"/>
                <w:vertAlign w:val="baseline"/>
                <w:lang w:val="en-US" w:eastAsia="zh-CN"/>
              </w:rPr>
              <w:t>。</w:t>
            </w:r>
          </w:p>
          <w:p w14:paraId="416DB9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eastAsia" w:ascii="Times New Roman" w:hAnsi="Times New Roman" w:cs="Times New Roman"/>
                <w:b w:val="0"/>
                <w:bCs/>
                <w:sz w:val="24"/>
                <w:szCs w:val="24"/>
                <w:highlight w:val="none"/>
                <w:vertAlign w:val="baseline"/>
                <w:lang w:val="en-US" w:eastAsia="zh-CN"/>
              </w:rPr>
              <w:t>工作制度：年工作日为365天，实行</w:t>
            </w:r>
            <w:r>
              <w:rPr>
                <w:rFonts w:hint="eastAsia" w:cs="Times New Roman"/>
                <w:b w:val="0"/>
                <w:bCs/>
                <w:sz w:val="24"/>
                <w:szCs w:val="24"/>
                <w:highlight w:val="none"/>
                <w:vertAlign w:val="baseline"/>
                <w:lang w:val="en-US" w:eastAsia="zh-CN"/>
              </w:rPr>
              <w:t>一</w:t>
            </w:r>
            <w:r>
              <w:rPr>
                <w:rFonts w:hint="eastAsia" w:ascii="Times New Roman" w:hAnsi="Times New Roman" w:cs="Times New Roman"/>
                <w:b w:val="0"/>
                <w:bCs/>
                <w:sz w:val="24"/>
                <w:szCs w:val="24"/>
                <w:highlight w:val="none"/>
                <w:vertAlign w:val="baseline"/>
                <w:lang w:val="en-US" w:eastAsia="zh-CN"/>
              </w:rPr>
              <w:t>班制，9:00-1</w:t>
            </w:r>
            <w:r>
              <w:rPr>
                <w:rFonts w:hint="eastAsia" w:cs="Times New Roman"/>
                <w:b w:val="0"/>
                <w:bCs/>
                <w:sz w:val="24"/>
                <w:szCs w:val="24"/>
                <w:highlight w:val="none"/>
                <w:vertAlign w:val="baseline"/>
                <w:lang w:val="en-US" w:eastAsia="zh-CN"/>
              </w:rPr>
              <w:t>8</w:t>
            </w:r>
            <w:r>
              <w:rPr>
                <w:rFonts w:hint="eastAsia" w:ascii="Times New Roman" w:hAnsi="Times New Roman" w:cs="Times New Roman"/>
                <w:b w:val="0"/>
                <w:bCs/>
                <w:sz w:val="24"/>
                <w:szCs w:val="24"/>
                <w:highlight w:val="none"/>
                <w:vertAlign w:val="baseline"/>
                <w:lang w:val="en-US" w:eastAsia="zh-CN"/>
              </w:rPr>
              <w:t>:00。</w:t>
            </w:r>
          </w:p>
          <w:p w14:paraId="66F8E0C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2.7总平面布置</w:t>
            </w:r>
          </w:p>
          <w:p w14:paraId="3FFAC4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（1）</w:t>
            </w:r>
            <w:r>
              <w:rPr>
                <w:rFonts w:hint="default" w:ascii="Times New Roman" w:hAnsi="Times New Roman" w:cs="Times New Roman"/>
                <w:b w:val="0"/>
                <w:bCs/>
                <w:sz w:val="24"/>
                <w:szCs w:val="24"/>
                <w:lang w:val="en-US" w:eastAsia="zh-CN"/>
              </w:rPr>
              <w:t>地理位置</w:t>
            </w:r>
          </w:p>
          <w:p w14:paraId="5C6CCD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项目位于</w:t>
            </w:r>
            <w:r>
              <w:rPr>
                <w:rFonts w:hint="eastAsia" w:cs="Times New Roman"/>
                <w:b w:val="0"/>
                <w:bCs/>
                <w:sz w:val="24"/>
                <w:szCs w:val="24"/>
                <w:highlight w:val="none"/>
                <w:lang w:val="en-US" w:eastAsia="zh-CN"/>
              </w:rPr>
              <w:t>重庆市璧山区璧泉街道东林大道67号4幢附37号</w:t>
            </w:r>
            <w:r>
              <w:rPr>
                <w:rFonts w:hint="default" w:ascii="Times New Roman" w:hAnsi="Times New Roman" w:cs="Times New Roman"/>
                <w:b w:val="0"/>
                <w:bCs/>
                <w:sz w:val="24"/>
                <w:szCs w:val="24"/>
                <w:highlight w:val="none"/>
                <w:lang w:val="en-US" w:eastAsia="zh-CN"/>
              </w:rPr>
              <w:t>，租赁楼栋为</w:t>
            </w:r>
            <w:r>
              <w:rPr>
                <w:rFonts w:hint="eastAsia" w:cs="Times New Roman"/>
                <w:b w:val="0"/>
                <w:bCs/>
                <w:sz w:val="24"/>
                <w:szCs w:val="24"/>
                <w:highlight w:val="none"/>
                <w:lang w:val="en-US" w:eastAsia="zh-CN"/>
              </w:rPr>
              <w:t>商业裙楼1楼和2楼</w:t>
            </w:r>
            <w:r>
              <w:rPr>
                <w:rFonts w:hint="default" w:ascii="Times New Roman" w:hAnsi="Times New Roman" w:cs="Times New Roman"/>
                <w:b w:val="0"/>
                <w:bCs/>
                <w:sz w:val="24"/>
                <w:szCs w:val="24"/>
                <w:highlight w:val="none"/>
                <w:lang w:val="en-US" w:eastAsia="zh-CN"/>
              </w:rPr>
              <w:t>，项目紧邻均为商业用房。项目</w:t>
            </w:r>
            <w:r>
              <w:rPr>
                <w:rFonts w:hint="eastAsia" w:cs="Times New Roman"/>
                <w:b w:val="0"/>
                <w:bCs/>
                <w:sz w:val="24"/>
                <w:szCs w:val="24"/>
                <w:highlight w:val="none"/>
                <w:lang w:val="en-US" w:eastAsia="zh-CN"/>
              </w:rPr>
              <w:t>北</w:t>
            </w:r>
            <w:r>
              <w:rPr>
                <w:rFonts w:hint="default" w:ascii="Times New Roman" w:hAnsi="Times New Roman" w:cs="Times New Roman"/>
                <w:b w:val="0"/>
                <w:bCs/>
                <w:sz w:val="24"/>
                <w:szCs w:val="24"/>
                <w:highlight w:val="none"/>
                <w:lang w:val="en-US" w:eastAsia="zh-CN"/>
              </w:rPr>
              <w:t>侧面向交通干线</w:t>
            </w:r>
            <w:r>
              <w:rPr>
                <w:rFonts w:hint="eastAsia" w:cs="Times New Roman"/>
                <w:b w:val="0"/>
                <w:bCs/>
                <w:sz w:val="24"/>
                <w:szCs w:val="24"/>
                <w:highlight w:val="none"/>
                <w:lang w:val="en-US" w:eastAsia="zh-CN"/>
              </w:rPr>
              <w:t>凝山路</w:t>
            </w:r>
            <w:r>
              <w:rPr>
                <w:rFonts w:hint="default"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东</w:t>
            </w:r>
            <w:r>
              <w:rPr>
                <w:rFonts w:hint="default" w:ascii="Times New Roman" w:hAnsi="Times New Roman" w:cs="Times New Roman"/>
                <w:b w:val="0"/>
                <w:bCs/>
                <w:sz w:val="24"/>
                <w:szCs w:val="24"/>
                <w:highlight w:val="none"/>
                <w:lang w:val="en-US" w:eastAsia="zh-CN"/>
              </w:rPr>
              <w:t>侧面向交通干线</w:t>
            </w:r>
            <w:r>
              <w:rPr>
                <w:rFonts w:hint="eastAsia" w:cs="Times New Roman"/>
                <w:b w:val="0"/>
                <w:bCs/>
                <w:sz w:val="24"/>
                <w:szCs w:val="24"/>
                <w:highlight w:val="none"/>
                <w:lang w:val="en-US" w:eastAsia="zh-CN"/>
              </w:rPr>
              <w:t>莱山路</w:t>
            </w:r>
            <w:r>
              <w:rPr>
                <w:rFonts w:hint="default" w:ascii="Times New Roman" w:hAnsi="Times New Roman" w:cs="Times New Roman"/>
                <w:b w:val="0"/>
                <w:bCs/>
                <w:sz w:val="24"/>
                <w:szCs w:val="24"/>
                <w:highlight w:val="none"/>
                <w:lang w:val="en-US" w:eastAsia="zh-CN"/>
              </w:rPr>
              <w:t>，</w:t>
            </w:r>
            <w:r>
              <w:rPr>
                <w:rFonts w:hint="eastAsia" w:ascii="Times New Roman" w:hAnsi="Times New Roman" w:cs="Times New Roman"/>
                <w:b w:val="0"/>
                <w:bCs/>
                <w:sz w:val="24"/>
                <w:szCs w:val="24"/>
                <w:highlight w:val="none"/>
                <w:lang w:val="en-US" w:eastAsia="zh-CN"/>
              </w:rPr>
              <w:t>西侧和</w:t>
            </w:r>
            <w:r>
              <w:rPr>
                <w:rFonts w:hint="eastAsia" w:cs="Times New Roman"/>
                <w:b w:val="0"/>
                <w:bCs/>
                <w:sz w:val="24"/>
                <w:szCs w:val="24"/>
                <w:highlight w:val="none"/>
                <w:lang w:val="en-US" w:eastAsia="zh-CN"/>
              </w:rPr>
              <w:t>南</w:t>
            </w:r>
            <w:r>
              <w:rPr>
                <w:rFonts w:hint="default" w:ascii="Times New Roman" w:hAnsi="Times New Roman" w:cs="Times New Roman"/>
                <w:b w:val="0"/>
                <w:bCs/>
                <w:sz w:val="24"/>
                <w:szCs w:val="24"/>
                <w:highlight w:val="none"/>
                <w:lang w:val="en-US" w:eastAsia="zh-CN"/>
              </w:rPr>
              <w:t>侧为</w:t>
            </w:r>
            <w:r>
              <w:rPr>
                <w:rFonts w:hint="eastAsia" w:cs="Times New Roman"/>
                <w:b w:val="0"/>
                <w:bCs/>
                <w:sz w:val="24"/>
                <w:szCs w:val="24"/>
                <w:highlight w:val="none"/>
                <w:lang w:val="en-US" w:eastAsia="zh-CN"/>
              </w:rPr>
              <w:t>恒大绿岛新城B区</w:t>
            </w:r>
            <w:r>
              <w:rPr>
                <w:rFonts w:hint="default" w:ascii="Times New Roman" w:hAnsi="Times New Roman" w:cs="Times New Roman"/>
                <w:b w:val="0"/>
                <w:bCs/>
                <w:sz w:val="24"/>
                <w:szCs w:val="24"/>
                <w:lang w:val="en-US" w:eastAsia="zh-CN"/>
              </w:rPr>
              <w:t>。项目地理位置优越，交通便捷，所在区域城市建设成熟，供电、供水等设施完善，可以满足项目生产运营需要。</w:t>
            </w:r>
          </w:p>
          <w:p w14:paraId="5B0C87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（2）</w:t>
            </w:r>
            <w:r>
              <w:rPr>
                <w:rFonts w:hint="default" w:ascii="Times New Roman" w:hAnsi="Times New Roman" w:cs="Times New Roman"/>
                <w:b w:val="0"/>
                <w:bCs/>
                <w:sz w:val="24"/>
                <w:szCs w:val="24"/>
                <w:lang w:val="en-US" w:eastAsia="zh-CN"/>
              </w:rPr>
              <w:t>平面布置</w:t>
            </w:r>
          </w:p>
          <w:p w14:paraId="7E0D83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本项目租赁</w:t>
            </w:r>
            <w:r>
              <w:rPr>
                <w:rFonts w:hint="eastAsia" w:cs="Times New Roman"/>
                <w:color w:val="auto"/>
                <w:sz w:val="24"/>
                <w:szCs w:val="24"/>
                <w:highlight w:val="none"/>
                <w:lang w:val="en-US" w:eastAsia="zh-CN"/>
              </w:rPr>
              <w:t>重庆市璧山区璧泉街道东林大道67号4幢附37号商业门面进行运营，门面包含两层，本项目共设置1个出入口，位于医院一楼北侧，仅供医院使用，不在居民楼内，且不与同建筑物的其他商业用户共用出入口，符合《动物诊疗机构管理办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（农业农村部令2022年第5号）</w:t>
            </w:r>
            <w:r>
              <w:rPr>
                <w:rFonts w:hint="eastAsia" w:cs="Times New Roman"/>
                <w:color w:val="000000" w:themeColor="text1"/>
                <w:sz w:val="24"/>
                <w:szCs w:val="24"/>
                <w:highlight w:val="none"/>
                <w:lang w:val="en-US" w:eastAsia="zh-CN"/>
                <w14:textFill>
                  <w14:solidFill>
                    <w14:schemeClr w14:val="tx1"/>
                  </w14:solidFill>
                </w14:textFill>
              </w:rPr>
              <w:t>相关要求</w:t>
            </w:r>
            <w:r>
              <w:rPr>
                <w:rFonts w:hint="eastAsia" w:cs="Times New Roman"/>
                <w:color w:val="auto"/>
                <w:sz w:val="24"/>
                <w:szCs w:val="24"/>
                <w:highlight w:val="none"/>
                <w:lang w:val="en-US" w:eastAsia="zh-CN"/>
              </w:rPr>
              <w:t>。</w:t>
            </w:r>
          </w:p>
          <w:p w14:paraId="7EED3E9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eastAsia" w:cs="Times New Roman"/>
                <w:b w:val="0"/>
                <w:bCs/>
                <w:sz w:val="24"/>
                <w:szCs w:val="24"/>
                <w:highlight w:val="none"/>
                <w:lang w:val="en-US" w:eastAsia="zh-CN"/>
              </w:rPr>
              <w:t>一楼</w:t>
            </w:r>
            <w:r>
              <w:rPr>
                <w:rFonts w:hint="default" w:ascii="Times New Roman" w:hAnsi="Times New Roman" w:cs="Times New Roman"/>
                <w:b w:val="0"/>
                <w:bCs/>
                <w:sz w:val="24"/>
                <w:szCs w:val="24"/>
                <w:highlight w:val="none"/>
                <w:lang w:val="en-US" w:eastAsia="zh-CN"/>
              </w:rPr>
              <w:t>医院入口</w:t>
            </w:r>
            <w:r>
              <w:rPr>
                <w:rFonts w:hint="eastAsia" w:cs="Times New Roman"/>
                <w:b w:val="0"/>
                <w:bCs/>
                <w:sz w:val="24"/>
                <w:szCs w:val="24"/>
                <w:highlight w:val="none"/>
                <w:lang w:val="en-US" w:eastAsia="zh-CN"/>
              </w:rPr>
              <w:t>西侧</w:t>
            </w:r>
            <w:r>
              <w:rPr>
                <w:rFonts w:hint="default" w:ascii="Times New Roman" w:hAnsi="Times New Roman" w:cs="Times New Roman"/>
                <w:b w:val="0"/>
                <w:bCs/>
                <w:sz w:val="24"/>
                <w:szCs w:val="24"/>
                <w:highlight w:val="none"/>
                <w:lang w:val="en-US" w:eastAsia="zh-CN"/>
              </w:rPr>
              <w:t>为</w:t>
            </w:r>
            <w:r>
              <w:rPr>
                <w:rFonts w:hint="eastAsia" w:cs="Times New Roman"/>
                <w:b w:val="0"/>
                <w:bCs/>
                <w:sz w:val="24"/>
                <w:szCs w:val="24"/>
                <w:highlight w:val="none"/>
                <w:lang w:val="en-US" w:eastAsia="zh-CN"/>
              </w:rPr>
              <w:t>导台，导台后为1#诊室、2#诊室、卫生间，东侧为通道。二楼入口处往北依次为药房、化验室，住院区，西南角为手术室，往北依次为DR室、隔离室。</w:t>
            </w:r>
            <w:r>
              <w:rPr>
                <w:rFonts w:hint="eastAsia" w:cs="Times New Roman"/>
                <w:bCs/>
                <w:color w:val="auto"/>
                <w:sz w:val="24"/>
                <w:szCs w:val="24"/>
                <w:highlight w:val="none"/>
                <w:lang w:val="en-US" w:eastAsia="zh-CN"/>
              </w:rPr>
              <w:t>项目分区明确，犬、猫住院室和隔离室分开设置，有效避免交叉感染，采取封闭式管理，非工作人员不得随意进入，可有效防止臭味扩散。</w:t>
            </w:r>
          </w:p>
          <w:p w14:paraId="0802FB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eastAsia" w:cs="Times New Roman"/>
                <w:b w:val="0"/>
                <w:bCs/>
                <w:sz w:val="24"/>
                <w:szCs w:val="24"/>
                <w:highlight w:val="none"/>
                <w:lang w:val="en-US" w:eastAsia="zh-CN"/>
              </w:rPr>
              <w:t>取药室内设置区域安置</w:t>
            </w:r>
            <w:r>
              <w:rPr>
                <w:rFonts w:hint="default" w:ascii="Times New Roman" w:hAnsi="Times New Roman" w:cs="Times New Roman"/>
                <w:b w:val="0"/>
                <w:bCs/>
                <w:sz w:val="24"/>
                <w:szCs w:val="24"/>
                <w:highlight w:val="none"/>
                <w:lang w:val="en-US" w:eastAsia="zh-CN"/>
              </w:rPr>
              <w:t>专用密闭医疗废物收集桶</w:t>
            </w:r>
            <w:r>
              <w:rPr>
                <w:rFonts w:hint="eastAsia"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分类收集医疗废物和其他危险废物，避免交叉感染，定期交有资质的单位处置</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设置</w:t>
            </w:r>
            <w:r>
              <w:rPr>
                <w:rFonts w:hint="eastAsia" w:cs="Times New Roman"/>
                <w:b w:val="0"/>
                <w:bCs/>
                <w:sz w:val="24"/>
                <w:szCs w:val="24"/>
                <w:highlight w:val="none"/>
                <w:lang w:val="en-US" w:eastAsia="zh-CN"/>
              </w:rPr>
              <w:t>2</w:t>
            </w:r>
            <w:r>
              <w:rPr>
                <w:rFonts w:hint="default" w:ascii="Times New Roman" w:hAnsi="Times New Roman" w:cs="Times New Roman"/>
                <w:b w:val="0"/>
                <w:bCs/>
                <w:sz w:val="24"/>
                <w:szCs w:val="24"/>
                <w:highlight w:val="none"/>
                <w:lang w:val="en-US" w:eastAsia="zh-CN"/>
              </w:rPr>
              <w:t>台</w:t>
            </w:r>
            <w:r>
              <w:rPr>
                <w:rFonts w:hint="eastAsia" w:cs="Times New Roman"/>
                <w:b w:val="0"/>
                <w:bCs/>
                <w:sz w:val="24"/>
                <w:szCs w:val="24"/>
                <w:highlight w:val="none"/>
                <w:lang w:val="en-US" w:eastAsia="zh-CN"/>
              </w:rPr>
              <w:t>消毒设施</w:t>
            </w:r>
            <w:r>
              <w:rPr>
                <w:rFonts w:hint="default"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分别</w:t>
            </w:r>
            <w:r>
              <w:rPr>
                <w:rFonts w:hint="default" w:ascii="Times New Roman" w:hAnsi="Times New Roman" w:cs="Times New Roman"/>
                <w:b w:val="0"/>
                <w:bCs/>
                <w:sz w:val="24"/>
                <w:szCs w:val="24"/>
                <w:highlight w:val="none"/>
                <w:lang w:val="en-US" w:eastAsia="zh-CN"/>
              </w:rPr>
              <w:t>位于</w:t>
            </w:r>
            <w:r>
              <w:rPr>
                <w:rFonts w:hint="eastAsia" w:cs="Times New Roman"/>
                <w:b w:val="0"/>
                <w:bCs/>
                <w:sz w:val="24"/>
                <w:szCs w:val="24"/>
                <w:highlight w:val="none"/>
                <w:lang w:val="en-US" w:eastAsia="zh-CN"/>
              </w:rPr>
              <w:t>手术室水槽和卫生间水槽下方</w:t>
            </w:r>
            <w:r>
              <w:rPr>
                <w:rFonts w:hint="default" w:ascii="Times New Roman" w:hAnsi="Times New Roman" w:cs="Times New Roman"/>
                <w:b w:val="0"/>
                <w:bCs/>
                <w:sz w:val="24"/>
                <w:szCs w:val="24"/>
                <w:highlight w:val="none"/>
                <w:lang w:val="en-US" w:eastAsia="zh-CN"/>
              </w:rPr>
              <w:t>。营运期医疗废水经</w:t>
            </w:r>
            <w:r>
              <w:rPr>
                <w:rFonts w:hint="eastAsia" w:cs="Times New Roman"/>
                <w:b w:val="0"/>
                <w:bCs/>
                <w:sz w:val="24"/>
                <w:szCs w:val="24"/>
                <w:highlight w:val="none"/>
                <w:lang w:val="en-US" w:eastAsia="zh-CN"/>
              </w:rPr>
              <w:t>消毒设施</w:t>
            </w:r>
            <w:r>
              <w:rPr>
                <w:rFonts w:hint="default" w:ascii="Times New Roman" w:hAnsi="Times New Roman" w:cs="Times New Roman"/>
                <w:b w:val="0"/>
                <w:bCs/>
                <w:sz w:val="24"/>
                <w:szCs w:val="24"/>
                <w:highlight w:val="none"/>
                <w:lang w:val="en-US" w:eastAsia="zh-CN"/>
              </w:rPr>
              <w:t>预处理后</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出水参照执行《医疗机构水污染物排放标准》</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GB18466-2005</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预处理标准</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与生活污水</w:t>
            </w:r>
            <w:r>
              <w:rPr>
                <w:rFonts w:hint="eastAsia" w:cs="Times New Roman"/>
                <w:b w:val="0"/>
                <w:bCs/>
                <w:sz w:val="24"/>
                <w:szCs w:val="24"/>
                <w:highlight w:val="none"/>
                <w:lang w:val="en-US" w:eastAsia="zh-CN"/>
              </w:rPr>
              <w:t>、其他污水</w:t>
            </w:r>
            <w:r>
              <w:rPr>
                <w:rFonts w:hint="default" w:ascii="Times New Roman" w:hAnsi="Times New Roman" w:cs="Times New Roman"/>
                <w:b w:val="0"/>
                <w:bCs/>
                <w:sz w:val="24"/>
                <w:szCs w:val="24"/>
                <w:highlight w:val="none"/>
                <w:lang w:val="en-US" w:eastAsia="zh-CN"/>
              </w:rPr>
              <w:t>一起排入生化池进行处理。</w:t>
            </w:r>
          </w:p>
          <w:p w14:paraId="10BC54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综上，项目生产区布置功能区分明确，各功能布局清晰合理，总体布局合理。</w:t>
            </w:r>
          </w:p>
          <w:p w14:paraId="3C0B777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2.8公用工程</w:t>
            </w:r>
          </w:p>
          <w:p w14:paraId="0449987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2.8.1供水</w:t>
            </w:r>
          </w:p>
          <w:p w14:paraId="1CD57B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eastAsia" w:ascii="Times New Roman" w:hAnsi="Times New Roman" w:cs="Times New Roman"/>
                <w:b w:val="0"/>
                <w:bCs/>
                <w:sz w:val="24"/>
                <w:szCs w:val="24"/>
                <w:highlight w:val="none"/>
                <w:vertAlign w:val="baseline"/>
                <w:lang w:val="en-US" w:eastAsia="zh-CN"/>
              </w:rPr>
              <w:t>（1）</w:t>
            </w:r>
            <w:r>
              <w:rPr>
                <w:rFonts w:hint="default" w:ascii="Times New Roman" w:hAnsi="Times New Roman" w:cs="Times New Roman"/>
                <w:b w:val="0"/>
                <w:bCs/>
                <w:sz w:val="24"/>
                <w:szCs w:val="24"/>
                <w:highlight w:val="none"/>
                <w:vertAlign w:val="baseline"/>
                <w:lang w:val="en-US" w:eastAsia="zh-CN"/>
              </w:rPr>
              <w:t>给水水源</w:t>
            </w:r>
          </w:p>
          <w:p w14:paraId="1EA1A2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项目供水主要来自市政自来水厂，利用市政给水管接口接入。</w:t>
            </w:r>
          </w:p>
          <w:p w14:paraId="62A260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eastAsia" w:ascii="Times New Roman" w:hAnsi="Times New Roman" w:cs="Times New Roman"/>
                <w:b w:val="0"/>
                <w:bCs/>
                <w:sz w:val="24"/>
                <w:szCs w:val="24"/>
                <w:highlight w:val="none"/>
                <w:vertAlign w:val="baseline"/>
                <w:lang w:val="en-US" w:eastAsia="zh-CN"/>
              </w:rPr>
              <w:t>（2）用水量</w:t>
            </w:r>
          </w:p>
          <w:p w14:paraId="4DDBCF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本项目院内不设食宿，</w:t>
            </w:r>
            <w:r>
              <w:rPr>
                <w:rFonts w:hint="eastAsia" w:cs="Times New Roman"/>
                <w:sz w:val="24"/>
                <w:szCs w:val="24"/>
                <w:lang w:val="en-US" w:eastAsia="zh-CN"/>
              </w:rPr>
              <w:t>无食堂废水产生；化验室采用各类自动分析仪器进行化验，使用标准配置的试剂盒，无需现场配置化学试剂，使用一次性样品容器，产生的废试剂盒、样品等经收集后暂存于医疗废物暂存间作为医疗废物进行处理，无化验废水产生。因此，本项目</w:t>
            </w:r>
            <w:r>
              <w:rPr>
                <w:rFonts w:hint="eastAsia" w:ascii="Times New Roman" w:hAnsi="Times New Roman" w:eastAsia="宋体" w:cs="Times New Roman"/>
                <w:sz w:val="24"/>
                <w:szCs w:val="24"/>
                <w:lang w:val="en-US" w:eastAsia="zh-CN"/>
              </w:rPr>
              <w:t>服务期间用水主要为医疗用水、其他用水和生活用水。其中，医疗用水主要为诊疗用水、</w:t>
            </w:r>
            <w:r>
              <w:rPr>
                <w:rFonts w:hint="eastAsia" w:cs="Times New Roman"/>
                <w:sz w:val="24"/>
                <w:szCs w:val="24"/>
                <w:lang w:val="en-US" w:eastAsia="zh-CN"/>
              </w:rPr>
              <w:t>手术器械清洗</w:t>
            </w:r>
            <w:r>
              <w:rPr>
                <w:rFonts w:hint="eastAsia" w:ascii="Times New Roman" w:hAnsi="Times New Roman" w:eastAsia="宋体" w:cs="Times New Roman"/>
                <w:sz w:val="24"/>
                <w:szCs w:val="24"/>
                <w:lang w:val="en-US" w:eastAsia="zh-CN"/>
              </w:rPr>
              <w:t>用水、</w:t>
            </w:r>
            <w:r>
              <w:rPr>
                <w:rFonts w:hint="eastAsia" w:cs="Times New Roman"/>
                <w:sz w:val="24"/>
                <w:szCs w:val="24"/>
                <w:lang w:val="en-US" w:eastAsia="zh-CN"/>
              </w:rPr>
              <w:t>手术用水、宠物笼清洗用水</w:t>
            </w:r>
            <w:r>
              <w:rPr>
                <w:rFonts w:hint="eastAsia" w:ascii="Times New Roman" w:hAnsi="Times New Roman" w:eastAsia="宋体" w:cs="Times New Roman"/>
                <w:sz w:val="24"/>
                <w:szCs w:val="24"/>
                <w:lang w:val="en-US" w:eastAsia="zh-CN"/>
              </w:rPr>
              <w:t>和</w:t>
            </w:r>
            <w:r>
              <w:rPr>
                <w:rFonts w:hint="eastAsia" w:cs="Times New Roman"/>
                <w:sz w:val="24"/>
                <w:szCs w:val="24"/>
                <w:lang w:val="en-US" w:eastAsia="zh-CN"/>
              </w:rPr>
              <w:t>宠物饮水</w:t>
            </w:r>
            <w:r>
              <w:rPr>
                <w:rFonts w:hint="eastAsia" w:ascii="Times New Roman" w:hAnsi="Times New Roman" w:eastAsia="宋体" w:cs="Times New Roman"/>
                <w:sz w:val="24"/>
                <w:szCs w:val="24"/>
                <w:lang w:val="en-US" w:eastAsia="zh-CN"/>
              </w:rPr>
              <w:t>；其他用水主要为地面清洁用水</w:t>
            </w:r>
            <w:r>
              <w:rPr>
                <w:rFonts w:hint="eastAsia" w:cs="Times New Roman"/>
                <w:sz w:val="24"/>
                <w:szCs w:val="24"/>
                <w:lang w:val="en-US" w:eastAsia="zh-CN"/>
              </w:rPr>
              <w:t>、工服清洗用水；</w:t>
            </w:r>
            <w:r>
              <w:rPr>
                <w:rFonts w:hint="eastAsia" w:ascii="Times New Roman" w:hAnsi="Times New Roman" w:eastAsia="宋体" w:cs="Times New Roman"/>
                <w:sz w:val="24"/>
                <w:szCs w:val="24"/>
                <w:lang w:val="en-US" w:eastAsia="zh-CN"/>
              </w:rPr>
              <w:t>生活用水主要为员工生活用水</w:t>
            </w:r>
            <w:r>
              <w:rPr>
                <w:rFonts w:hint="eastAsia" w:cs="Times New Roman"/>
                <w:sz w:val="24"/>
                <w:szCs w:val="24"/>
                <w:lang w:val="en-US" w:eastAsia="zh-CN"/>
              </w:rPr>
              <w:t>和</w:t>
            </w:r>
            <w:r>
              <w:rPr>
                <w:rFonts w:hint="eastAsia" w:ascii="Times New Roman" w:hAnsi="Times New Roman" w:eastAsia="宋体" w:cs="Times New Roman"/>
                <w:sz w:val="24"/>
                <w:szCs w:val="24"/>
                <w:lang w:val="en-US" w:eastAsia="zh-CN"/>
              </w:rPr>
              <w:t>流动顾客用水。</w:t>
            </w:r>
          </w:p>
          <w:p w14:paraId="219FFE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①生活用水</w:t>
            </w:r>
          </w:p>
          <w:p w14:paraId="2BDA2A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项目生活用水包括职工生活用水、流动顾客用水。</w:t>
            </w:r>
          </w:p>
          <w:p w14:paraId="3F2CDC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bCs w:val="0"/>
                <w:sz w:val="24"/>
                <w:szCs w:val="24"/>
                <w:highlight w:val="none"/>
                <w:lang w:val="en-US" w:eastAsia="zh-CN"/>
              </w:rPr>
              <w:t>职工生活用水</w:t>
            </w:r>
            <w:r>
              <w:rPr>
                <w:rFonts w:hint="eastAsia" w:ascii="Times New Roman" w:hAnsi="Times New Roman" w:cs="Times New Roman"/>
                <w:b/>
                <w:bCs w:val="0"/>
                <w:sz w:val="24"/>
                <w:szCs w:val="24"/>
                <w:highlight w:val="none"/>
                <w:lang w:val="en-US" w:eastAsia="zh-CN"/>
              </w:rPr>
              <w:t>：</w:t>
            </w:r>
            <w:r>
              <w:rPr>
                <w:rFonts w:hint="default" w:ascii="Times New Roman" w:hAnsi="Times New Roman" w:cs="Times New Roman"/>
                <w:b w:val="0"/>
                <w:bCs/>
                <w:sz w:val="24"/>
                <w:szCs w:val="24"/>
                <w:highlight w:val="none"/>
                <w:lang w:val="en-US" w:eastAsia="zh-CN"/>
              </w:rPr>
              <w:t>项目劳动定员</w:t>
            </w:r>
            <w:r>
              <w:rPr>
                <w:rFonts w:hint="eastAsia" w:cs="Times New Roman"/>
                <w:b w:val="0"/>
                <w:bCs/>
                <w:sz w:val="24"/>
                <w:szCs w:val="24"/>
                <w:highlight w:val="none"/>
                <w:lang w:val="en-US" w:eastAsia="zh-CN"/>
              </w:rPr>
              <w:t>6</w:t>
            </w:r>
            <w:r>
              <w:rPr>
                <w:rFonts w:hint="default" w:ascii="Times New Roman" w:hAnsi="Times New Roman" w:cs="Times New Roman"/>
                <w:b w:val="0"/>
                <w:bCs/>
                <w:sz w:val="24"/>
                <w:szCs w:val="24"/>
                <w:highlight w:val="none"/>
                <w:lang w:val="en-US" w:eastAsia="zh-CN"/>
              </w:rPr>
              <w:t>人，根据《建筑给水排水设计标准》</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GB50015-2019</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，职工生活用水量按照50L/</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人·d</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计，则职工生活用水量约0</w:t>
            </w:r>
            <w:r>
              <w:rPr>
                <w:rFonts w:hint="eastAsia" w:cs="Times New Roman"/>
                <w:b w:val="0"/>
                <w:bCs/>
                <w:sz w:val="24"/>
                <w:szCs w:val="24"/>
                <w:highlight w:val="none"/>
                <w:lang w:val="en-US" w:eastAsia="zh-CN"/>
              </w:rPr>
              <w:t>.3</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109.5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。生活污水排污系数按0.9计。</w:t>
            </w:r>
          </w:p>
          <w:p w14:paraId="724D4B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bCs w:val="0"/>
                <w:sz w:val="24"/>
                <w:szCs w:val="24"/>
                <w:highlight w:val="none"/>
                <w:lang w:val="en-US" w:eastAsia="zh-CN"/>
              </w:rPr>
              <w:t>流动顾客用水</w:t>
            </w:r>
            <w:r>
              <w:rPr>
                <w:rFonts w:hint="eastAsia" w:ascii="Times New Roman" w:hAnsi="Times New Roman" w:cs="Times New Roman"/>
                <w:b/>
                <w:bCs w:val="0"/>
                <w:sz w:val="24"/>
                <w:szCs w:val="24"/>
                <w:highlight w:val="none"/>
                <w:lang w:val="en-US" w:eastAsia="zh-CN"/>
              </w:rPr>
              <w:t>：</w:t>
            </w:r>
            <w:r>
              <w:rPr>
                <w:rFonts w:hint="default" w:ascii="Times New Roman" w:hAnsi="Times New Roman" w:cs="Times New Roman"/>
                <w:b w:val="0"/>
                <w:bCs/>
                <w:sz w:val="24"/>
                <w:szCs w:val="24"/>
                <w:highlight w:val="none"/>
                <w:lang w:val="en-US" w:eastAsia="zh-CN"/>
              </w:rPr>
              <w:t>流动顾客规模为门诊客人总人数，按每只宠物由1名主人携带就诊考虑，即宠物主人约</w:t>
            </w:r>
            <w:r>
              <w:rPr>
                <w:rFonts w:hint="eastAsia" w:cs="Times New Roman"/>
                <w:b w:val="0"/>
                <w:bCs/>
                <w:sz w:val="24"/>
                <w:szCs w:val="24"/>
                <w:highlight w:val="none"/>
                <w:lang w:val="en-US" w:eastAsia="zh-CN"/>
              </w:rPr>
              <w:t>14</w:t>
            </w:r>
            <w:r>
              <w:rPr>
                <w:rFonts w:hint="default" w:ascii="Times New Roman" w:hAnsi="Times New Roman" w:cs="Times New Roman"/>
                <w:b w:val="0"/>
                <w:bCs/>
                <w:sz w:val="24"/>
                <w:szCs w:val="24"/>
                <w:highlight w:val="none"/>
                <w:lang w:val="en-US" w:eastAsia="zh-CN"/>
              </w:rPr>
              <w:t>人次/d，类比同类宠物医院项目，流动顾客用水量按照10L/人·次计，则流动顾客用水量约0.</w:t>
            </w:r>
            <w:r>
              <w:rPr>
                <w:rFonts w:hint="eastAsia" w:cs="Times New Roman"/>
                <w:b w:val="0"/>
                <w:bCs/>
                <w:sz w:val="24"/>
                <w:szCs w:val="24"/>
                <w:highlight w:val="none"/>
                <w:lang w:val="en-US" w:eastAsia="zh-CN"/>
              </w:rPr>
              <w:t>14</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cs="Times New Roman"/>
                <w:b w:val="0"/>
                <w:bCs/>
                <w:sz w:val="24"/>
                <w:szCs w:val="24"/>
                <w:highlight w:val="none"/>
                <w:lang w:val="en-US" w:eastAsia="zh-CN"/>
              </w:rPr>
              <w:t>51.1</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a)。流动顾客污水排污系数按0.9计。</w:t>
            </w:r>
          </w:p>
          <w:p w14:paraId="00D144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cs="Times New Roman"/>
                <w:b w:val="0"/>
                <w:bCs/>
                <w:sz w:val="24"/>
                <w:szCs w:val="24"/>
                <w:highlight w:val="none"/>
                <w:lang w:val="en-US" w:eastAsia="zh-CN"/>
              </w:rPr>
            </w:pPr>
            <w:r>
              <w:rPr>
                <w:rFonts w:hint="eastAsia" w:ascii="Times New Roman" w:hAnsi="Times New Roman" w:cs="Times New Roman"/>
                <w:b w:val="0"/>
                <w:bCs/>
                <w:sz w:val="24"/>
                <w:szCs w:val="24"/>
                <w:highlight w:val="none"/>
                <w:lang w:val="en-US" w:eastAsia="zh-CN"/>
              </w:rPr>
              <w:t>②医疗用水</w:t>
            </w:r>
          </w:p>
          <w:p w14:paraId="610E8B4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项目医疗用水包括</w:t>
            </w:r>
            <w:r>
              <w:rPr>
                <w:rFonts w:hint="eastAsia" w:cs="Times New Roman"/>
                <w:b w:val="0"/>
                <w:bCs/>
                <w:sz w:val="24"/>
                <w:szCs w:val="24"/>
                <w:highlight w:val="none"/>
                <w:lang w:val="en-US" w:eastAsia="zh-CN"/>
              </w:rPr>
              <w:t>手术用水、</w:t>
            </w:r>
            <w:r>
              <w:rPr>
                <w:rFonts w:hint="default" w:ascii="Times New Roman" w:hAnsi="Times New Roman" w:cs="Times New Roman"/>
                <w:b w:val="0"/>
                <w:bCs/>
                <w:sz w:val="24"/>
                <w:szCs w:val="24"/>
                <w:highlight w:val="none"/>
                <w:lang w:val="en-US" w:eastAsia="zh-CN"/>
              </w:rPr>
              <w:t>手术器械清洗用水、诊疗用水、宠物笼清洗用水、宠物饮用水。</w:t>
            </w:r>
          </w:p>
          <w:p w14:paraId="0CDBABF0">
            <w:pPr>
              <w:pStyle w:val="46"/>
              <w:spacing w:line="360" w:lineRule="auto"/>
              <w:ind w:firstLine="482" w:firstLineChars="200"/>
              <w:rPr>
                <w:rFonts w:hint="default" w:cs="Times New Roman"/>
                <w:b w:val="0"/>
                <w:bCs w:val="0"/>
                <w:color w:val="000000"/>
                <w:kern w:val="2"/>
                <w:sz w:val="24"/>
                <w:szCs w:val="24"/>
                <w:lang w:val="en-US" w:eastAsia="zh-CN" w:bidi="ar-SA"/>
              </w:rPr>
            </w:pPr>
            <w:r>
              <w:rPr>
                <w:rFonts w:hint="eastAsia" w:cs="Times New Roman"/>
                <w:b/>
                <w:bCs w:val="0"/>
                <w:sz w:val="24"/>
                <w:szCs w:val="24"/>
                <w:highlight w:val="none"/>
                <w:lang w:val="en-US" w:eastAsia="zh-CN"/>
              </w:rPr>
              <w:t>手术用水：</w:t>
            </w:r>
            <w:r>
              <w:rPr>
                <w:rFonts w:hint="eastAsia" w:cs="Times New Roman"/>
                <w:b w:val="0"/>
                <w:bCs w:val="0"/>
                <w:color w:val="000000"/>
                <w:kern w:val="2"/>
                <w:sz w:val="24"/>
                <w:szCs w:val="24"/>
                <w:lang w:val="en-US" w:eastAsia="zh-CN" w:bidi="ar-SA"/>
              </w:rPr>
              <w:t>手术用水主要为医护</w:t>
            </w:r>
            <w:r>
              <w:rPr>
                <w:rFonts w:hint="default" w:ascii="Times New Roman" w:hAnsi="Times New Roman" w:cs="Times New Roman"/>
                <w:b w:val="0"/>
                <w:bCs w:val="0"/>
                <w:color w:val="000000"/>
                <w:kern w:val="2"/>
                <w:sz w:val="24"/>
                <w:szCs w:val="24"/>
                <w:lang w:val="en-US" w:eastAsia="zh-CN" w:bidi="ar-SA"/>
              </w:rPr>
              <w:t>人员术前术后的洗手用水。</w:t>
            </w:r>
            <w:r>
              <w:rPr>
                <w:rFonts w:hint="default" w:ascii="Times New Roman" w:hAnsi="Times New Roman" w:eastAsia="宋体" w:cs="Times New Roman"/>
                <w:b w:val="0"/>
                <w:bCs w:val="0"/>
                <w:color w:val="000000"/>
                <w:kern w:val="2"/>
                <w:sz w:val="24"/>
                <w:szCs w:val="24"/>
                <w:lang w:val="en-US" w:eastAsia="zh-CN" w:bidi="ar-SA"/>
              </w:rPr>
              <w:t>根据建设单位提供资料及类比同类型宠物医院，</w:t>
            </w:r>
            <w:r>
              <w:rPr>
                <w:rFonts w:hint="default" w:ascii="Times New Roman" w:hAnsi="Times New Roman" w:cs="Times New Roman"/>
                <w:b w:val="0"/>
                <w:bCs w:val="0"/>
                <w:color w:val="000000"/>
                <w:kern w:val="2"/>
                <w:sz w:val="24"/>
                <w:szCs w:val="24"/>
                <w:lang w:val="en-US" w:eastAsia="zh-CN" w:bidi="ar-SA"/>
              </w:rPr>
              <w:t>手术</w:t>
            </w:r>
            <w:r>
              <w:rPr>
                <w:rFonts w:hint="default" w:ascii="Times New Roman" w:hAnsi="Times New Roman" w:cs="Times New Roman"/>
                <w:color w:val="000000"/>
                <w:kern w:val="0"/>
                <w:sz w:val="24"/>
                <w:szCs w:val="24"/>
                <w:highlight w:val="none"/>
                <w:lang w:val="en-US" w:eastAsia="zh-CN" w:bidi="ar"/>
              </w:rPr>
              <w:t>用水量按20L/台</w:t>
            </w:r>
            <w:r>
              <w:rPr>
                <w:rFonts w:hint="default" w:ascii="Times New Roman" w:hAnsi="Times New Roman" w:eastAsia="宋体" w:cs="Times New Roman"/>
                <w:color w:val="auto"/>
                <w:szCs w:val="22"/>
                <w:lang w:val="en-US" w:eastAsia="zh-CN"/>
              </w:rPr>
              <w:t>计，</w:t>
            </w:r>
            <w:r>
              <w:rPr>
                <w:rFonts w:hint="default" w:ascii="Times New Roman" w:hAnsi="Times New Roman" w:cs="Times New Roman"/>
                <w:color w:val="auto"/>
                <w:szCs w:val="22"/>
                <w:lang w:val="en-US" w:eastAsia="zh-CN"/>
              </w:rPr>
              <w:t>本项目</w:t>
            </w:r>
            <w:r>
              <w:rPr>
                <w:rFonts w:hint="default" w:ascii="Times New Roman" w:hAnsi="Times New Roman" w:cs="Times New Roman"/>
                <w:color w:val="auto"/>
                <w:highlight w:val="none"/>
                <w:lang w:val="en-US" w:eastAsia="zh-CN"/>
              </w:rPr>
              <w:t>日最大手术量为5台</w:t>
            </w:r>
            <w:r>
              <w:rPr>
                <w:rFonts w:hint="default" w:ascii="Times New Roman" w:hAnsi="Times New Roman" w:eastAsia="宋体" w:cs="Times New Roman"/>
                <w:color w:val="auto"/>
                <w:szCs w:val="22"/>
                <w:lang w:val="en-US" w:eastAsia="zh-CN"/>
              </w:rPr>
              <w:t>，则本项目手术用水量为</w:t>
            </w:r>
            <w:r>
              <w:rPr>
                <w:rFonts w:hint="default" w:ascii="Times New Roman" w:hAnsi="Times New Roman" w:eastAsia="宋体" w:cs="Times New Roman"/>
                <w:b w:val="0"/>
                <w:bCs w:val="0"/>
                <w:color w:val="000000"/>
                <w:kern w:val="2"/>
                <w:sz w:val="24"/>
                <w:szCs w:val="24"/>
                <w:lang w:val="en-US" w:eastAsia="zh-CN" w:bidi="ar-SA"/>
              </w:rPr>
              <w:t>0.1m</w:t>
            </w:r>
            <w:r>
              <w:rPr>
                <w:rFonts w:hint="default" w:ascii="Times New Roman" w:hAnsi="Times New Roman" w:eastAsia="宋体" w:cs="Times New Roman"/>
                <w:b w:val="0"/>
                <w:bCs w:val="0"/>
                <w:color w:val="000000"/>
                <w:kern w:val="2"/>
                <w:sz w:val="24"/>
                <w:szCs w:val="24"/>
                <w:vertAlign w:val="superscript"/>
                <w:lang w:val="en-US" w:eastAsia="zh-CN" w:bidi="ar-SA"/>
              </w:rPr>
              <w:t>3</w:t>
            </w:r>
            <w:r>
              <w:rPr>
                <w:rFonts w:hint="default" w:ascii="Times New Roman" w:hAnsi="Times New Roman" w:eastAsia="宋体" w:cs="Times New Roman"/>
                <w:b w:val="0"/>
                <w:bCs w:val="0"/>
                <w:color w:val="000000"/>
                <w:kern w:val="2"/>
                <w:sz w:val="24"/>
                <w:szCs w:val="24"/>
                <w:lang w:val="en-US" w:eastAsia="zh-CN" w:bidi="ar-SA"/>
              </w:rPr>
              <w:t>/d（</w:t>
            </w:r>
            <w:r>
              <w:rPr>
                <w:rFonts w:hint="default" w:ascii="Times New Roman" w:hAnsi="Times New Roman" w:cs="Times New Roman"/>
                <w:b w:val="0"/>
                <w:bCs w:val="0"/>
                <w:color w:val="000000"/>
                <w:kern w:val="2"/>
                <w:sz w:val="24"/>
                <w:szCs w:val="24"/>
                <w:lang w:val="en-US" w:eastAsia="zh-CN" w:bidi="ar-SA"/>
              </w:rPr>
              <w:t>36.5</w:t>
            </w:r>
            <w:r>
              <w:rPr>
                <w:rFonts w:hint="default" w:ascii="Times New Roman" w:hAnsi="Times New Roman" w:eastAsia="宋体" w:cs="Times New Roman"/>
                <w:b w:val="0"/>
                <w:bCs w:val="0"/>
                <w:color w:val="000000"/>
                <w:kern w:val="2"/>
                <w:sz w:val="24"/>
                <w:szCs w:val="24"/>
                <w:lang w:val="en-US" w:eastAsia="zh-CN" w:bidi="ar-SA"/>
              </w:rPr>
              <w:t>m</w:t>
            </w:r>
            <w:r>
              <w:rPr>
                <w:rFonts w:hint="default" w:ascii="Times New Roman" w:hAnsi="Times New Roman" w:eastAsia="宋体" w:cs="Times New Roman"/>
                <w:b w:val="0"/>
                <w:bCs w:val="0"/>
                <w:color w:val="000000"/>
                <w:kern w:val="2"/>
                <w:sz w:val="24"/>
                <w:szCs w:val="24"/>
                <w:vertAlign w:val="superscript"/>
                <w:lang w:val="en-US" w:eastAsia="zh-CN" w:bidi="ar-SA"/>
              </w:rPr>
              <w:t>3</w:t>
            </w:r>
            <w:r>
              <w:rPr>
                <w:rFonts w:hint="default" w:ascii="Times New Roman" w:hAnsi="Times New Roman" w:eastAsia="宋体" w:cs="Times New Roman"/>
                <w:b w:val="0"/>
                <w:bCs w:val="0"/>
                <w:color w:val="000000"/>
                <w:kern w:val="2"/>
                <w:sz w:val="24"/>
                <w:szCs w:val="24"/>
                <w:lang w:val="en-US" w:eastAsia="zh-CN" w:bidi="ar-SA"/>
              </w:rPr>
              <w:t>/a），</w:t>
            </w:r>
            <w:r>
              <w:rPr>
                <w:rFonts w:hint="default" w:ascii="Times New Roman" w:hAnsi="Times New Roman" w:eastAsia="宋体" w:cs="Times New Roman"/>
                <w:color w:val="auto"/>
                <w:szCs w:val="22"/>
              </w:rPr>
              <w:t>产污系数以0.9计，则</w:t>
            </w:r>
            <w:r>
              <w:rPr>
                <w:rFonts w:hint="default" w:ascii="Times New Roman" w:hAnsi="Times New Roman" w:cs="Times New Roman"/>
                <w:color w:val="auto"/>
                <w:szCs w:val="22"/>
                <w:lang w:val="en-US" w:eastAsia="zh-CN"/>
              </w:rPr>
              <w:t>手术</w:t>
            </w:r>
            <w:r>
              <w:rPr>
                <w:rFonts w:hint="default" w:ascii="Times New Roman" w:hAnsi="Times New Roman" w:eastAsia="宋体" w:cs="Times New Roman"/>
                <w:color w:val="auto"/>
                <w:szCs w:val="22"/>
                <w:lang w:val="en-US" w:eastAsia="zh-CN"/>
              </w:rPr>
              <w:t>废水</w:t>
            </w:r>
            <w:r>
              <w:rPr>
                <w:rFonts w:hint="default" w:ascii="Times New Roman" w:hAnsi="Times New Roman" w:eastAsia="宋体" w:cs="Times New Roman"/>
                <w:color w:val="auto"/>
                <w:szCs w:val="22"/>
              </w:rPr>
              <w:t>产生量约为</w:t>
            </w:r>
            <w:r>
              <w:rPr>
                <w:rFonts w:hint="default" w:ascii="Times New Roman" w:hAnsi="Times New Roman" w:eastAsia="宋体" w:cs="Times New Roman"/>
                <w:color w:val="auto"/>
                <w:szCs w:val="22"/>
                <w:lang w:val="en-US" w:eastAsia="zh-CN"/>
              </w:rPr>
              <w:t>0.</w:t>
            </w:r>
            <w:r>
              <w:rPr>
                <w:rFonts w:hint="eastAsia" w:ascii="Times New Roman" w:eastAsia="宋体" w:cs="Times New Roman"/>
                <w:color w:val="auto"/>
                <w:szCs w:val="22"/>
                <w:lang w:val="en-US" w:eastAsia="zh-CN"/>
              </w:rPr>
              <w:t>0</w:t>
            </w:r>
            <w:r>
              <w:rPr>
                <w:rFonts w:hint="default" w:ascii="Times New Roman" w:hAnsi="Times New Roman" w:cs="Times New Roman"/>
                <w:color w:val="auto"/>
                <w:szCs w:val="22"/>
                <w:lang w:val="en-US" w:eastAsia="zh-CN"/>
              </w:rPr>
              <w:t>9</w:t>
            </w:r>
            <w:r>
              <w:rPr>
                <w:rFonts w:hint="default" w:ascii="Times New Roman" w:hAnsi="Times New Roman" w:eastAsia="宋体" w:cs="Times New Roman"/>
                <w:color w:val="auto"/>
                <w:szCs w:val="22"/>
              </w:rPr>
              <w:t>m</w:t>
            </w:r>
            <w:r>
              <w:rPr>
                <w:rFonts w:hint="default" w:ascii="Times New Roman" w:hAnsi="Times New Roman" w:eastAsia="宋体" w:cs="Times New Roman"/>
                <w:color w:val="auto"/>
                <w:szCs w:val="22"/>
                <w:vertAlign w:val="superscript"/>
              </w:rPr>
              <w:t>3</w:t>
            </w:r>
            <w:r>
              <w:rPr>
                <w:rFonts w:hint="default" w:ascii="Times New Roman" w:hAnsi="Times New Roman" w:eastAsia="宋体" w:cs="Times New Roman"/>
                <w:color w:val="auto"/>
                <w:szCs w:val="22"/>
              </w:rPr>
              <w:t>/d（</w:t>
            </w:r>
            <w:r>
              <w:rPr>
                <w:rFonts w:hint="default" w:ascii="Times New Roman" w:hAnsi="Times New Roman" w:cs="Times New Roman"/>
                <w:color w:val="auto"/>
                <w:szCs w:val="22"/>
                <w:lang w:val="en-US" w:eastAsia="zh-CN"/>
              </w:rPr>
              <w:t>32.85</w:t>
            </w:r>
            <w:r>
              <w:rPr>
                <w:rFonts w:hint="default" w:ascii="Times New Roman" w:hAnsi="Times New Roman" w:eastAsia="宋体" w:cs="Times New Roman"/>
                <w:color w:val="auto"/>
                <w:szCs w:val="22"/>
              </w:rPr>
              <w:t>m</w:t>
            </w:r>
            <w:r>
              <w:rPr>
                <w:rFonts w:hint="default" w:ascii="Times New Roman" w:hAnsi="Times New Roman" w:eastAsia="宋体" w:cs="Times New Roman"/>
                <w:color w:val="auto"/>
                <w:szCs w:val="22"/>
                <w:vertAlign w:val="superscript"/>
              </w:rPr>
              <w:t>3</w:t>
            </w:r>
            <w:r>
              <w:rPr>
                <w:rFonts w:hint="default" w:ascii="Times New Roman" w:hAnsi="Times New Roman" w:eastAsia="宋体" w:cs="Times New Roman"/>
                <w:color w:val="auto"/>
                <w:szCs w:val="22"/>
              </w:rPr>
              <w:t>/a）。</w:t>
            </w:r>
          </w:p>
          <w:p w14:paraId="06B9E60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bCs w:val="0"/>
                <w:sz w:val="24"/>
                <w:szCs w:val="24"/>
                <w:highlight w:val="none"/>
                <w:lang w:val="en-US" w:eastAsia="zh-CN"/>
              </w:rPr>
              <w:t>手术器械清洗用水</w:t>
            </w:r>
            <w:r>
              <w:rPr>
                <w:rFonts w:hint="eastAsia" w:ascii="Times New Roman" w:hAnsi="Times New Roman" w:cs="Times New Roman"/>
                <w:b/>
                <w:bCs w:val="0"/>
                <w:sz w:val="24"/>
                <w:szCs w:val="24"/>
                <w:highlight w:val="none"/>
                <w:lang w:val="en-US" w:eastAsia="zh-CN"/>
              </w:rPr>
              <w:t>：</w:t>
            </w:r>
            <w:r>
              <w:rPr>
                <w:rFonts w:hint="default" w:ascii="Times New Roman" w:hAnsi="Times New Roman" w:cs="Times New Roman"/>
                <w:b w:val="0"/>
                <w:bCs/>
                <w:sz w:val="24"/>
                <w:szCs w:val="24"/>
                <w:highlight w:val="none"/>
                <w:lang w:val="en-US" w:eastAsia="zh-CN"/>
              </w:rPr>
              <w:t>根据建设单位提供资料及类比同类型宠物医院，手术器械清洗用水量约5L/台，项目每日最大手术量约</w:t>
            </w:r>
            <w:r>
              <w:rPr>
                <w:rFonts w:hint="eastAsia" w:cs="Times New Roman"/>
                <w:b w:val="0"/>
                <w:bCs/>
                <w:sz w:val="24"/>
                <w:szCs w:val="24"/>
                <w:highlight w:val="none"/>
                <w:lang w:val="en-US" w:eastAsia="zh-CN"/>
              </w:rPr>
              <w:t>5</w:t>
            </w:r>
            <w:r>
              <w:rPr>
                <w:rFonts w:hint="default" w:ascii="Times New Roman" w:hAnsi="Times New Roman" w:cs="Times New Roman"/>
                <w:b w:val="0"/>
                <w:bCs/>
                <w:sz w:val="24"/>
                <w:szCs w:val="24"/>
                <w:highlight w:val="none"/>
                <w:lang w:val="en-US" w:eastAsia="zh-CN"/>
              </w:rPr>
              <w:t>台，则手术器械清洗用水量约0.02</w:t>
            </w:r>
            <w:r>
              <w:rPr>
                <w:rFonts w:hint="eastAsia" w:cs="Times New Roman"/>
                <w:b w:val="0"/>
                <w:bCs/>
                <w:sz w:val="24"/>
                <w:szCs w:val="24"/>
                <w:highlight w:val="none"/>
                <w:lang w:val="en-US" w:eastAsia="zh-CN"/>
              </w:rPr>
              <w:t>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9.125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。手术器械清洗废水排污系数按0.9 计。</w:t>
            </w:r>
          </w:p>
          <w:p w14:paraId="0F8406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bCs w:val="0"/>
                <w:sz w:val="24"/>
                <w:szCs w:val="24"/>
                <w:highlight w:val="none"/>
                <w:lang w:val="en-US" w:eastAsia="zh-CN"/>
              </w:rPr>
              <w:t>诊疗用水</w:t>
            </w:r>
            <w:r>
              <w:rPr>
                <w:rFonts w:hint="eastAsia" w:ascii="Times New Roman" w:hAnsi="Times New Roman" w:cs="Times New Roman"/>
                <w:b/>
                <w:bCs w:val="0"/>
                <w:sz w:val="24"/>
                <w:szCs w:val="24"/>
                <w:highlight w:val="none"/>
                <w:lang w:val="en-US" w:eastAsia="zh-CN"/>
              </w:rPr>
              <w:t>：</w:t>
            </w:r>
            <w:r>
              <w:rPr>
                <w:rFonts w:hint="eastAsia" w:ascii="Times New Roman" w:hAnsi="Times New Roman" w:eastAsia="宋体" w:cs="Times New Roman"/>
                <w:color w:val="000000"/>
                <w:kern w:val="0"/>
                <w:sz w:val="24"/>
                <w:szCs w:val="24"/>
                <w:highlight w:val="none"/>
                <w:lang w:val="en-US" w:eastAsia="zh-CN" w:bidi="ar"/>
              </w:rPr>
              <w:t>诊疗用水主要为</w:t>
            </w:r>
            <w:r>
              <w:rPr>
                <w:rFonts w:hint="eastAsia" w:cs="Times New Roman"/>
                <w:color w:val="000000"/>
                <w:kern w:val="0"/>
                <w:sz w:val="24"/>
                <w:szCs w:val="24"/>
                <w:highlight w:val="none"/>
                <w:lang w:val="en-US" w:eastAsia="zh-CN" w:bidi="ar"/>
              </w:rPr>
              <w:t>医护人员检查等前后</w:t>
            </w:r>
            <w:r>
              <w:rPr>
                <w:rFonts w:hint="eastAsia" w:ascii="Times New Roman" w:hAnsi="Times New Roman" w:eastAsia="宋体" w:cs="Times New Roman"/>
                <w:color w:val="000000"/>
                <w:kern w:val="0"/>
                <w:sz w:val="24"/>
                <w:szCs w:val="24"/>
                <w:highlight w:val="none"/>
                <w:lang w:val="en-US" w:eastAsia="zh-CN" w:bidi="ar"/>
              </w:rPr>
              <w:t>的洗手用水</w:t>
            </w:r>
            <w:r>
              <w:rPr>
                <w:rFonts w:hint="eastAsia" w:cs="Times New Roman"/>
                <w:b w:val="0"/>
                <w:bCs w:val="0"/>
                <w:color w:val="000000"/>
                <w:kern w:val="2"/>
                <w:sz w:val="24"/>
                <w:szCs w:val="24"/>
                <w:lang w:val="en-US" w:eastAsia="zh-CN" w:bidi="ar-SA"/>
              </w:rPr>
              <w:t>。</w:t>
            </w:r>
            <w:r>
              <w:rPr>
                <w:rFonts w:hint="default" w:ascii="Times New Roman" w:hAnsi="Times New Roman" w:cs="Times New Roman"/>
                <w:b w:val="0"/>
                <w:bCs/>
                <w:sz w:val="24"/>
                <w:szCs w:val="24"/>
                <w:highlight w:val="none"/>
                <w:lang w:val="en-US" w:eastAsia="zh-CN"/>
              </w:rPr>
              <w:t>由于目前宠物医疗用水定额暂未发布相关文件，因此项目诊疗用水参照《建筑给水排水设计标准》</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GB50015-2019</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进行用水量核算，诊疗用水定额取人医活动用水量最大值，按每只宠物15L/d计算，项目每天最大接诊量约</w:t>
            </w:r>
            <w:r>
              <w:rPr>
                <w:rFonts w:hint="eastAsia" w:cs="Times New Roman"/>
                <w:b w:val="0"/>
                <w:bCs/>
                <w:sz w:val="24"/>
                <w:szCs w:val="24"/>
                <w:highlight w:val="none"/>
                <w:lang w:val="en-US" w:eastAsia="zh-CN"/>
              </w:rPr>
              <w:t>14</w:t>
            </w:r>
            <w:r>
              <w:rPr>
                <w:rFonts w:hint="default" w:ascii="Times New Roman" w:hAnsi="Times New Roman" w:cs="Times New Roman"/>
                <w:b w:val="0"/>
                <w:bCs/>
                <w:sz w:val="24"/>
                <w:szCs w:val="24"/>
                <w:highlight w:val="none"/>
                <w:lang w:val="en-US" w:eastAsia="zh-CN"/>
              </w:rPr>
              <w:t>只，即项目诊疗用水量0.</w:t>
            </w:r>
            <w:r>
              <w:rPr>
                <w:rFonts w:hint="eastAsia" w:cs="Times New Roman"/>
                <w:b w:val="0"/>
                <w:bCs/>
                <w:sz w:val="24"/>
                <w:szCs w:val="24"/>
                <w:highlight w:val="none"/>
                <w:lang w:val="en-US" w:eastAsia="zh-CN"/>
              </w:rPr>
              <w:t>21</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76.65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，诊疗废水排污系数按0.9计。</w:t>
            </w:r>
          </w:p>
          <w:p w14:paraId="00BA54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bCs w:val="0"/>
                <w:sz w:val="24"/>
                <w:szCs w:val="24"/>
                <w:highlight w:val="none"/>
                <w:lang w:val="en-US" w:eastAsia="zh-CN"/>
              </w:rPr>
              <w:t>宠物笼清洗用水</w:t>
            </w:r>
            <w:r>
              <w:rPr>
                <w:rFonts w:hint="eastAsia" w:ascii="Times New Roman" w:hAnsi="Times New Roman" w:cs="Times New Roman"/>
                <w:b/>
                <w:bCs w:val="0"/>
                <w:sz w:val="24"/>
                <w:szCs w:val="24"/>
                <w:highlight w:val="none"/>
                <w:lang w:val="en-US" w:eastAsia="zh-CN"/>
              </w:rPr>
              <w:t>：</w:t>
            </w:r>
            <w:r>
              <w:rPr>
                <w:rFonts w:hint="default" w:ascii="Times New Roman" w:hAnsi="Times New Roman" w:cs="Times New Roman"/>
                <w:b w:val="0"/>
                <w:bCs/>
                <w:sz w:val="24"/>
                <w:szCs w:val="24"/>
                <w:highlight w:val="none"/>
                <w:lang w:val="en-US" w:eastAsia="zh-CN"/>
              </w:rPr>
              <w:t>项目宠物笼和排泄物每天需要进行清洁。根据建设单位提供资料并类比同类型宠物医院，宠物笼清洗用水量按5L/笼子计算，则项目宠物笼清洗用水量约0.</w:t>
            </w:r>
            <w:r>
              <w:rPr>
                <w:rFonts w:hint="eastAsia" w:cs="Times New Roman"/>
                <w:b w:val="0"/>
                <w:bCs/>
                <w:sz w:val="24"/>
                <w:szCs w:val="24"/>
                <w:highlight w:val="none"/>
                <w:lang w:val="en-US" w:eastAsia="zh-CN"/>
              </w:rPr>
              <w:t>13</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cs="Times New Roman"/>
                <w:b w:val="0"/>
                <w:bCs/>
                <w:sz w:val="24"/>
                <w:szCs w:val="24"/>
                <w:highlight w:val="none"/>
                <w:lang w:val="en-US" w:eastAsia="zh-CN"/>
              </w:rPr>
              <w:t>47.45</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lang w:val="en-US" w:eastAsia="zh-CN"/>
              </w:rPr>
              <w:t>a)。宠物笼清洗废水排污系数按0.9计。</w:t>
            </w:r>
          </w:p>
          <w:p w14:paraId="35E50C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bCs w:val="0"/>
                <w:sz w:val="24"/>
                <w:szCs w:val="24"/>
                <w:highlight w:val="none"/>
                <w:lang w:val="en-US" w:eastAsia="zh-CN"/>
              </w:rPr>
              <w:t>宠物饮用水</w:t>
            </w:r>
            <w:r>
              <w:rPr>
                <w:rFonts w:hint="eastAsia" w:ascii="Times New Roman" w:hAnsi="Times New Roman" w:cs="Times New Roman"/>
                <w:b/>
                <w:bCs w:val="0"/>
                <w:sz w:val="24"/>
                <w:szCs w:val="24"/>
                <w:highlight w:val="none"/>
                <w:lang w:val="en-US" w:eastAsia="zh-CN"/>
              </w:rPr>
              <w:t>：</w:t>
            </w:r>
            <w:r>
              <w:rPr>
                <w:rFonts w:hint="default" w:ascii="Times New Roman" w:hAnsi="Times New Roman" w:cs="Times New Roman"/>
                <w:b w:val="0"/>
                <w:bCs/>
                <w:sz w:val="24"/>
                <w:szCs w:val="24"/>
                <w:highlight w:val="none"/>
                <w:lang w:val="en-US" w:eastAsia="zh-CN"/>
              </w:rPr>
              <w:t>项目设置有</w:t>
            </w:r>
            <w:r>
              <w:rPr>
                <w:rFonts w:hint="eastAsia" w:cs="Times New Roman"/>
                <w:b w:val="0"/>
                <w:bCs/>
                <w:sz w:val="24"/>
                <w:szCs w:val="24"/>
                <w:highlight w:val="none"/>
                <w:lang w:val="en-US" w:eastAsia="zh-CN"/>
              </w:rPr>
              <w:t>住院区，设有13个猫笼和7个狗笼</w:t>
            </w:r>
            <w:r>
              <w:rPr>
                <w:rFonts w:hint="default" w:ascii="Times New Roman" w:hAnsi="Times New Roman" w:cs="Times New Roman"/>
                <w:b w:val="0"/>
                <w:bCs/>
                <w:sz w:val="24"/>
                <w:szCs w:val="24"/>
                <w:highlight w:val="none"/>
                <w:lang w:val="en-US" w:eastAsia="zh-CN"/>
              </w:rPr>
              <w:t>，隔离病房</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共计</w:t>
            </w:r>
            <w:r>
              <w:rPr>
                <w:rFonts w:hint="eastAsia" w:cs="Times New Roman"/>
                <w:b w:val="0"/>
                <w:bCs/>
                <w:sz w:val="24"/>
                <w:szCs w:val="24"/>
                <w:highlight w:val="none"/>
                <w:lang w:val="en-US" w:eastAsia="zh-CN"/>
              </w:rPr>
              <w:t>6</w:t>
            </w:r>
            <w:r>
              <w:rPr>
                <w:rFonts w:hint="default" w:ascii="Times New Roman" w:hAnsi="Times New Roman" w:cs="Times New Roman"/>
                <w:b w:val="0"/>
                <w:bCs/>
                <w:sz w:val="24"/>
                <w:szCs w:val="24"/>
                <w:highlight w:val="none"/>
                <w:lang w:val="en-US" w:eastAsia="zh-CN"/>
              </w:rPr>
              <w:t>个笼子</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，项目住院宠物最大量按</w:t>
            </w:r>
            <w:r>
              <w:rPr>
                <w:rFonts w:hint="eastAsia" w:cs="Times New Roman"/>
                <w:b w:val="0"/>
                <w:bCs/>
                <w:sz w:val="24"/>
                <w:szCs w:val="24"/>
                <w:highlight w:val="none"/>
                <w:lang w:val="en-US" w:eastAsia="zh-CN"/>
              </w:rPr>
              <w:t>26</w:t>
            </w:r>
            <w:r>
              <w:rPr>
                <w:rFonts w:hint="default" w:ascii="Times New Roman" w:hAnsi="Times New Roman" w:cs="Times New Roman"/>
                <w:b w:val="0"/>
                <w:bCs/>
                <w:sz w:val="24"/>
                <w:szCs w:val="24"/>
                <w:highlight w:val="none"/>
                <w:lang w:val="en-US" w:eastAsia="zh-CN"/>
              </w:rPr>
              <w:t>个/d进行核算，其中猫约</w:t>
            </w:r>
            <w:r>
              <w:rPr>
                <w:rFonts w:hint="eastAsia" w:cs="Times New Roman"/>
                <w:b w:val="0"/>
                <w:bCs/>
                <w:sz w:val="24"/>
                <w:szCs w:val="24"/>
                <w:highlight w:val="none"/>
                <w:lang w:val="en-US" w:eastAsia="zh-CN"/>
              </w:rPr>
              <w:t>16</w:t>
            </w:r>
            <w:r>
              <w:rPr>
                <w:rFonts w:hint="default" w:ascii="Times New Roman" w:hAnsi="Times New Roman" w:cs="Times New Roman"/>
                <w:b w:val="0"/>
                <w:bCs/>
                <w:sz w:val="24"/>
                <w:szCs w:val="24"/>
                <w:highlight w:val="none"/>
                <w:lang w:val="en-US" w:eastAsia="zh-CN"/>
              </w:rPr>
              <w:t>个，犬约</w:t>
            </w:r>
            <w:r>
              <w:rPr>
                <w:rFonts w:hint="eastAsia" w:cs="Times New Roman"/>
                <w:b w:val="0"/>
                <w:bCs/>
                <w:sz w:val="24"/>
                <w:szCs w:val="24"/>
                <w:highlight w:val="none"/>
                <w:lang w:val="en-US" w:eastAsia="zh-CN"/>
              </w:rPr>
              <w:t>10</w:t>
            </w:r>
            <w:r>
              <w:rPr>
                <w:rFonts w:hint="default" w:ascii="Times New Roman" w:hAnsi="Times New Roman" w:cs="Times New Roman"/>
                <w:b w:val="0"/>
                <w:bCs/>
                <w:sz w:val="24"/>
                <w:szCs w:val="24"/>
                <w:highlight w:val="none"/>
                <w:lang w:val="en-US" w:eastAsia="zh-CN"/>
              </w:rPr>
              <w:t>个。根据查询相关资料，猫每天饮用水量约40~60ml/kg，猫重量约2.5kg~8kg，项目猫饮用水量取50ml/kg，重量取平均值6kg只进行计算，则猫饮用水量约0.00</w:t>
            </w:r>
            <w:r>
              <w:rPr>
                <w:rFonts w:hint="eastAsia" w:cs="Times New Roman"/>
                <w:b w:val="0"/>
                <w:bCs/>
                <w:sz w:val="24"/>
                <w:szCs w:val="24"/>
                <w:highlight w:val="none"/>
                <w:lang w:val="en-US" w:eastAsia="zh-CN"/>
              </w:rPr>
              <w:t>48</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1.752</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。猫的排泄物直接通过猫砂盆进行收集。</w:t>
            </w:r>
          </w:p>
          <w:p w14:paraId="458136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根据查询相关资料，犬分为小型犬、中型犬、大型犬。项目接诊的小型犬体重约4~10kg/只，中型犬体重约10kg~30kg/只，大型犬体重约30kg~50kg/只，项目按照均值取各类型犬的重量，即小型犬取7kg/只，中型犬取20kg/只，大型犬取40kg/只，项目住院犬饮用水量按60ml/kg-狗进行核算。根据建设单位提供资料，项目接待的各类型犬的比例约为小型犬</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中型犬</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大型犬</w:t>
            </w:r>
            <w:r>
              <w:rPr>
                <w:rFonts w:hint="default" w:ascii="Times New Roman" w:hAnsi="Times New Roman" w:cs="Times New Roman"/>
                <w:b w:val="0"/>
                <w:bCs/>
                <w:sz w:val="24"/>
                <w:szCs w:val="24"/>
                <w:highlight w:val="none"/>
                <w:lang w:val="en-US" w:eastAsia="zh-CN"/>
              </w:rPr>
              <w:t>=6</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3</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1，则项目每天住院宠物的小型犬约</w:t>
            </w:r>
            <w:r>
              <w:rPr>
                <w:rFonts w:hint="eastAsia" w:cs="Times New Roman"/>
                <w:b w:val="0"/>
                <w:bCs/>
                <w:sz w:val="24"/>
                <w:szCs w:val="24"/>
                <w:highlight w:val="none"/>
                <w:lang w:val="en-US" w:eastAsia="zh-CN"/>
              </w:rPr>
              <w:t>6</w:t>
            </w:r>
            <w:r>
              <w:rPr>
                <w:rFonts w:hint="default" w:ascii="Times New Roman" w:hAnsi="Times New Roman" w:cs="Times New Roman"/>
                <w:b w:val="0"/>
                <w:bCs/>
                <w:sz w:val="24"/>
                <w:szCs w:val="24"/>
                <w:highlight w:val="none"/>
                <w:lang w:val="en-US" w:eastAsia="zh-CN"/>
              </w:rPr>
              <w:t>只，中型犬约</w:t>
            </w:r>
            <w:r>
              <w:rPr>
                <w:rFonts w:hint="eastAsia" w:cs="Times New Roman"/>
                <w:b w:val="0"/>
                <w:bCs/>
                <w:sz w:val="24"/>
                <w:szCs w:val="24"/>
                <w:highlight w:val="none"/>
                <w:lang w:val="en-US" w:eastAsia="zh-CN"/>
              </w:rPr>
              <w:t>3</w:t>
            </w:r>
            <w:r>
              <w:rPr>
                <w:rFonts w:hint="default" w:ascii="Times New Roman" w:hAnsi="Times New Roman" w:cs="Times New Roman"/>
                <w:b w:val="0"/>
                <w:bCs/>
                <w:sz w:val="24"/>
                <w:szCs w:val="24"/>
                <w:highlight w:val="none"/>
                <w:lang w:val="en-US" w:eastAsia="zh-CN"/>
              </w:rPr>
              <w:t>只，大型犬约</w:t>
            </w:r>
            <w:r>
              <w:rPr>
                <w:rFonts w:hint="eastAsia" w:cs="Times New Roman"/>
                <w:b w:val="0"/>
                <w:bCs/>
                <w:sz w:val="24"/>
                <w:szCs w:val="24"/>
                <w:highlight w:val="none"/>
                <w:lang w:val="en-US" w:eastAsia="zh-CN"/>
              </w:rPr>
              <w:t>1</w:t>
            </w:r>
            <w:r>
              <w:rPr>
                <w:rFonts w:hint="default" w:ascii="Times New Roman" w:hAnsi="Times New Roman" w:cs="Times New Roman"/>
                <w:b w:val="0"/>
                <w:bCs/>
                <w:sz w:val="24"/>
                <w:szCs w:val="24"/>
                <w:highlight w:val="none"/>
                <w:lang w:val="en-US" w:eastAsia="zh-CN"/>
              </w:rPr>
              <w:t>只。则住院宠物小型大用水量约0.00</w:t>
            </w:r>
            <w:r>
              <w:rPr>
                <w:rFonts w:hint="eastAsia" w:cs="Times New Roman"/>
                <w:b w:val="0"/>
                <w:bCs/>
                <w:sz w:val="24"/>
                <w:szCs w:val="24"/>
                <w:highlight w:val="none"/>
                <w:lang w:val="en-US" w:eastAsia="zh-CN"/>
              </w:rPr>
              <w:t>252</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0.9198</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，中型大用水量约0.00</w:t>
            </w:r>
            <w:r>
              <w:rPr>
                <w:rFonts w:hint="eastAsia" w:cs="Times New Roman"/>
                <w:b w:val="0"/>
                <w:bCs/>
                <w:sz w:val="24"/>
                <w:szCs w:val="24"/>
                <w:highlight w:val="none"/>
                <w:lang w:val="en-US" w:eastAsia="zh-CN"/>
              </w:rPr>
              <w:t>36</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1.314</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大型大用水量约0.00</w:t>
            </w:r>
            <w:r>
              <w:rPr>
                <w:rFonts w:hint="eastAsia" w:cs="Times New Roman"/>
                <w:b w:val="0"/>
                <w:bCs/>
                <w:sz w:val="24"/>
                <w:szCs w:val="24"/>
                <w:highlight w:val="none"/>
                <w:lang w:val="en-US" w:eastAsia="zh-CN"/>
              </w:rPr>
              <w:t>24</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0.876</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p>
          <w:p w14:paraId="195747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color w:val="auto"/>
                <w:sz w:val="24"/>
                <w:szCs w:val="24"/>
                <w:lang w:val="en-US" w:eastAsia="zh-CN"/>
              </w:rPr>
              <w:t>门诊饮水按</w:t>
            </w:r>
            <w:r>
              <w:rPr>
                <w:rFonts w:hint="eastAsia" w:ascii="Times New Roman" w:hAnsi="Times New Roman" w:eastAsia="宋体" w:cs="Times New Roman"/>
                <w:b w:val="0"/>
                <w:bCs w:val="0"/>
                <w:color w:val="000000"/>
                <w:kern w:val="2"/>
                <w:sz w:val="24"/>
                <w:szCs w:val="24"/>
                <w:lang w:val="en-US" w:eastAsia="zh-CN" w:bidi="ar-SA"/>
              </w:rPr>
              <w:t>30</w:t>
            </w:r>
            <w:r>
              <w:rPr>
                <w:rFonts w:hint="eastAsia" w:cs="Times New Roman"/>
                <w:b w:val="0"/>
                <w:bCs w:val="0"/>
                <w:color w:val="000000"/>
                <w:kern w:val="2"/>
                <w:sz w:val="24"/>
                <w:szCs w:val="24"/>
                <w:lang w:val="en-US" w:eastAsia="zh-CN" w:bidi="ar-SA"/>
              </w:rPr>
              <w:t>0</w:t>
            </w:r>
            <w:r>
              <w:rPr>
                <w:rFonts w:hint="eastAsia" w:ascii="Times New Roman" w:hAnsi="Times New Roman" w:eastAsia="宋体" w:cs="Times New Roman"/>
                <w:b w:val="0"/>
                <w:bCs w:val="0"/>
                <w:color w:val="000000"/>
                <w:kern w:val="2"/>
                <w:sz w:val="24"/>
                <w:szCs w:val="24"/>
                <w:lang w:val="en-US" w:eastAsia="zh-CN" w:bidi="ar-SA"/>
              </w:rPr>
              <w:t>mL/只</w:t>
            </w:r>
            <w:r>
              <w:rPr>
                <w:rFonts w:hint="default" w:ascii="Times New Roman" w:hAnsi="Times New Roman" w:eastAsia="宋体" w:cs="Times New Roman"/>
                <w:color w:val="auto"/>
                <w:sz w:val="24"/>
                <w:szCs w:val="24"/>
              </w:rPr>
              <w:t>·d计</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每天最多接诊宠物数量为1</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只，则接诊宠物饮水量为</w:t>
            </w:r>
            <w:r>
              <w:rPr>
                <w:rFonts w:hint="default" w:ascii="Times New Roman" w:hAnsi="Times New Roman" w:cs="Times New Roman"/>
                <w:b w:val="0"/>
                <w:bCs/>
                <w:sz w:val="24"/>
                <w:szCs w:val="24"/>
                <w:highlight w:val="none"/>
                <w:lang w:val="en-US" w:eastAsia="zh-CN"/>
              </w:rPr>
              <w:t>0.00</w:t>
            </w:r>
            <w:r>
              <w:rPr>
                <w:rFonts w:hint="eastAsia" w:cs="Times New Roman"/>
                <w:b w:val="0"/>
                <w:bCs/>
                <w:sz w:val="24"/>
                <w:szCs w:val="24"/>
                <w:highlight w:val="none"/>
                <w:lang w:val="en-US" w:eastAsia="zh-CN"/>
              </w:rPr>
              <w:t>42</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1.533</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p>
          <w:p w14:paraId="1343FC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猫住院及诊疗期间产生的粪便与尿液均可使用猫砂盒收集，日常工作人员及时清理猫砂盒，清理出的猫砂使用消毒剂消毒后收集集中处置。狗笼内设置排便与排尿盒，犬住院与诊疗期间排污采取干湿分离，犬尿液排放比例约40%，进入</w:t>
            </w:r>
            <w:r>
              <w:rPr>
                <w:rFonts w:hint="eastAsia" w:cs="Times New Roman"/>
                <w:b w:val="0"/>
                <w:bCs/>
                <w:sz w:val="24"/>
                <w:szCs w:val="24"/>
                <w:highlight w:val="none"/>
                <w:lang w:val="en-US" w:eastAsia="zh-CN"/>
              </w:rPr>
              <w:t>消毒设施</w:t>
            </w:r>
            <w:r>
              <w:rPr>
                <w:rFonts w:hint="default" w:ascii="Times New Roman" w:hAnsi="Times New Roman" w:cs="Times New Roman"/>
                <w:b w:val="0"/>
                <w:bCs/>
                <w:sz w:val="24"/>
                <w:szCs w:val="24"/>
                <w:highlight w:val="none"/>
                <w:lang w:val="en-US" w:eastAsia="zh-CN"/>
              </w:rPr>
              <w:t>进行消毒，粪污使用</w:t>
            </w:r>
            <w:r>
              <w:rPr>
                <w:rFonts w:hint="eastAsia" w:cs="Times New Roman"/>
                <w:b w:val="0"/>
                <w:bCs/>
                <w:sz w:val="24"/>
                <w:szCs w:val="24"/>
                <w:highlight w:val="none"/>
                <w:lang w:val="en-US" w:eastAsia="zh-CN"/>
              </w:rPr>
              <w:t>84消毒液</w:t>
            </w:r>
            <w:r>
              <w:rPr>
                <w:rFonts w:hint="default" w:ascii="Times New Roman" w:hAnsi="Times New Roman" w:cs="Times New Roman"/>
                <w:b w:val="0"/>
                <w:bCs/>
                <w:sz w:val="24"/>
                <w:szCs w:val="24"/>
                <w:highlight w:val="none"/>
                <w:lang w:val="en-US" w:eastAsia="zh-CN"/>
              </w:rPr>
              <w:t>消毒后收集集中处置，排便与排尿盒清洗用排水已纳入宠物笼清洗用排水，不再单独核算。将处理后的动物粪污消毒后打包交由环卫部门收运处置。</w:t>
            </w:r>
          </w:p>
          <w:p w14:paraId="5FF26EC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综上，宠物饮用水量约</w:t>
            </w:r>
            <w:r>
              <w:rPr>
                <w:rFonts w:hint="eastAsia" w:cs="Times New Roman"/>
                <w:b w:val="0"/>
                <w:bCs/>
                <w:sz w:val="24"/>
                <w:szCs w:val="24"/>
                <w:highlight w:val="none"/>
                <w:lang w:val="en-US" w:eastAsia="zh-CN"/>
              </w:rPr>
              <w:t>0.01752</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6.3948</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p>
          <w:p w14:paraId="35CBEA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eastAsia" w:cs="Times New Roman"/>
                <w:b w:val="0"/>
                <w:bCs/>
                <w:sz w:val="24"/>
                <w:szCs w:val="24"/>
                <w:highlight w:val="none"/>
                <w:lang w:val="en-US" w:eastAsia="zh-CN"/>
              </w:rPr>
              <w:t>③其他用水</w:t>
            </w:r>
          </w:p>
          <w:p w14:paraId="40AB443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地面清洁用水</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项目地面采用拖布拖地</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清洁用水里添加84消毒液进行消毒</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，地面清洁用水按照2L</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2</w:t>
            </w:r>
            <w:r>
              <w:rPr>
                <w:rFonts w:hint="default" w:ascii="Times New Roman" w:hAnsi="Times New Roman" w:cs="Times New Roman"/>
                <w:b w:val="0"/>
                <w:bCs/>
                <w:sz w:val="24"/>
                <w:szCs w:val="24"/>
                <w:highlight w:val="none"/>
                <w:vertAlign w:val="baseline"/>
                <w:lang w:val="en-US" w:eastAsia="zh-CN"/>
              </w:rPr>
              <w:t>·</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，项目需要清洁的地面面积约</w:t>
            </w:r>
            <w:r>
              <w:rPr>
                <w:rFonts w:hint="eastAsia" w:cs="Times New Roman"/>
                <w:b w:val="0"/>
                <w:bCs/>
                <w:sz w:val="24"/>
                <w:szCs w:val="24"/>
                <w:highlight w:val="none"/>
                <w:lang w:val="en-US" w:eastAsia="zh-CN"/>
              </w:rPr>
              <w:t>120</w:t>
            </w:r>
            <w:r>
              <w:rPr>
                <w:rFonts w:hint="default"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2</w:t>
            </w:r>
            <w:r>
              <w:rPr>
                <w:rFonts w:hint="default" w:ascii="Times New Roman" w:hAnsi="Times New Roman" w:cs="Times New Roman"/>
                <w:b w:val="0"/>
                <w:bCs/>
                <w:sz w:val="24"/>
                <w:szCs w:val="24"/>
                <w:highlight w:val="none"/>
                <w:lang w:val="en-US" w:eastAsia="zh-CN"/>
              </w:rPr>
              <w:t>，则地面清洁用水量0.</w:t>
            </w:r>
            <w:r>
              <w:rPr>
                <w:rFonts w:hint="eastAsia" w:cs="Times New Roman"/>
                <w:b w:val="0"/>
                <w:bCs/>
                <w:sz w:val="24"/>
                <w:szCs w:val="24"/>
                <w:highlight w:val="none"/>
                <w:lang w:val="en-US" w:eastAsia="zh-CN"/>
              </w:rPr>
              <w:t>24</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r>
              <w:rPr>
                <w:rFonts w:hint="eastAsia" w:cs="Times New Roman"/>
                <w:b w:val="0"/>
                <w:bCs/>
                <w:sz w:val="24"/>
                <w:szCs w:val="24"/>
                <w:highlight w:val="none"/>
                <w:lang w:val="en-US" w:eastAsia="zh-CN"/>
              </w:rPr>
              <w:t>87.6</w:t>
            </w:r>
            <w:r>
              <w:rPr>
                <w:rFonts w:hint="default" w:ascii="Times New Roman" w:hAnsi="Times New Roman" w:cs="Times New Roman"/>
                <w:b w:val="0"/>
                <w:bCs/>
                <w:sz w:val="24"/>
                <w:szCs w:val="24"/>
                <w:highlight w:val="none"/>
                <w:lang w:val="en-US" w:eastAsia="zh-CN"/>
              </w:rPr>
              <w:t>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/a</w:t>
            </w:r>
            <w:r>
              <w:rPr>
                <w:rFonts w:hint="eastAsia" w:ascii="Times New Roman" w:hAnsi="Times New Roman" w:cs="Times New Roman"/>
                <w:b w:val="0"/>
                <w:bCs/>
                <w:sz w:val="24"/>
                <w:szCs w:val="24"/>
                <w:highlight w:val="none"/>
                <w:lang w:val="en-US" w:eastAsia="zh-CN"/>
              </w:rPr>
              <w:t>）</w:t>
            </w:r>
            <w:r>
              <w:rPr>
                <w:rFonts w:hint="default" w:ascii="Times New Roman" w:hAnsi="Times New Roman" w:cs="Times New Roman"/>
                <w:b w:val="0"/>
                <w:bCs/>
                <w:sz w:val="24"/>
                <w:szCs w:val="24"/>
                <w:highlight w:val="none"/>
                <w:lang w:val="en-US" w:eastAsia="zh-CN"/>
              </w:rPr>
              <w:t>。地面清洁废水排污系数按0.9计。</w:t>
            </w:r>
          </w:p>
          <w:p w14:paraId="321018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eastAsia" w:ascii="Times New Roman" w:hAnsi="Times New Roman" w:eastAsia="宋体" w:cs="Times New Roman"/>
                <w:b w:val="0"/>
                <w:bCs w:val="0"/>
                <w:color w:val="000000"/>
                <w:kern w:val="2"/>
                <w:sz w:val="24"/>
                <w:szCs w:val="24"/>
                <w:lang w:val="en-US" w:eastAsia="zh-CN" w:bidi="ar-SA"/>
              </w:rPr>
              <w:t>工服清洗用水：员工工服需进行清洗消毒，洗涤时先使用84消毒液进行浸泡消毒之后再使用洗衣液进行洗涤，根据《建筑给水排水设计标准》（GB 50015-2019），</w:t>
            </w:r>
            <w:r>
              <w:rPr>
                <w:rFonts w:hint="eastAsia" w:cs="Times New Roman"/>
                <w:b w:val="0"/>
                <w:bCs w:val="0"/>
                <w:color w:val="000000"/>
                <w:kern w:val="2"/>
                <w:sz w:val="24"/>
                <w:szCs w:val="24"/>
                <w:lang w:val="en-US" w:eastAsia="zh-CN" w:bidi="ar-SA"/>
              </w:rPr>
              <w:t>工服清洗</w:t>
            </w:r>
            <w:r>
              <w:rPr>
                <w:rFonts w:hint="eastAsia" w:ascii="Times New Roman" w:hAnsi="Times New Roman" w:eastAsia="宋体" w:cs="Times New Roman"/>
                <w:b w:val="0"/>
                <w:bCs w:val="0"/>
                <w:color w:val="000000"/>
                <w:kern w:val="2"/>
                <w:sz w:val="24"/>
                <w:szCs w:val="24"/>
                <w:lang w:val="en-US" w:eastAsia="zh-CN" w:bidi="ar-SA"/>
              </w:rPr>
              <w:t>用水量按照60L/kg干衣物计算，本项目平均每天清洗工服重量约5kg，则工服清洗用水量为0.3m</w:t>
            </w:r>
            <w:r>
              <w:rPr>
                <w:rFonts w:hint="eastAsia" w:ascii="Times New Roman" w:hAnsi="Times New Roman" w:eastAsia="宋体" w:cs="Times New Roman"/>
                <w:b w:val="0"/>
                <w:bCs w:val="0"/>
                <w:color w:val="000000"/>
                <w:kern w:val="2"/>
                <w:sz w:val="24"/>
                <w:szCs w:val="24"/>
                <w:vertAlign w:val="superscript"/>
                <w:lang w:val="en-US" w:eastAsia="zh-CN" w:bidi="ar-SA"/>
              </w:rPr>
              <w:t>3</w:t>
            </w:r>
            <w:r>
              <w:rPr>
                <w:rFonts w:hint="eastAsia" w:ascii="Times New Roman" w:hAnsi="Times New Roman" w:eastAsia="宋体" w:cs="Times New Roman"/>
                <w:b w:val="0"/>
                <w:bCs w:val="0"/>
                <w:color w:val="000000"/>
                <w:kern w:val="2"/>
                <w:sz w:val="24"/>
                <w:szCs w:val="24"/>
                <w:lang w:val="en-US" w:eastAsia="zh-CN" w:bidi="ar-SA"/>
              </w:rPr>
              <w:t>/d（109.5m</w:t>
            </w:r>
            <w:r>
              <w:rPr>
                <w:rFonts w:hint="eastAsia" w:ascii="Times New Roman" w:hAnsi="Times New Roman" w:eastAsia="宋体" w:cs="Times New Roman"/>
                <w:b w:val="0"/>
                <w:bCs w:val="0"/>
                <w:color w:val="000000"/>
                <w:kern w:val="2"/>
                <w:sz w:val="24"/>
                <w:szCs w:val="24"/>
                <w:vertAlign w:val="superscript"/>
                <w:lang w:val="en-US" w:eastAsia="zh-CN" w:bidi="ar-SA"/>
              </w:rPr>
              <w:t>3</w:t>
            </w:r>
            <w:r>
              <w:rPr>
                <w:rFonts w:hint="eastAsia" w:ascii="Times New Roman" w:hAnsi="Times New Roman" w:eastAsia="宋体" w:cs="Times New Roman"/>
                <w:b w:val="0"/>
                <w:bCs w:val="0"/>
                <w:color w:val="000000"/>
                <w:kern w:val="2"/>
                <w:sz w:val="24"/>
                <w:szCs w:val="24"/>
                <w:lang w:val="en-US" w:eastAsia="zh-CN" w:bidi="ar-SA"/>
              </w:rPr>
              <w:t>/a），</w:t>
            </w:r>
            <w:r>
              <w:rPr>
                <w:rFonts w:hint="default" w:ascii="Times New Roman" w:hAnsi="Times New Roman" w:eastAsia="宋体" w:cs="Times New Roman"/>
                <w:color w:val="auto"/>
                <w:sz w:val="24"/>
                <w:szCs w:val="24"/>
              </w:rPr>
              <w:t>产污系数以0.9计，则</w:t>
            </w:r>
            <w:r>
              <w:rPr>
                <w:rFonts w:hint="eastAsia" w:ascii="Times New Roman" w:hAnsi="Times New Roman" w:eastAsia="宋体" w:cs="Times New Roman"/>
                <w:color w:val="auto"/>
                <w:sz w:val="24"/>
                <w:szCs w:val="24"/>
                <w:lang w:val="en-US" w:eastAsia="zh-CN"/>
              </w:rPr>
              <w:t>工服清洗废水</w:t>
            </w:r>
            <w:r>
              <w:rPr>
                <w:rFonts w:hint="default" w:ascii="Times New Roman" w:hAnsi="Times New Roman" w:eastAsia="宋体" w:cs="Times New Roman"/>
                <w:color w:val="auto"/>
                <w:sz w:val="24"/>
                <w:szCs w:val="24"/>
              </w:rPr>
              <w:t>产生量</w:t>
            </w:r>
            <w:r>
              <w:rPr>
                <w:rFonts w:hint="eastAsia" w:ascii="Times New Roman" w:hAnsi="Times New Roman" w:eastAsia="宋体" w:cs="Times New Roman"/>
                <w:color w:val="auto"/>
                <w:sz w:val="24"/>
                <w:szCs w:val="24"/>
                <w:lang w:val="en-US" w:eastAsia="zh-CN"/>
              </w:rPr>
              <w:t>为0.27</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lang w:val="en-US" w:eastAsia="zh-CN"/>
              </w:rPr>
              <w:t>98.55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p>
          <w:p w14:paraId="0E6240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项目用排水情况一览表详见表2.8-1。</w:t>
            </w:r>
          </w:p>
          <w:p w14:paraId="4AA494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lang w:val="en-US" w:eastAsia="zh-CN"/>
              </w:rPr>
              <w:t>表2.8-1项目用排水量核算一览表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916"/>
              <w:gridCol w:w="916"/>
              <w:gridCol w:w="1081"/>
              <w:gridCol w:w="1143"/>
              <w:gridCol w:w="1128"/>
              <w:gridCol w:w="1143"/>
              <w:gridCol w:w="1147"/>
            </w:tblGrid>
            <w:tr w14:paraId="709FF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2" w:type="pct"/>
                  <w:gridSpan w:val="2"/>
                  <w:tcBorders>
                    <w:tl2br w:val="nil"/>
                    <w:tr2bl w:val="nil"/>
                  </w:tcBorders>
                  <w:vAlign w:val="center"/>
                </w:tcPr>
                <w:p w14:paraId="38DCE4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类别</w:t>
                  </w:r>
                </w:p>
              </w:tc>
              <w:tc>
                <w:tcPr>
                  <w:tcW w:w="547" w:type="pct"/>
                  <w:tcBorders>
                    <w:tl2br w:val="nil"/>
                    <w:tr2bl w:val="nil"/>
                  </w:tcBorders>
                  <w:vAlign w:val="center"/>
                </w:tcPr>
                <w:p w14:paraId="4288F7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规模</w:t>
                  </w:r>
                </w:p>
              </w:tc>
              <w:tc>
                <w:tcPr>
                  <w:tcW w:w="645" w:type="pct"/>
                  <w:tcBorders>
                    <w:tl2br w:val="nil"/>
                    <w:tr2bl w:val="nil"/>
                  </w:tcBorders>
                  <w:vAlign w:val="center"/>
                </w:tcPr>
                <w:p w14:paraId="1E7AC4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用水定额</w:t>
                  </w:r>
                </w:p>
              </w:tc>
              <w:tc>
                <w:tcPr>
                  <w:tcW w:w="683" w:type="pct"/>
                  <w:tcBorders>
                    <w:tl2br w:val="nil"/>
                    <w:tr2bl w:val="nil"/>
                  </w:tcBorders>
                  <w:vAlign w:val="center"/>
                </w:tcPr>
                <w:p w14:paraId="2534F8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用水</w:t>
                  </w:r>
                  <w:r>
                    <w:rPr>
                      <w:rFonts w:hint="eastAsia" w:ascii="Times New Roman" w:hAnsi="Times New Roman" w:cs="Times New Roman"/>
                      <w:b w:val="0"/>
                      <w:bCs/>
                      <w:sz w:val="21"/>
                      <w:szCs w:val="21"/>
                      <w:highlight w:val="none"/>
                      <w:vertAlign w:val="baseline"/>
                      <w:lang w:val="en-US" w:eastAsia="zh-CN"/>
                    </w:rPr>
                    <w:t>量（m</w:t>
                  </w:r>
                  <w:r>
                    <w:rPr>
                      <w:rFonts w:hint="eastAsia" w:ascii="Times New Roman" w:hAnsi="Times New Roman" w:cs="Times New Roman"/>
                      <w:b w:val="0"/>
                      <w:bCs/>
                      <w:sz w:val="21"/>
                      <w:szCs w:val="21"/>
                      <w:highlight w:val="none"/>
                      <w:vertAlign w:val="superscript"/>
                      <w:lang w:val="en-US" w:eastAsia="zh-CN"/>
                    </w:rPr>
                    <w:t>3</w:t>
                  </w:r>
                  <w:r>
                    <w:rPr>
                      <w:rFonts w:hint="eastAsia" w:ascii="Times New Roman" w:hAnsi="Times New Roman" w:cs="Times New Roman"/>
                      <w:b w:val="0"/>
                      <w:bCs/>
                      <w:sz w:val="21"/>
                      <w:szCs w:val="21"/>
                      <w:highlight w:val="none"/>
                      <w:vertAlign w:val="baseline"/>
                      <w:lang w:val="en-US" w:eastAsia="zh-CN"/>
                    </w:rPr>
                    <w:t>/d）</w:t>
                  </w:r>
                </w:p>
              </w:tc>
              <w:tc>
                <w:tcPr>
                  <w:tcW w:w="674" w:type="pct"/>
                  <w:tcBorders>
                    <w:tl2br w:val="nil"/>
                    <w:tr2bl w:val="nil"/>
                  </w:tcBorders>
                  <w:vAlign w:val="center"/>
                </w:tcPr>
                <w:p w14:paraId="61CD462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用水</w:t>
                  </w:r>
                  <w:r>
                    <w:rPr>
                      <w:rFonts w:hint="eastAsia" w:ascii="Times New Roman" w:hAnsi="Times New Roman" w:cs="Times New Roman"/>
                      <w:b w:val="0"/>
                      <w:bCs/>
                      <w:sz w:val="21"/>
                      <w:szCs w:val="21"/>
                      <w:highlight w:val="none"/>
                      <w:vertAlign w:val="baseline"/>
                      <w:lang w:val="en-US" w:eastAsia="zh-CN"/>
                    </w:rPr>
                    <w:t>量（m</w:t>
                  </w:r>
                  <w:r>
                    <w:rPr>
                      <w:rFonts w:hint="eastAsia" w:ascii="Times New Roman" w:hAnsi="Times New Roman" w:cs="Times New Roman"/>
                      <w:b w:val="0"/>
                      <w:bCs/>
                      <w:sz w:val="21"/>
                      <w:szCs w:val="21"/>
                      <w:highlight w:val="none"/>
                      <w:vertAlign w:val="superscript"/>
                      <w:lang w:val="en-US" w:eastAsia="zh-CN"/>
                    </w:rPr>
                    <w:t>3</w:t>
                  </w:r>
                  <w:r>
                    <w:rPr>
                      <w:rFonts w:hint="eastAsia" w:ascii="Times New Roman" w:hAnsi="Times New Roman" w:cs="Times New Roman"/>
                      <w:b w:val="0"/>
                      <w:bCs/>
                      <w:sz w:val="21"/>
                      <w:szCs w:val="21"/>
                      <w:highlight w:val="none"/>
                      <w:vertAlign w:val="baseline"/>
                      <w:lang w:val="en-US" w:eastAsia="zh-CN"/>
                    </w:rPr>
                    <w:t>/a）</w:t>
                  </w:r>
                </w:p>
              </w:tc>
              <w:tc>
                <w:tcPr>
                  <w:tcW w:w="683" w:type="pct"/>
                  <w:tcBorders>
                    <w:tl2br w:val="nil"/>
                    <w:tr2bl w:val="nil"/>
                  </w:tcBorders>
                  <w:shd w:val="clear" w:color="auto" w:fill="auto"/>
                  <w:vAlign w:val="center"/>
                </w:tcPr>
                <w:p w14:paraId="19F8A9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kern w:val="2"/>
                      <w:sz w:val="21"/>
                      <w:szCs w:val="21"/>
                      <w:highlight w:val="none"/>
                      <w:vertAlign w:val="baseline"/>
                      <w:lang w:val="en-US" w:eastAsia="zh-CN" w:bidi="ar-SA"/>
                    </w:rPr>
                  </w:pPr>
                  <w:r>
                    <w:rPr>
                      <w:rFonts w:hint="eastAsia" w:ascii="Times New Roman" w:hAnsi="Times New Roman" w:cs="Times New Roman"/>
                      <w:b w:val="0"/>
                      <w:bCs/>
                      <w:sz w:val="21"/>
                      <w:szCs w:val="21"/>
                      <w:highlight w:val="none"/>
                      <w:vertAlign w:val="baseline"/>
                      <w:lang w:val="en-US" w:eastAsia="zh-CN"/>
                    </w:rPr>
                    <w:t>排放量（m</w:t>
                  </w:r>
                  <w:r>
                    <w:rPr>
                      <w:rFonts w:hint="eastAsia" w:ascii="Times New Roman" w:hAnsi="Times New Roman" w:cs="Times New Roman"/>
                      <w:b w:val="0"/>
                      <w:bCs/>
                      <w:sz w:val="21"/>
                      <w:szCs w:val="21"/>
                      <w:highlight w:val="none"/>
                      <w:vertAlign w:val="superscript"/>
                      <w:lang w:val="en-US" w:eastAsia="zh-CN"/>
                    </w:rPr>
                    <w:t>3</w:t>
                  </w:r>
                  <w:r>
                    <w:rPr>
                      <w:rFonts w:hint="eastAsia" w:ascii="Times New Roman" w:hAnsi="Times New Roman" w:cs="Times New Roman"/>
                      <w:b w:val="0"/>
                      <w:bCs/>
                      <w:sz w:val="21"/>
                      <w:szCs w:val="21"/>
                      <w:highlight w:val="none"/>
                      <w:vertAlign w:val="baseline"/>
                      <w:lang w:val="en-US" w:eastAsia="zh-CN"/>
                    </w:rPr>
                    <w:t>/d）</w:t>
                  </w:r>
                </w:p>
              </w:tc>
              <w:tc>
                <w:tcPr>
                  <w:tcW w:w="682" w:type="pct"/>
                  <w:tcBorders>
                    <w:tl2br w:val="nil"/>
                    <w:tr2bl w:val="nil"/>
                  </w:tcBorders>
                  <w:shd w:val="clear" w:color="auto" w:fill="auto"/>
                  <w:vAlign w:val="center"/>
                </w:tcPr>
                <w:p w14:paraId="336D02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val="0"/>
                      <w:bCs/>
                      <w:kern w:val="2"/>
                      <w:sz w:val="21"/>
                      <w:szCs w:val="21"/>
                      <w:highlight w:val="none"/>
                      <w:vertAlign w:val="baseline"/>
                      <w:lang w:val="en-US" w:eastAsia="zh-CN" w:bidi="ar-SA"/>
                    </w:rPr>
                  </w:pPr>
                  <w:r>
                    <w:rPr>
                      <w:rFonts w:hint="eastAsia" w:ascii="Times New Roman" w:hAnsi="Times New Roman" w:cs="Times New Roman"/>
                      <w:b w:val="0"/>
                      <w:bCs/>
                      <w:sz w:val="21"/>
                      <w:szCs w:val="21"/>
                      <w:highlight w:val="none"/>
                      <w:vertAlign w:val="baseline"/>
                      <w:lang w:val="en-US" w:eastAsia="zh-CN"/>
                    </w:rPr>
                    <w:t>排放量（m</w:t>
                  </w:r>
                  <w:r>
                    <w:rPr>
                      <w:rFonts w:hint="eastAsia" w:ascii="Times New Roman" w:hAnsi="Times New Roman" w:cs="Times New Roman"/>
                      <w:b w:val="0"/>
                      <w:bCs/>
                      <w:sz w:val="21"/>
                      <w:szCs w:val="21"/>
                      <w:highlight w:val="none"/>
                      <w:vertAlign w:val="superscript"/>
                      <w:lang w:val="en-US" w:eastAsia="zh-CN"/>
                    </w:rPr>
                    <w:t>3</w:t>
                  </w:r>
                  <w:r>
                    <w:rPr>
                      <w:rFonts w:hint="eastAsia" w:ascii="Times New Roman" w:hAnsi="Times New Roman" w:cs="Times New Roman"/>
                      <w:b w:val="0"/>
                      <w:bCs/>
                      <w:sz w:val="21"/>
                      <w:szCs w:val="21"/>
                      <w:highlight w:val="none"/>
                      <w:vertAlign w:val="baseline"/>
                      <w:lang w:val="en-US" w:eastAsia="zh-CN"/>
                    </w:rPr>
                    <w:t>/a）</w:t>
                  </w:r>
                </w:p>
              </w:tc>
            </w:tr>
            <w:tr w14:paraId="5B873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1D5642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生活用水</w:t>
                  </w:r>
                </w:p>
              </w:tc>
              <w:tc>
                <w:tcPr>
                  <w:tcW w:w="547" w:type="pct"/>
                  <w:tcBorders>
                    <w:tl2br w:val="nil"/>
                    <w:tr2bl w:val="nil"/>
                  </w:tcBorders>
                  <w:vAlign w:val="center"/>
                </w:tcPr>
                <w:p w14:paraId="3C92C5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生活用水</w:t>
                  </w:r>
                </w:p>
              </w:tc>
              <w:tc>
                <w:tcPr>
                  <w:tcW w:w="547" w:type="pct"/>
                  <w:tcBorders>
                    <w:tl2br w:val="nil"/>
                    <w:tr2bl w:val="nil"/>
                  </w:tcBorders>
                  <w:vAlign w:val="center"/>
                </w:tcPr>
                <w:p w14:paraId="207144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6</w:t>
                  </w:r>
                  <w:r>
                    <w:rPr>
                      <w:rFonts w:hint="eastAsia" w:ascii="Times New Roman" w:hAnsi="Times New Roman" w:cs="Times New Roman"/>
                      <w:b w:val="0"/>
                      <w:bCs/>
                      <w:sz w:val="21"/>
                      <w:szCs w:val="21"/>
                      <w:highlight w:val="none"/>
                      <w:vertAlign w:val="baseline"/>
                      <w:lang w:val="en-US" w:eastAsia="zh-CN"/>
                    </w:rPr>
                    <w:t>人</w:t>
                  </w:r>
                </w:p>
              </w:tc>
              <w:tc>
                <w:tcPr>
                  <w:tcW w:w="645" w:type="pct"/>
                  <w:tcBorders>
                    <w:tl2br w:val="nil"/>
                    <w:tr2bl w:val="nil"/>
                  </w:tcBorders>
                  <w:vAlign w:val="center"/>
                </w:tcPr>
                <w:p w14:paraId="6591F8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50L/人</w:t>
                  </w:r>
                  <w:r>
                    <w:rPr>
                      <w:rFonts w:hint="default" w:ascii="Times New Roman" w:hAnsi="Times New Roman" w:cs="Times New Roman"/>
                      <w:b w:val="0"/>
                      <w:bCs/>
                      <w:sz w:val="24"/>
                      <w:szCs w:val="24"/>
                      <w:highlight w:val="none"/>
                      <w:vertAlign w:val="baseline"/>
                      <w:lang w:val="en-US" w:eastAsia="zh-CN"/>
                    </w:rPr>
                    <w:t>·</w:t>
                  </w:r>
                  <w:r>
                    <w:rPr>
                      <w:rFonts w:hint="eastAsia" w:ascii="Times New Roman" w:hAnsi="Times New Roman" w:cs="Times New Roman"/>
                      <w:b w:val="0"/>
                      <w:bCs/>
                      <w:sz w:val="21"/>
                      <w:szCs w:val="21"/>
                      <w:highlight w:val="none"/>
                      <w:vertAlign w:val="baseline"/>
                      <w:lang w:val="en-US" w:eastAsia="zh-CN"/>
                    </w:rPr>
                    <w:t>d</w:t>
                  </w:r>
                </w:p>
              </w:tc>
              <w:tc>
                <w:tcPr>
                  <w:tcW w:w="683" w:type="pct"/>
                  <w:tcBorders>
                    <w:tl2br w:val="nil"/>
                    <w:tr2bl w:val="nil"/>
                  </w:tcBorders>
                  <w:vAlign w:val="center"/>
                </w:tcPr>
                <w:p w14:paraId="703863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0.3</w:t>
                  </w:r>
                </w:p>
              </w:tc>
              <w:tc>
                <w:tcPr>
                  <w:tcW w:w="674" w:type="pct"/>
                  <w:tcBorders>
                    <w:tl2br w:val="nil"/>
                    <w:tr2bl w:val="nil"/>
                  </w:tcBorders>
                  <w:vAlign w:val="center"/>
                </w:tcPr>
                <w:p w14:paraId="0B0350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109.5</w:t>
                  </w:r>
                </w:p>
              </w:tc>
              <w:tc>
                <w:tcPr>
                  <w:tcW w:w="683" w:type="pct"/>
                  <w:tcBorders>
                    <w:tl2br w:val="nil"/>
                    <w:tr2bl w:val="nil"/>
                  </w:tcBorders>
                  <w:vAlign w:val="center"/>
                </w:tcPr>
                <w:p w14:paraId="4356636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0.27</w:t>
                  </w:r>
                </w:p>
              </w:tc>
              <w:tc>
                <w:tcPr>
                  <w:tcW w:w="682" w:type="pct"/>
                  <w:tcBorders>
                    <w:tl2br w:val="nil"/>
                    <w:tr2bl w:val="nil"/>
                  </w:tcBorders>
                  <w:vAlign w:val="center"/>
                </w:tcPr>
                <w:p w14:paraId="195701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98.55</w:t>
                  </w:r>
                </w:p>
              </w:tc>
            </w:tr>
            <w:tr w14:paraId="67408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6AE5D4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p>
              </w:tc>
              <w:tc>
                <w:tcPr>
                  <w:tcW w:w="547" w:type="pct"/>
                  <w:tcBorders>
                    <w:tl2br w:val="nil"/>
                    <w:tr2bl w:val="nil"/>
                  </w:tcBorders>
                  <w:vAlign w:val="center"/>
                </w:tcPr>
                <w:p w14:paraId="0D113C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流动顾客用水</w:t>
                  </w:r>
                </w:p>
              </w:tc>
              <w:tc>
                <w:tcPr>
                  <w:tcW w:w="547" w:type="pct"/>
                  <w:tcBorders>
                    <w:tl2br w:val="nil"/>
                    <w:tr2bl w:val="nil"/>
                  </w:tcBorders>
                  <w:vAlign w:val="center"/>
                </w:tcPr>
                <w:p w14:paraId="3678FF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14</w:t>
                  </w:r>
                  <w:r>
                    <w:rPr>
                      <w:rFonts w:hint="eastAsia" w:ascii="Times New Roman" w:hAnsi="Times New Roman" w:cs="Times New Roman"/>
                      <w:b w:val="0"/>
                      <w:bCs/>
                      <w:sz w:val="21"/>
                      <w:szCs w:val="21"/>
                      <w:highlight w:val="none"/>
                      <w:vertAlign w:val="baseline"/>
                      <w:lang w:val="en-US" w:eastAsia="zh-CN"/>
                    </w:rPr>
                    <w:t>人/d</w:t>
                  </w:r>
                </w:p>
              </w:tc>
              <w:tc>
                <w:tcPr>
                  <w:tcW w:w="645" w:type="pct"/>
                  <w:tcBorders>
                    <w:tl2br w:val="nil"/>
                    <w:tr2bl w:val="nil"/>
                  </w:tcBorders>
                  <w:vAlign w:val="center"/>
                </w:tcPr>
                <w:p w14:paraId="12832BA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10L/人</w:t>
                  </w:r>
                  <w:r>
                    <w:rPr>
                      <w:rFonts w:hint="default" w:ascii="Times New Roman" w:hAnsi="Times New Roman" w:cs="Times New Roman"/>
                      <w:b w:val="0"/>
                      <w:bCs/>
                      <w:sz w:val="24"/>
                      <w:szCs w:val="24"/>
                      <w:highlight w:val="none"/>
                      <w:vertAlign w:val="baseline"/>
                      <w:lang w:val="en-US" w:eastAsia="zh-CN"/>
                    </w:rPr>
                    <w:t>·</w:t>
                  </w:r>
                  <w:r>
                    <w:rPr>
                      <w:rFonts w:hint="eastAsia" w:ascii="Times New Roman" w:hAnsi="Times New Roman" w:cs="Times New Roman"/>
                      <w:b w:val="0"/>
                      <w:bCs/>
                      <w:sz w:val="21"/>
                      <w:szCs w:val="21"/>
                      <w:highlight w:val="none"/>
                      <w:vertAlign w:val="baseline"/>
                      <w:lang w:val="en-US" w:eastAsia="zh-CN"/>
                    </w:rPr>
                    <w:t>d</w:t>
                  </w:r>
                </w:p>
              </w:tc>
              <w:tc>
                <w:tcPr>
                  <w:tcW w:w="683" w:type="pct"/>
                  <w:tcBorders>
                    <w:tl2br w:val="nil"/>
                    <w:tr2bl w:val="nil"/>
                  </w:tcBorders>
                  <w:vAlign w:val="center"/>
                </w:tcPr>
                <w:p w14:paraId="043C296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0.14</w:t>
                  </w:r>
                </w:p>
              </w:tc>
              <w:tc>
                <w:tcPr>
                  <w:tcW w:w="674" w:type="pct"/>
                  <w:tcBorders>
                    <w:tl2br w:val="nil"/>
                    <w:tr2bl w:val="nil"/>
                  </w:tcBorders>
                  <w:vAlign w:val="center"/>
                </w:tcPr>
                <w:p w14:paraId="72AFF30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51.1</w:t>
                  </w:r>
                </w:p>
              </w:tc>
              <w:tc>
                <w:tcPr>
                  <w:tcW w:w="683" w:type="pct"/>
                  <w:tcBorders>
                    <w:tl2br w:val="nil"/>
                    <w:tr2bl w:val="nil"/>
                  </w:tcBorders>
                  <w:vAlign w:val="center"/>
                </w:tcPr>
                <w:p w14:paraId="41AF85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0.126</w:t>
                  </w:r>
                </w:p>
              </w:tc>
              <w:tc>
                <w:tcPr>
                  <w:tcW w:w="682" w:type="pct"/>
                  <w:tcBorders>
                    <w:tl2br w:val="nil"/>
                    <w:tr2bl w:val="nil"/>
                  </w:tcBorders>
                  <w:vAlign w:val="center"/>
                </w:tcPr>
                <w:p w14:paraId="2AF727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45.99</w:t>
                  </w:r>
                </w:p>
              </w:tc>
            </w:tr>
            <w:tr w14:paraId="2294F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5" w:type="pct"/>
                  <w:gridSpan w:val="4"/>
                  <w:tcBorders>
                    <w:tl2br w:val="nil"/>
                    <w:tr2bl w:val="nil"/>
                  </w:tcBorders>
                  <w:vAlign w:val="center"/>
                </w:tcPr>
                <w:p w14:paraId="455F9B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小计</w:t>
                  </w:r>
                </w:p>
              </w:tc>
              <w:tc>
                <w:tcPr>
                  <w:tcW w:w="683" w:type="pct"/>
                  <w:tcBorders>
                    <w:tl2br w:val="nil"/>
                    <w:tr2bl w:val="nil"/>
                  </w:tcBorders>
                  <w:vAlign w:val="center"/>
                </w:tcPr>
                <w:p w14:paraId="10F4AB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0.44</w:t>
                  </w:r>
                </w:p>
              </w:tc>
              <w:tc>
                <w:tcPr>
                  <w:tcW w:w="674" w:type="pct"/>
                  <w:tcBorders>
                    <w:tl2br w:val="nil"/>
                    <w:tr2bl w:val="nil"/>
                  </w:tcBorders>
                  <w:shd w:val="clear" w:color="auto" w:fill="auto"/>
                  <w:vAlign w:val="center"/>
                </w:tcPr>
                <w:p w14:paraId="72D48A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160.6</w:t>
                  </w:r>
                </w:p>
              </w:tc>
              <w:tc>
                <w:tcPr>
                  <w:tcW w:w="683" w:type="pct"/>
                  <w:tcBorders>
                    <w:tl2br w:val="nil"/>
                    <w:tr2bl w:val="nil"/>
                  </w:tcBorders>
                  <w:shd w:val="clear" w:color="auto" w:fill="auto"/>
                  <w:vAlign w:val="center"/>
                </w:tcPr>
                <w:p w14:paraId="0694BD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0.396</w:t>
                  </w:r>
                </w:p>
              </w:tc>
              <w:tc>
                <w:tcPr>
                  <w:tcW w:w="682" w:type="pct"/>
                  <w:tcBorders>
                    <w:tl2br w:val="nil"/>
                    <w:tr2bl w:val="nil"/>
                  </w:tcBorders>
                  <w:shd w:val="clear" w:color="auto" w:fill="auto"/>
                  <w:vAlign w:val="center"/>
                </w:tcPr>
                <w:p w14:paraId="262571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144.54</w:t>
                  </w:r>
                </w:p>
              </w:tc>
            </w:tr>
            <w:tr w14:paraId="60009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47FE4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医疗废水</w:t>
                  </w:r>
                </w:p>
              </w:tc>
              <w:tc>
                <w:tcPr>
                  <w:tcW w:w="547" w:type="pct"/>
                  <w:tcBorders>
                    <w:tl2br w:val="nil"/>
                    <w:tr2bl w:val="nil"/>
                  </w:tcBorders>
                  <w:vAlign w:val="center"/>
                </w:tcPr>
                <w:p w14:paraId="022845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诊疗用水</w:t>
                  </w:r>
                </w:p>
              </w:tc>
              <w:tc>
                <w:tcPr>
                  <w:tcW w:w="547" w:type="pct"/>
                  <w:tcBorders>
                    <w:tl2br w:val="nil"/>
                    <w:tr2bl w:val="nil"/>
                  </w:tcBorders>
                  <w:vAlign w:val="center"/>
                </w:tcPr>
                <w:p w14:paraId="16D2C2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14</w:t>
                  </w:r>
                  <w:r>
                    <w:rPr>
                      <w:rFonts w:hint="eastAsia" w:ascii="Times New Roman" w:hAnsi="Times New Roman" w:cs="Times New Roman"/>
                      <w:b w:val="0"/>
                      <w:bCs/>
                      <w:sz w:val="21"/>
                      <w:szCs w:val="21"/>
                      <w:highlight w:val="none"/>
                      <w:vertAlign w:val="baseline"/>
                      <w:lang w:val="en-US" w:eastAsia="zh-CN"/>
                    </w:rPr>
                    <w:t>只/d</w:t>
                  </w:r>
                </w:p>
              </w:tc>
              <w:tc>
                <w:tcPr>
                  <w:tcW w:w="645" w:type="pct"/>
                  <w:tcBorders>
                    <w:tl2br w:val="nil"/>
                    <w:tr2bl w:val="nil"/>
                  </w:tcBorders>
                  <w:vAlign w:val="center"/>
                </w:tcPr>
                <w:p w14:paraId="422803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15</w:t>
                  </w:r>
                  <w:r>
                    <w:rPr>
                      <w:rFonts w:hint="eastAsia" w:ascii="Times New Roman" w:hAnsi="Times New Roman" w:cs="Times New Roman"/>
                      <w:b w:val="0"/>
                      <w:bCs/>
                      <w:sz w:val="21"/>
                      <w:szCs w:val="21"/>
                      <w:highlight w:val="none"/>
                      <w:vertAlign w:val="baseline"/>
                      <w:lang w:val="en-US" w:eastAsia="zh-CN"/>
                    </w:rPr>
                    <w:t>L/只</w:t>
                  </w:r>
                  <w:r>
                    <w:rPr>
                      <w:rFonts w:hint="default" w:ascii="Times New Roman" w:hAnsi="Times New Roman" w:cs="Times New Roman"/>
                      <w:b w:val="0"/>
                      <w:bCs/>
                      <w:sz w:val="24"/>
                      <w:szCs w:val="24"/>
                      <w:highlight w:val="none"/>
                      <w:vertAlign w:val="baseline"/>
                      <w:lang w:val="en-US" w:eastAsia="zh-CN"/>
                    </w:rPr>
                    <w:t>·</w:t>
                  </w:r>
                  <w:r>
                    <w:rPr>
                      <w:rFonts w:hint="eastAsia" w:ascii="Times New Roman" w:hAnsi="Times New Roman" w:cs="Times New Roman"/>
                      <w:b w:val="0"/>
                      <w:bCs/>
                      <w:sz w:val="21"/>
                      <w:szCs w:val="21"/>
                      <w:highlight w:val="none"/>
                      <w:vertAlign w:val="baseline"/>
                      <w:lang w:val="en-US" w:eastAsia="zh-CN"/>
                    </w:rPr>
                    <w:t>d</w:t>
                  </w:r>
                </w:p>
              </w:tc>
              <w:tc>
                <w:tcPr>
                  <w:tcW w:w="683" w:type="pct"/>
                  <w:tcBorders>
                    <w:tl2br w:val="nil"/>
                    <w:tr2bl w:val="nil"/>
                  </w:tcBorders>
                  <w:vAlign w:val="center"/>
                </w:tcPr>
                <w:p w14:paraId="0EE4A03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0.21</w:t>
                  </w:r>
                </w:p>
              </w:tc>
              <w:tc>
                <w:tcPr>
                  <w:tcW w:w="674" w:type="pct"/>
                  <w:tcBorders>
                    <w:tl2br w:val="nil"/>
                    <w:tr2bl w:val="nil"/>
                  </w:tcBorders>
                  <w:vAlign w:val="center"/>
                </w:tcPr>
                <w:p w14:paraId="12BBA6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76.65</w:t>
                  </w:r>
                </w:p>
              </w:tc>
              <w:tc>
                <w:tcPr>
                  <w:tcW w:w="683" w:type="pct"/>
                  <w:tcBorders>
                    <w:tl2br w:val="nil"/>
                    <w:tr2bl w:val="nil"/>
                  </w:tcBorders>
                  <w:vAlign w:val="center"/>
                </w:tcPr>
                <w:p w14:paraId="1C0E76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0.189</w:t>
                  </w:r>
                </w:p>
              </w:tc>
              <w:tc>
                <w:tcPr>
                  <w:tcW w:w="682" w:type="pct"/>
                  <w:tcBorders>
                    <w:tl2br w:val="nil"/>
                    <w:tr2bl w:val="nil"/>
                  </w:tcBorders>
                  <w:vAlign w:val="center"/>
                </w:tcPr>
                <w:p w14:paraId="089081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68.895</w:t>
                  </w:r>
                </w:p>
              </w:tc>
            </w:tr>
            <w:tr w14:paraId="64CCF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04A48D0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p>
              </w:tc>
              <w:tc>
                <w:tcPr>
                  <w:tcW w:w="547" w:type="pct"/>
                  <w:tcBorders>
                    <w:tl2br w:val="nil"/>
                    <w:tr2bl w:val="nil"/>
                  </w:tcBorders>
                  <w:vAlign w:val="center"/>
                </w:tcPr>
                <w:p w14:paraId="44DE93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宠物饮用水</w:t>
                  </w:r>
                </w:p>
              </w:tc>
              <w:tc>
                <w:tcPr>
                  <w:tcW w:w="547" w:type="pct"/>
                  <w:tcBorders>
                    <w:tl2br w:val="nil"/>
                    <w:tr2bl w:val="nil"/>
                  </w:tcBorders>
                  <w:vAlign w:val="center"/>
                </w:tcPr>
                <w:p w14:paraId="5E5567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w:t>
                  </w:r>
                </w:p>
              </w:tc>
              <w:tc>
                <w:tcPr>
                  <w:tcW w:w="645" w:type="pct"/>
                  <w:tcBorders>
                    <w:tl2br w:val="nil"/>
                    <w:tr2bl w:val="nil"/>
                  </w:tcBorders>
                  <w:vAlign w:val="center"/>
                </w:tcPr>
                <w:p w14:paraId="21D5D3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w:t>
                  </w:r>
                </w:p>
              </w:tc>
              <w:tc>
                <w:tcPr>
                  <w:tcW w:w="683" w:type="pct"/>
                  <w:tcBorders>
                    <w:tl2br w:val="nil"/>
                    <w:tr2bl w:val="nil"/>
                  </w:tcBorders>
                  <w:vAlign w:val="center"/>
                </w:tcPr>
                <w:p w14:paraId="4ABCFE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0.01752</w:t>
                  </w:r>
                </w:p>
              </w:tc>
              <w:tc>
                <w:tcPr>
                  <w:tcW w:w="674" w:type="pct"/>
                  <w:tcBorders>
                    <w:tl2br w:val="nil"/>
                    <w:tr2bl w:val="nil"/>
                  </w:tcBorders>
                  <w:vAlign w:val="center"/>
                </w:tcPr>
                <w:p w14:paraId="207507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6.3948</w:t>
                  </w:r>
                </w:p>
              </w:tc>
              <w:tc>
                <w:tcPr>
                  <w:tcW w:w="683" w:type="pct"/>
                  <w:tcBorders>
                    <w:tl2br w:val="nil"/>
                    <w:tr2bl w:val="nil"/>
                  </w:tcBorders>
                  <w:vAlign w:val="center"/>
                </w:tcPr>
                <w:p w14:paraId="7F3D0C4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w:t>
                  </w:r>
                </w:p>
              </w:tc>
              <w:tc>
                <w:tcPr>
                  <w:tcW w:w="682" w:type="pct"/>
                  <w:tcBorders>
                    <w:tl2br w:val="nil"/>
                    <w:tr2bl w:val="nil"/>
                  </w:tcBorders>
                  <w:vAlign w:val="center"/>
                </w:tcPr>
                <w:p w14:paraId="098823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w:t>
                  </w:r>
                </w:p>
              </w:tc>
            </w:tr>
            <w:tr w14:paraId="0FDB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5F1D377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p>
              </w:tc>
              <w:tc>
                <w:tcPr>
                  <w:tcW w:w="547" w:type="pct"/>
                  <w:tcBorders>
                    <w:tl2br w:val="nil"/>
                    <w:tr2bl w:val="nil"/>
                  </w:tcBorders>
                  <w:vAlign w:val="center"/>
                </w:tcPr>
                <w:p w14:paraId="488172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宠物笼清洗用水</w:t>
                  </w:r>
                </w:p>
              </w:tc>
              <w:tc>
                <w:tcPr>
                  <w:tcW w:w="547" w:type="pct"/>
                  <w:tcBorders>
                    <w:tl2br w:val="nil"/>
                    <w:tr2bl w:val="nil"/>
                  </w:tcBorders>
                  <w:vAlign w:val="center"/>
                </w:tcPr>
                <w:p w14:paraId="021287F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26个</w:t>
                  </w:r>
                </w:p>
              </w:tc>
              <w:tc>
                <w:tcPr>
                  <w:tcW w:w="645" w:type="pct"/>
                  <w:tcBorders>
                    <w:tl2br w:val="nil"/>
                    <w:tr2bl w:val="nil"/>
                  </w:tcBorders>
                  <w:vAlign w:val="center"/>
                </w:tcPr>
                <w:p w14:paraId="38C858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5L/笼</w:t>
                  </w:r>
                </w:p>
              </w:tc>
              <w:tc>
                <w:tcPr>
                  <w:tcW w:w="683" w:type="pct"/>
                  <w:tcBorders>
                    <w:tl2br w:val="nil"/>
                    <w:tr2bl w:val="nil"/>
                  </w:tcBorders>
                  <w:vAlign w:val="center"/>
                </w:tcPr>
                <w:p w14:paraId="6EA9EA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0.13</w:t>
                  </w:r>
                </w:p>
              </w:tc>
              <w:tc>
                <w:tcPr>
                  <w:tcW w:w="674" w:type="pct"/>
                  <w:tcBorders>
                    <w:tl2br w:val="nil"/>
                    <w:tr2bl w:val="nil"/>
                  </w:tcBorders>
                  <w:vAlign w:val="center"/>
                </w:tcPr>
                <w:p w14:paraId="7D4676C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47.45</w:t>
                  </w:r>
                </w:p>
              </w:tc>
              <w:tc>
                <w:tcPr>
                  <w:tcW w:w="683" w:type="pct"/>
                  <w:tcBorders>
                    <w:tl2br w:val="nil"/>
                    <w:tr2bl w:val="nil"/>
                  </w:tcBorders>
                  <w:vAlign w:val="center"/>
                </w:tcPr>
                <w:p w14:paraId="3DDB3F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0.117</w:t>
                  </w:r>
                </w:p>
              </w:tc>
              <w:tc>
                <w:tcPr>
                  <w:tcW w:w="682" w:type="pct"/>
                  <w:tcBorders>
                    <w:tl2br w:val="nil"/>
                    <w:tr2bl w:val="nil"/>
                  </w:tcBorders>
                  <w:vAlign w:val="center"/>
                </w:tcPr>
                <w:p w14:paraId="0FBFD7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42.705</w:t>
                  </w:r>
                </w:p>
              </w:tc>
            </w:tr>
            <w:tr w14:paraId="7492E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535" w:type="pct"/>
                  <w:vMerge w:val="continue"/>
                  <w:tcBorders>
                    <w:tl2br w:val="nil"/>
                    <w:tr2bl w:val="nil"/>
                  </w:tcBorders>
                  <w:vAlign w:val="center"/>
                </w:tcPr>
                <w:p w14:paraId="7F6D998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p>
              </w:tc>
              <w:tc>
                <w:tcPr>
                  <w:tcW w:w="547" w:type="pct"/>
                  <w:tcBorders>
                    <w:tl2br w:val="nil"/>
                    <w:tr2bl w:val="nil"/>
                  </w:tcBorders>
                  <w:vAlign w:val="center"/>
                </w:tcPr>
                <w:p w14:paraId="1533DF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手术器械清洗用水</w:t>
                  </w:r>
                </w:p>
              </w:tc>
              <w:tc>
                <w:tcPr>
                  <w:tcW w:w="547" w:type="pct"/>
                  <w:tcBorders>
                    <w:tl2br w:val="nil"/>
                    <w:tr2bl w:val="nil"/>
                  </w:tcBorders>
                  <w:vAlign w:val="center"/>
                </w:tcPr>
                <w:p w14:paraId="660E5C6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w:t>
                  </w:r>
                  <w:r>
                    <w:rPr>
                      <w:rFonts w:hint="eastAsia" w:ascii="Times New Roman" w:hAnsi="Times New Roman" w:cs="Times New Roman"/>
                      <w:b w:val="0"/>
                      <w:bCs/>
                      <w:sz w:val="21"/>
                      <w:szCs w:val="21"/>
                      <w:highlight w:val="none"/>
                      <w:vertAlign w:val="baseline"/>
                      <w:lang w:val="en-US" w:eastAsia="zh-CN"/>
                    </w:rPr>
                    <w:t>台/d</w:t>
                  </w:r>
                </w:p>
              </w:tc>
              <w:tc>
                <w:tcPr>
                  <w:tcW w:w="645" w:type="pct"/>
                  <w:tcBorders>
                    <w:tl2br w:val="nil"/>
                    <w:tr2bl w:val="nil"/>
                  </w:tcBorders>
                  <w:vAlign w:val="center"/>
                </w:tcPr>
                <w:p w14:paraId="2BC969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5L/台</w:t>
                  </w:r>
                </w:p>
              </w:tc>
              <w:tc>
                <w:tcPr>
                  <w:tcW w:w="683" w:type="pct"/>
                  <w:tcBorders>
                    <w:tl2br w:val="nil"/>
                    <w:tr2bl w:val="nil"/>
                  </w:tcBorders>
                  <w:vAlign w:val="center"/>
                </w:tcPr>
                <w:p w14:paraId="66DB37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0.025</w:t>
                  </w:r>
                </w:p>
              </w:tc>
              <w:tc>
                <w:tcPr>
                  <w:tcW w:w="674" w:type="pct"/>
                  <w:tcBorders>
                    <w:tl2br w:val="nil"/>
                    <w:tr2bl w:val="nil"/>
                  </w:tcBorders>
                  <w:vAlign w:val="center"/>
                </w:tcPr>
                <w:p w14:paraId="3B7103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9.125</w:t>
                  </w:r>
                </w:p>
              </w:tc>
              <w:tc>
                <w:tcPr>
                  <w:tcW w:w="683" w:type="pct"/>
                  <w:tcBorders>
                    <w:tl2br w:val="nil"/>
                    <w:tr2bl w:val="nil"/>
                  </w:tcBorders>
                  <w:vAlign w:val="center"/>
                </w:tcPr>
                <w:p w14:paraId="05CC53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0.0225</w:t>
                  </w:r>
                </w:p>
              </w:tc>
              <w:tc>
                <w:tcPr>
                  <w:tcW w:w="682" w:type="pct"/>
                  <w:tcBorders>
                    <w:tl2br w:val="nil"/>
                    <w:tr2bl w:val="nil"/>
                  </w:tcBorders>
                  <w:vAlign w:val="center"/>
                </w:tcPr>
                <w:p w14:paraId="269008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8.2125</w:t>
                  </w:r>
                </w:p>
              </w:tc>
            </w:tr>
            <w:tr w14:paraId="12E21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7F0DB5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p>
              </w:tc>
              <w:tc>
                <w:tcPr>
                  <w:tcW w:w="547" w:type="pct"/>
                  <w:tcBorders>
                    <w:tl2br w:val="nil"/>
                    <w:tr2bl w:val="nil"/>
                  </w:tcBorders>
                  <w:vAlign w:val="center"/>
                </w:tcPr>
                <w:p w14:paraId="4F49ED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手术用水</w:t>
                  </w:r>
                </w:p>
              </w:tc>
              <w:tc>
                <w:tcPr>
                  <w:tcW w:w="547" w:type="pct"/>
                  <w:tcBorders>
                    <w:tl2br w:val="nil"/>
                    <w:tr2bl w:val="nil"/>
                  </w:tcBorders>
                  <w:vAlign w:val="center"/>
                </w:tcPr>
                <w:p w14:paraId="47FF67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w:t>
                  </w:r>
                  <w:r>
                    <w:rPr>
                      <w:rFonts w:hint="eastAsia" w:ascii="Times New Roman" w:hAnsi="Times New Roman" w:cs="Times New Roman"/>
                      <w:b w:val="0"/>
                      <w:bCs/>
                      <w:sz w:val="21"/>
                      <w:szCs w:val="21"/>
                      <w:highlight w:val="none"/>
                      <w:vertAlign w:val="baseline"/>
                      <w:lang w:val="en-US" w:eastAsia="zh-CN"/>
                    </w:rPr>
                    <w:t>台/d</w:t>
                  </w:r>
                </w:p>
              </w:tc>
              <w:tc>
                <w:tcPr>
                  <w:tcW w:w="645" w:type="pct"/>
                  <w:tcBorders>
                    <w:tl2br w:val="nil"/>
                    <w:tr2bl w:val="nil"/>
                  </w:tcBorders>
                  <w:vAlign w:val="center"/>
                </w:tcPr>
                <w:p w14:paraId="3A3AA4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20L/台</w:t>
                  </w:r>
                </w:p>
              </w:tc>
              <w:tc>
                <w:tcPr>
                  <w:tcW w:w="683" w:type="pct"/>
                  <w:tcBorders>
                    <w:tl2br w:val="nil"/>
                    <w:tr2bl w:val="nil"/>
                  </w:tcBorders>
                  <w:vAlign w:val="center"/>
                </w:tcPr>
                <w:p w14:paraId="1C13CA2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0.1</w:t>
                  </w:r>
                </w:p>
              </w:tc>
              <w:tc>
                <w:tcPr>
                  <w:tcW w:w="674" w:type="pct"/>
                  <w:tcBorders>
                    <w:tl2br w:val="nil"/>
                    <w:tr2bl w:val="nil"/>
                  </w:tcBorders>
                  <w:vAlign w:val="center"/>
                </w:tcPr>
                <w:p w14:paraId="2674ACE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36.5</w:t>
                  </w:r>
                </w:p>
              </w:tc>
              <w:tc>
                <w:tcPr>
                  <w:tcW w:w="683" w:type="pct"/>
                  <w:tcBorders>
                    <w:tl2br w:val="nil"/>
                    <w:tr2bl w:val="nil"/>
                  </w:tcBorders>
                  <w:vAlign w:val="center"/>
                </w:tcPr>
                <w:p w14:paraId="5CB4E6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0.09</w:t>
                  </w:r>
                </w:p>
              </w:tc>
              <w:tc>
                <w:tcPr>
                  <w:tcW w:w="682" w:type="pct"/>
                  <w:tcBorders>
                    <w:tl2br w:val="nil"/>
                    <w:tr2bl w:val="nil"/>
                  </w:tcBorders>
                  <w:vAlign w:val="center"/>
                </w:tcPr>
                <w:p w14:paraId="66EDC38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32.85</w:t>
                  </w:r>
                </w:p>
              </w:tc>
            </w:tr>
            <w:tr w14:paraId="65B3F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275" w:type="pct"/>
                  <w:gridSpan w:val="4"/>
                  <w:tcBorders>
                    <w:tl2br w:val="nil"/>
                    <w:tr2bl w:val="nil"/>
                  </w:tcBorders>
                  <w:shd w:val="clear" w:color="auto" w:fill="auto"/>
                  <w:vAlign w:val="center"/>
                </w:tcPr>
                <w:p w14:paraId="5CD742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小计</w:t>
                  </w:r>
                </w:p>
              </w:tc>
              <w:tc>
                <w:tcPr>
                  <w:tcW w:w="683" w:type="pct"/>
                  <w:tcBorders>
                    <w:tl2br w:val="nil"/>
                    <w:tr2bl w:val="nil"/>
                  </w:tcBorders>
                  <w:shd w:val="clear" w:color="auto" w:fill="auto"/>
                  <w:vAlign w:val="center"/>
                </w:tcPr>
                <w:p w14:paraId="040F1C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0.48252</w:t>
                  </w:r>
                </w:p>
              </w:tc>
              <w:tc>
                <w:tcPr>
                  <w:tcW w:w="674" w:type="pct"/>
                  <w:tcBorders>
                    <w:tl2br w:val="nil"/>
                    <w:tr2bl w:val="nil"/>
                  </w:tcBorders>
                  <w:shd w:val="clear" w:color="auto" w:fill="auto"/>
                  <w:vAlign w:val="center"/>
                </w:tcPr>
                <w:p w14:paraId="0B8AB9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176.1198</w:t>
                  </w:r>
                </w:p>
              </w:tc>
              <w:tc>
                <w:tcPr>
                  <w:tcW w:w="683" w:type="pct"/>
                  <w:tcBorders>
                    <w:tl2br w:val="nil"/>
                    <w:tr2bl w:val="nil"/>
                  </w:tcBorders>
                  <w:shd w:val="clear" w:color="auto" w:fill="auto"/>
                  <w:vAlign w:val="center"/>
                </w:tcPr>
                <w:p w14:paraId="00FDB2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0.4185</w:t>
                  </w:r>
                </w:p>
              </w:tc>
              <w:tc>
                <w:tcPr>
                  <w:tcW w:w="682" w:type="pct"/>
                  <w:tcBorders>
                    <w:tl2br w:val="nil"/>
                    <w:tr2bl w:val="nil"/>
                  </w:tcBorders>
                  <w:shd w:val="clear" w:color="auto" w:fill="auto"/>
                  <w:vAlign w:val="center"/>
                </w:tcPr>
                <w:p w14:paraId="413A4F9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kern w:val="2"/>
                      <w:sz w:val="21"/>
                      <w:szCs w:val="21"/>
                      <w:highlight w:val="none"/>
                      <w:vertAlign w:val="baseline"/>
                      <w:lang w:val="en-US" w:eastAsia="zh-CN" w:bidi="ar-SA"/>
                    </w:rPr>
                    <w:t>152.7525</w:t>
                  </w:r>
                </w:p>
              </w:tc>
            </w:tr>
            <w:tr w14:paraId="35353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restart"/>
                  <w:tcBorders>
                    <w:tl2br w:val="nil"/>
                    <w:tr2bl w:val="nil"/>
                  </w:tcBorders>
                  <w:vAlign w:val="center"/>
                </w:tcPr>
                <w:p w14:paraId="62E084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其他用水</w:t>
                  </w:r>
                </w:p>
              </w:tc>
              <w:tc>
                <w:tcPr>
                  <w:tcW w:w="547" w:type="pct"/>
                  <w:tcBorders>
                    <w:tl2br w:val="nil"/>
                    <w:tr2bl w:val="nil"/>
                  </w:tcBorders>
                  <w:shd w:val="clear" w:color="auto" w:fill="auto"/>
                  <w:vAlign w:val="center"/>
                </w:tcPr>
                <w:p w14:paraId="5E15EB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cs="Times New Roman"/>
                      <w:b w:val="0"/>
                      <w:bCs/>
                      <w:sz w:val="21"/>
                      <w:szCs w:val="21"/>
                      <w:highlight w:val="none"/>
                      <w:vertAlign w:val="baseline"/>
                      <w:lang w:val="en-US" w:eastAsia="zh-CN"/>
                    </w:rPr>
                    <w:t>地面清洁用水</w:t>
                  </w:r>
                </w:p>
              </w:tc>
              <w:tc>
                <w:tcPr>
                  <w:tcW w:w="547" w:type="pct"/>
                  <w:tcBorders>
                    <w:tl2br w:val="nil"/>
                    <w:tr2bl w:val="nil"/>
                  </w:tcBorders>
                  <w:shd w:val="clear" w:color="auto" w:fill="auto"/>
                  <w:vAlign w:val="center"/>
                </w:tcPr>
                <w:p w14:paraId="5E84DE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120</w:t>
                  </w:r>
                  <w:r>
                    <w:rPr>
                      <w:rFonts w:hint="eastAsia" w:ascii="Times New Roman" w:hAnsi="Times New Roman" w:cs="Times New Roman"/>
                      <w:b w:val="0"/>
                      <w:bCs/>
                      <w:sz w:val="21"/>
                      <w:szCs w:val="21"/>
                      <w:highlight w:val="none"/>
                      <w:vertAlign w:val="baseline"/>
                      <w:lang w:val="en-US" w:eastAsia="zh-CN"/>
                    </w:rPr>
                    <w:t>m</w:t>
                  </w:r>
                  <w:r>
                    <w:rPr>
                      <w:rFonts w:hint="eastAsia" w:ascii="Times New Roman" w:hAnsi="Times New Roman" w:cs="Times New Roman"/>
                      <w:b w:val="0"/>
                      <w:bCs/>
                      <w:sz w:val="21"/>
                      <w:szCs w:val="21"/>
                      <w:highlight w:val="none"/>
                      <w:vertAlign w:val="superscript"/>
                      <w:lang w:val="en-US" w:eastAsia="zh-CN"/>
                    </w:rPr>
                    <w:t>2</w:t>
                  </w:r>
                </w:p>
              </w:tc>
              <w:tc>
                <w:tcPr>
                  <w:tcW w:w="645" w:type="pct"/>
                  <w:tcBorders>
                    <w:tl2br w:val="nil"/>
                    <w:tr2bl w:val="nil"/>
                  </w:tcBorders>
                  <w:shd w:val="clear" w:color="auto" w:fill="auto"/>
                  <w:vAlign w:val="center"/>
                </w:tcPr>
                <w:p w14:paraId="0CFFC2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kern w:val="2"/>
                      <w:sz w:val="21"/>
                      <w:szCs w:val="21"/>
                      <w:highlight w:val="none"/>
                      <w:vertAlign w:val="baseline"/>
                      <w:lang w:val="en-US" w:eastAsia="zh-CN" w:bidi="ar-SA"/>
                    </w:rPr>
                  </w:pPr>
                  <w:r>
                    <w:rPr>
                      <w:rFonts w:hint="eastAsia" w:ascii="Times New Roman" w:hAnsi="Times New Roman" w:cs="Times New Roman"/>
                      <w:b w:val="0"/>
                      <w:bCs/>
                      <w:sz w:val="21"/>
                      <w:szCs w:val="21"/>
                      <w:highlight w:val="none"/>
                      <w:vertAlign w:val="baseline"/>
                      <w:lang w:val="en-US" w:eastAsia="zh-CN"/>
                    </w:rPr>
                    <w:t>2L/（m</w:t>
                  </w:r>
                  <w:r>
                    <w:rPr>
                      <w:rFonts w:hint="eastAsia" w:ascii="Times New Roman" w:hAnsi="Times New Roman" w:cs="Times New Roman"/>
                      <w:b w:val="0"/>
                      <w:bCs/>
                      <w:sz w:val="21"/>
                      <w:szCs w:val="21"/>
                      <w:highlight w:val="none"/>
                      <w:vertAlign w:val="superscript"/>
                      <w:lang w:val="en-US" w:eastAsia="zh-CN"/>
                    </w:rPr>
                    <w:t>2</w:t>
                  </w:r>
                  <w:r>
                    <w:rPr>
                      <w:rFonts w:hint="default" w:ascii="Times New Roman" w:hAnsi="Times New Roman" w:cs="Times New Roman"/>
                      <w:b w:val="0"/>
                      <w:bCs/>
                      <w:sz w:val="24"/>
                      <w:szCs w:val="24"/>
                      <w:highlight w:val="none"/>
                      <w:vertAlign w:val="baseline"/>
                      <w:lang w:val="en-US" w:eastAsia="zh-CN"/>
                    </w:rPr>
                    <w:t>·</w:t>
                  </w:r>
                  <w:r>
                    <w:rPr>
                      <w:rFonts w:hint="eastAsia" w:ascii="Times New Roman" w:hAnsi="Times New Roman" w:cs="Times New Roman"/>
                      <w:b w:val="0"/>
                      <w:bCs/>
                      <w:sz w:val="21"/>
                      <w:szCs w:val="21"/>
                      <w:highlight w:val="none"/>
                      <w:vertAlign w:val="baseline"/>
                      <w:lang w:val="en-US" w:eastAsia="zh-CN"/>
                    </w:rPr>
                    <w:t>d）</w:t>
                  </w:r>
                </w:p>
              </w:tc>
              <w:tc>
                <w:tcPr>
                  <w:tcW w:w="683" w:type="pct"/>
                  <w:tcBorders>
                    <w:tl2br w:val="nil"/>
                    <w:tr2bl w:val="nil"/>
                  </w:tcBorders>
                  <w:shd w:val="clear" w:color="auto" w:fill="auto"/>
                  <w:vAlign w:val="center"/>
                </w:tcPr>
                <w:p w14:paraId="0EF8A0B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0.24</w:t>
                  </w:r>
                </w:p>
              </w:tc>
              <w:tc>
                <w:tcPr>
                  <w:tcW w:w="674" w:type="pct"/>
                  <w:tcBorders>
                    <w:tl2br w:val="nil"/>
                    <w:tr2bl w:val="nil"/>
                  </w:tcBorders>
                  <w:shd w:val="clear" w:color="auto" w:fill="auto"/>
                  <w:vAlign w:val="center"/>
                </w:tcPr>
                <w:p w14:paraId="7B5BD1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87.6</w:t>
                  </w:r>
                </w:p>
              </w:tc>
              <w:tc>
                <w:tcPr>
                  <w:tcW w:w="683" w:type="pct"/>
                  <w:tcBorders>
                    <w:tl2br w:val="nil"/>
                    <w:tr2bl w:val="nil"/>
                  </w:tcBorders>
                  <w:shd w:val="clear" w:color="auto" w:fill="auto"/>
                  <w:vAlign w:val="center"/>
                </w:tcPr>
                <w:p w14:paraId="54D69E0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0.216</w:t>
                  </w:r>
                </w:p>
              </w:tc>
              <w:tc>
                <w:tcPr>
                  <w:tcW w:w="682" w:type="pct"/>
                  <w:tcBorders>
                    <w:tl2br w:val="nil"/>
                    <w:tr2bl w:val="nil"/>
                  </w:tcBorders>
                  <w:shd w:val="clear" w:color="auto" w:fill="auto"/>
                  <w:vAlign w:val="center"/>
                </w:tcPr>
                <w:p w14:paraId="1742540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kern w:val="2"/>
                      <w:sz w:val="21"/>
                      <w:szCs w:val="21"/>
                      <w:highlight w:val="none"/>
                      <w:vertAlign w:val="baseline"/>
                      <w:lang w:val="en-US" w:eastAsia="zh-CN" w:bidi="ar-SA"/>
                    </w:rPr>
                  </w:pPr>
                  <w:r>
                    <w:rPr>
                      <w:rFonts w:hint="eastAsia" w:cs="Times New Roman"/>
                      <w:b w:val="0"/>
                      <w:bCs/>
                      <w:sz w:val="21"/>
                      <w:szCs w:val="21"/>
                      <w:highlight w:val="none"/>
                      <w:vertAlign w:val="baseline"/>
                      <w:lang w:val="en-US" w:eastAsia="zh-CN"/>
                    </w:rPr>
                    <w:t>78.84</w:t>
                  </w:r>
                </w:p>
              </w:tc>
            </w:tr>
            <w:tr w14:paraId="383A4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5" w:type="pct"/>
                  <w:vMerge w:val="continue"/>
                  <w:tcBorders>
                    <w:tl2br w:val="nil"/>
                    <w:tr2bl w:val="nil"/>
                  </w:tcBorders>
                  <w:vAlign w:val="center"/>
                </w:tcPr>
                <w:p w14:paraId="4A03FB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p>
              </w:tc>
              <w:tc>
                <w:tcPr>
                  <w:tcW w:w="547" w:type="pct"/>
                  <w:tcBorders>
                    <w:tl2br w:val="nil"/>
                    <w:tr2bl w:val="nil"/>
                  </w:tcBorders>
                  <w:vAlign w:val="center"/>
                </w:tcPr>
                <w:p w14:paraId="2A2DD4F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工服清洗用水</w:t>
                  </w:r>
                </w:p>
              </w:tc>
              <w:tc>
                <w:tcPr>
                  <w:tcW w:w="547" w:type="pct"/>
                  <w:tcBorders>
                    <w:tl2br w:val="nil"/>
                    <w:tr2bl w:val="nil"/>
                  </w:tcBorders>
                  <w:vAlign w:val="center"/>
                </w:tcPr>
                <w:p w14:paraId="465C75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5kg</w:t>
                  </w:r>
                </w:p>
              </w:tc>
              <w:tc>
                <w:tcPr>
                  <w:tcW w:w="645" w:type="pct"/>
                  <w:tcBorders>
                    <w:tl2br w:val="nil"/>
                    <w:tr2bl w:val="nil"/>
                  </w:tcBorders>
                  <w:vAlign w:val="center"/>
                </w:tcPr>
                <w:p w14:paraId="1FD92A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lang w:val="en-US" w:eastAsia="zh-CN"/>
                    </w:rPr>
                  </w:pPr>
                  <w:r>
                    <w:rPr>
                      <w:rFonts w:hint="eastAsia" w:cs="Times New Roman"/>
                      <w:b w:val="0"/>
                      <w:bCs/>
                      <w:sz w:val="21"/>
                      <w:szCs w:val="21"/>
                      <w:highlight w:val="none"/>
                      <w:lang w:val="en-US" w:eastAsia="zh-CN"/>
                    </w:rPr>
                    <w:t>60L/kg</w:t>
                  </w:r>
                </w:p>
              </w:tc>
              <w:tc>
                <w:tcPr>
                  <w:tcW w:w="683" w:type="pct"/>
                  <w:tcBorders>
                    <w:tl2br w:val="nil"/>
                    <w:tr2bl w:val="nil"/>
                  </w:tcBorders>
                  <w:vAlign w:val="center"/>
                </w:tcPr>
                <w:p w14:paraId="682497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0.3</w:t>
                  </w:r>
                </w:p>
              </w:tc>
              <w:tc>
                <w:tcPr>
                  <w:tcW w:w="674" w:type="pct"/>
                  <w:tcBorders>
                    <w:tl2br w:val="nil"/>
                    <w:tr2bl w:val="nil"/>
                  </w:tcBorders>
                  <w:vAlign w:val="center"/>
                </w:tcPr>
                <w:p w14:paraId="32768A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109.5</w:t>
                  </w:r>
                </w:p>
              </w:tc>
              <w:tc>
                <w:tcPr>
                  <w:tcW w:w="683" w:type="pct"/>
                  <w:tcBorders>
                    <w:tl2br w:val="nil"/>
                    <w:tr2bl w:val="nil"/>
                  </w:tcBorders>
                  <w:vAlign w:val="center"/>
                </w:tcPr>
                <w:p w14:paraId="68F82C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0.27</w:t>
                  </w:r>
                </w:p>
              </w:tc>
              <w:tc>
                <w:tcPr>
                  <w:tcW w:w="682" w:type="pct"/>
                  <w:tcBorders>
                    <w:tl2br w:val="nil"/>
                    <w:tr2bl w:val="nil"/>
                  </w:tcBorders>
                  <w:vAlign w:val="center"/>
                </w:tcPr>
                <w:p w14:paraId="38A6BCD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98.55</w:t>
                  </w:r>
                </w:p>
              </w:tc>
            </w:tr>
            <w:tr w14:paraId="6B257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5" w:type="pct"/>
                  <w:gridSpan w:val="4"/>
                  <w:tcBorders>
                    <w:tl2br w:val="nil"/>
                    <w:tr2bl w:val="nil"/>
                  </w:tcBorders>
                  <w:vAlign w:val="center"/>
                </w:tcPr>
                <w:p w14:paraId="72513F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合计</w:t>
                  </w:r>
                </w:p>
              </w:tc>
              <w:tc>
                <w:tcPr>
                  <w:tcW w:w="683" w:type="pct"/>
                  <w:tcBorders>
                    <w:tl2br w:val="nil"/>
                    <w:tr2bl w:val="nil"/>
                  </w:tcBorders>
                  <w:vAlign w:val="center"/>
                </w:tcPr>
                <w:p w14:paraId="120CFA4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0.54</w:t>
                  </w:r>
                </w:p>
              </w:tc>
              <w:tc>
                <w:tcPr>
                  <w:tcW w:w="674" w:type="pct"/>
                  <w:tcBorders>
                    <w:tl2br w:val="nil"/>
                    <w:tr2bl w:val="nil"/>
                  </w:tcBorders>
                  <w:vAlign w:val="center"/>
                </w:tcPr>
                <w:p w14:paraId="44A4D5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197.1</w:t>
                  </w:r>
                </w:p>
              </w:tc>
              <w:tc>
                <w:tcPr>
                  <w:tcW w:w="683" w:type="pct"/>
                  <w:tcBorders>
                    <w:tl2br w:val="nil"/>
                    <w:tr2bl w:val="nil"/>
                  </w:tcBorders>
                  <w:vAlign w:val="center"/>
                </w:tcPr>
                <w:p w14:paraId="0D3FE1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0.486</w:t>
                  </w:r>
                </w:p>
              </w:tc>
              <w:tc>
                <w:tcPr>
                  <w:tcW w:w="682" w:type="pct"/>
                  <w:tcBorders>
                    <w:tl2br w:val="nil"/>
                    <w:tr2bl w:val="nil"/>
                  </w:tcBorders>
                  <w:vAlign w:val="center"/>
                </w:tcPr>
                <w:p w14:paraId="7186C3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177.39</w:t>
                  </w:r>
                </w:p>
              </w:tc>
            </w:tr>
            <w:tr w14:paraId="57636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5" w:type="pct"/>
                  <w:gridSpan w:val="4"/>
                  <w:tcBorders>
                    <w:tl2br w:val="nil"/>
                    <w:tr2bl w:val="nil"/>
                  </w:tcBorders>
                  <w:vAlign w:val="center"/>
                </w:tcPr>
                <w:p w14:paraId="48E703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总合计</w:t>
                  </w:r>
                </w:p>
              </w:tc>
              <w:tc>
                <w:tcPr>
                  <w:tcW w:w="683" w:type="pct"/>
                  <w:tcBorders>
                    <w:tl2br w:val="nil"/>
                    <w:tr2bl w:val="nil"/>
                  </w:tcBorders>
                  <w:vAlign w:val="center"/>
                </w:tcPr>
                <w:p w14:paraId="67763D6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1.46252</w:t>
                  </w:r>
                </w:p>
              </w:tc>
              <w:tc>
                <w:tcPr>
                  <w:tcW w:w="674" w:type="pct"/>
                  <w:tcBorders>
                    <w:tl2br w:val="nil"/>
                    <w:tr2bl w:val="nil"/>
                  </w:tcBorders>
                  <w:vAlign w:val="center"/>
                </w:tcPr>
                <w:p w14:paraId="21A15B4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533.8198</w:t>
                  </w:r>
                </w:p>
              </w:tc>
              <w:tc>
                <w:tcPr>
                  <w:tcW w:w="683" w:type="pct"/>
                  <w:tcBorders>
                    <w:tl2br w:val="nil"/>
                    <w:tr2bl w:val="nil"/>
                  </w:tcBorders>
                  <w:vAlign w:val="center"/>
                </w:tcPr>
                <w:p w14:paraId="5CF2F3F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1.3005</w:t>
                  </w:r>
                </w:p>
              </w:tc>
              <w:tc>
                <w:tcPr>
                  <w:tcW w:w="682" w:type="pct"/>
                  <w:tcBorders>
                    <w:tl2br w:val="nil"/>
                    <w:tr2bl w:val="nil"/>
                  </w:tcBorders>
                  <w:vAlign w:val="center"/>
                </w:tcPr>
                <w:p w14:paraId="588F5D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cs="Times New Roman"/>
                      <w:b w:val="0"/>
                      <w:bCs/>
                      <w:sz w:val="21"/>
                      <w:szCs w:val="21"/>
                      <w:highlight w:val="none"/>
                      <w:vertAlign w:val="baseline"/>
                      <w:lang w:val="en-US" w:eastAsia="zh-CN"/>
                    </w:rPr>
                    <w:t>474.6825</w:t>
                  </w:r>
                </w:p>
              </w:tc>
            </w:tr>
            <w:tr w14:paraId="147C3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tcBorders>
                    <w:tl2br w:val="nil"/>
                    <w:tr2bl w:val="nil"/>
                  </w:tcBorders>
                  <w:vAlign w:val="center"/>
                </w:tcPr>
                <w:p w14:paraId="4C80DC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highlight w:val="none"/>
                      <w:vertAlign w:val="baseline"/>
                      <w:lang w:val="en-US" w:eastAsia="zh-CN"/>
                    </w:rPr>
                  </w:pPr>
                  <w:r>
                    <w:rPr>
                      <w:rFonts w:hint="eastAsia" w:ascii="Times New Roman" w:hAnsi="Times New Roman" w:cs="Times New Roman"/>
                      <w:b w:val="0"/>
                      <w:bCs/>
                      <w:sz w:val="21"/>
                      <w:szCs w:val="21"/>
                      <w:highlight w:val="none"/>
                      <w:vertAlign w:val="baseline"/>
                      <w:lang w:val="en-US" w:eastAsia="zh-CN"/>
                    </w:rPr>
                    <w:t>备注：宠物住院规模按照最大住院量进行核算；门诊规模为建设单位提供的最大接诊量；</w:t>
                  </w:r>
                </w:p>
              </w:tc>
            </w:tr>
          </w:tbl>
          <w:p w14:paraId="77A2749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2.8.2排水</w:t>
            </w:r>
          </w:p>
          <w:p w14:paraId="2B68C2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 w:val="0"/>
                <w:bCs/>
                <w:sz w:val="24"/>
                <w:szCs w:val="24"/>
                <w:highlight w:val="yellow"/>
                <w:vertAlign w:val="baseline"/>
                <w:lang w:val="en-US" w:eastAsia="zh-CN"/>
              </w:rPr>
            </w:pPr>
            <w:r>
              <w:rPr>
                <w:rFonts w:hint="eastAsia" w:ascii="Times New Roman" w:hAnsi="Times New Roman" w:cs="Times New Roman"/>
                <w:b w:val="0"/>
                <w:bCs/>
                <w:sz w:val="24"/>
                <w:szCs w:val="24"/>
                <w:highlight w:val="none"/>
                <w:vertAlign w:val="baseline"/>
                <w:lang w:val="en-US" w:eastAsia="zh-CN"/>
              </w:rPr>
              <w:t>（1）项目废水</w:t>
            </w:r>
            <w:r>
              <w:rPr>
                <w:rFonts w:hint="eastAsia" w:cs="Times New Roman"/>
                <w:b w:val="0"/>
                <w:bCs/>
                <w:sz w:val="24"/>
                <w:szCs w:val="24"/>
                <w:highlight w:val="none"/>
                <w:vertAlign w:val="baseline"/>
                <w:lang w:val="en-US" w:eastAsia="zh-CN"/>
              </w:rPr>
              <w:t>来自</w:t>
            </w:r>
            <w:r>
              <w:rPr>
                <w:rFonts w:hint="eastAsia" w:ascii="Times New Roman" w:hAnsi="Times New Roman" w:cs="Times New Roman"/>
                <w:b w:val="0"/>
                <w:bCs/>
                <w:sz w:val="24"/>
                <w:szCs w:val="24"/>
                <w:highlight w:val="none"/>
                <w:vertAlign w:val="baseline"/>
                <w:lang w:val="en-US" w:eastAsia="zh-CN"/>
              </w:rPr>
              <w:t>生活污水、医疗废水。废水排放总量为</w:t>
            </w:r>
            <w:r>
              <w:rPr>
                <w:rFonts w:hint="eastAsia" w:cs="Times New Roman"/>
                <w:b w:val="0"/>
                <w:bCs/>
                <w:sz w:val="24"/>
                <w:szCs w:val="24"/>
                <w:highlight w:val="none"/>
                <w:vertAlign w:val="baseline"/>
                <w:lang w:val="en-US" w:eastAsia="zh-CN"/>
              </w:rPr>
              <w:t>1.3005</w:t>
            </w:r>
            <w:r>
              <w:rPr>
                <w:rFonts w:hint="eastAsia" w:ascii="Times New Roman" w:hAnsi="Times New Roman" w:cs="Times New Roman"/>
                <w:b w:val="0"/>
                <w:bCs/>
                <w:sz w:val="24"/>
                <w:szCs w:val="24"/>
                <w:highlight w:val="none"/>
                <w:vertAlign w:val="baseli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/d（</w:t>
            </w:r>
            <w:r>
              <w:rPr>
                <w:rFonts w:hint="eastAsia" w:cs="Times New Roman"/>
                <w:b w:val="0"/>
                <w:bCs/>
                <w:sz w:val="24"/>
                <w:szCs w:val="24"/>
                <w:highlight w:val="none"/>
                <w:vertAlign w:val="baseline"/>
                <w:lang w:val="en-US" w:eastAsia="zh-CN"/>
              </w:rPr>
              <w:t>474.6825</w:t>
            </w:r>
            <w:r>
              <w:rPr>
                <w:rFonts w:hint="eastAsia" w:ascii="Times New Roman" w:hAnsi="Times New Roman" w:cs="Times New Roman"/>
                <w:b w:val="0"/>
                <w:bCs/>
                <w:sz w:val="24"/>
                <w:szCs w:val="24"/>
                <w:highlight w:val="none"/>
                <w:vertAlign w:val="baseli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/a），其中医疗废水</w:t>
            </w:r>
            <w:r>
              <w:rPr>
                <w:rFonts w:hint="eastAsia" w:cs="Times New Roman"/>
                <w:b w:val="0"/>
                <w:bCs/>
                <w:sz w:val="24"/>
                <w:szCs w:val="24"/>
                <w:highlight w:val="none"/>
                <w:vertAlign w:val="baseline"/>
                <w:lang w:val="en-US" w:eastAsia="zh-CN"/>
              </w:rPr>
              <w:t>0.4185</w:t>
            </w:r>
            <w:r>
              <w:rPr>
                <w:rFonts w:hint="eastAsia" w:ascii="Times New Roman" w:hAnsi="Times New Roman" w:cs="Times New Roman"/>
                <w:b w:val="0"/>
                <w:bCs/>
                <w:sz w:val="24"/>
                <w:szCs w:val="24"/>
                <w:highlight w:val="none"/>
                <w:vertAlign w:val="baseli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/d，生活污水量0.</w:t>
            </w:r>
            <w:r>
              <w:rPr>
                <w:rFonts w:hint="eastAsia" w:cs="Times New Roman"/>
                <w:b w:val="0"/>
                <w:bCs/>
                <w:sz w:val="24"/>
                <w:szCs w:val="24"/>
                <w:highlight w:val="none"/>
                <w:vertAlign w:val="baseline"/>
                <w:lang w:val="en-US" w:eastAsia="zh-CN"/>
              </w:rPr>
              <w:t>396</w:t>
            </w:r>
            <w:r>
              <w:rPr>
                <w:rFonts w:hint="eastAsia" w:ascii="Times New Roman" w:hAnsi="Times New Roman" w:cs="Times New Roman"/>
                <w:b w:val="0"/>
                <w:bCs/>
                <w:sz w:val="24"/>
                <w:szCs w:val="24"/>
                <w:highlight w:val="none"/>
                <w:vertAlign w:val="baseli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/d</w:t>
            </w:r>
            <w:r>
              <w:rPr>
                <w:rFonts w:hint="eastAsia" w:cs="Times New Roman"/>
                <w:b w:val="0"/>
                <w:bCs/>
                <w:sz w:val="24"/>
                <w:szCs w:val="24"/>
                <w:highlight w:val="none"/>
                <w:vertAlign w:val="baseline"/>
                <w:lang w:val="en-US" w:eastAsia="zh-CN"/>
              </w:rPr>
              <w:t>，其他污水0.486</w:t>
            </w:r>
            <w:r>
              <w:rPr>
                <w:rFonts w:hint="eastAsia" w:ascii="Times New Roman" w:hAnsi="Times New Roman" w:cs="Times New Roman"/>
                <w:b w:val="0"/>
                <w:bCs/>
                <w:sz w:val="24"/>
                <w:szCs w:val="24"/>
                <w:highlight w:val="none"/>
                <w:vertAlign w:val="baseli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eastAsia" w:ascii="Times New Roman" w:hAnsi="Times New Roman" w:cs="Times New Roman"/>
                <w:b w:val="0"/>
                <w:bCs/>
                <w:sz w:val="24"/>
                <w:szCs w:val="24"/>
                <w:highlight w:val="none"/>
                <w:vertAlign w:val="baseline"/>
                <w:lang w:val="en-US" w:eastAsia="zh-CN"/>
              </w:rPr>
              <w:t>/d。医疗废水经</w:t>
            </w:r>
            <w:r>
              <w:rPr>
                <w:rFonts w:hint="eastAsia" w:cs="Times New Roman"/>
                <w:b w:val="0"/>
                <w:bCs/>
                <w:sz w:val="24"/>
                <w:szCs w:val="24"/>
                <w:highlight w:val="none"/>
                <w:vertAlign w:val="baseline"/>
                <w:lang w:val="en-US" w:eastAsia="zh-CN"/>
              </w:rPr>
              <w:t>消毒设施</w:t>
            </w:r>
            <w:r>
              <w:rPr>
                <w:rFonts w:hint="eastAsia" w:ascii="Times New Roman" w:hAnsi="Times New Roman" w:cs="Times New Roman"/>
                <w:b w:val="0"/>
                <w:bCs/>
                <w:sz w:val="24"/>
                <w:szCs w:val="24"/>
                <w:highlight w:val="none"/>
                <w:vertAlign w:val="baseline"/>
                <w:lang w:val="en-US" w:eastAsia="zh-CN"/>
              </w:rPr>
              <w:t>预处理后（出水参照执行《医疗机构水污染物排放标准》（GB18466-2005）预处理标准），再与生活污水</w:t>
            </w:r>
            <w:r>
              <w:rPr>
                <w:rFonts w:hint="eastAsia" w:cs="Times New Roman"/>
                <w:b w:val="0"/>
                <w:bCs/>
                <w:sz w:val="24"/>
                <w:szCs w:val="24"/>
                <w:highlight w:val="none"/>
                <w:vertAlign w:val="baseline"/>
                <w:lang w:val="en-US" w:eastAsia="zh-CN"/>
              </w:rPr>
              <w:t>、其他污水</w:t>
            </w:r>
            <w:r>
              <w:rPr>
                <w:rFonts w:hint="eastAsia" w:ascii="Times New Roman" w:hAnsi="Times New Roman" w:cs="Times New Roman"/>
                <w:b w:val="0"/>
                <w:bCs/>
                <w:sz w:val="24"/>
                <w:szCs w:val="24"/>
                <w:highlight w:val="none"/>
                <w:vertAlign w:val="baseline"/>
                <w:lang w:val="en-US" w:eastAsia="zh-CN"/>
              </w:rPr>
              <w:t>一并进入</w:t>
            </w:r>
            <w:r>
              <w:rPr>
                <w:rFonts w:hint="eastAsia" w:cs="Times New Roman"/>
                <w:b w:val="0"/>
                <w:bCs/>
                <w:sz w:val="24"/>
                <w:szCs w:val="24"/>
                <w:highlight w:val="none"/>
                <w:vertAlign w:val="baseline"/>
                <w:lang w:val="en-US" w:eastAsia="zh-CN"/>
              </w:rPr>
              <w:t>恒大绿岛新城B区</w:t>
            </w:r>
            <w:r>
              <w:rPr>
                <w:rFonts w:hint="eastAsia" w:ascii="Times New Roman" w:hAnsi="Times New Roman" w:cs="Times New Roman"/>
                <w:b w:val="0"/>
                <w:bCs/>
                <w:sz w:val="24"/>
                <w:szCs w:val="24"/>
                <w:highlight w:val="none"/>
                <w:vertAlign w:val="baseline"/>
                <w:lang w:val="en-US" w:eastAsia="zh-CN"/>
              </w:rPr>
              <w:t>生化池处理达《污水综合排放标准》（GB8978-1996）三级标准后排入市政污水管网</w:t>
            </w:r>
            <w:r>
              <w:rPr>
                <w:rFonts w:hint="eastAsia" w:ascii="Times New Roman" w:hAnsi="Times New Roman" w:eastAsia="宋体" w:cs="Times New Roman"/>
                <w:b w:val="0"/>
                <w:bCs/>
                <w:sz w:val="24"/>
                <w:szCs w:val="24"/>
                <w:highlight w:val="none"/>
                <w:vertAlign w:val="baseline"/>
                <w:lang w:val="en-US" w:eastAsia="zh-CN"/>
              </w:rPr>
              <w:t>，</w:t>
            </w:r>
            <w:r>
              <w:rPr>
                <w:rFonts w:hint="default" w:ascii="Times New Roman" w:hAnsi="Times New Roman" w:eastAsia="宋体" w:cs="Times New Roman"/>
                <w:b w:val="0"/>
                <w:bCs/>
                <w:sz w:val="24"/>
                <w:szCs w:val="24"/>
                <w:highlight w:val="none"/>
                <w:vertAlign w:val="baseline"/>
                <w:lang w:val="en-US" w:eastAsia="zh-CN"/>
              </w:rPr>
              <w:t>再经</w:t>
            </w:r>
            <w:r>
              <w:rPr>
                <w:rFonts w:hint="eastAsia" w:ascii="Times New Roman" w:hAnsi="Times New Roman" w:eastAsia="宋体" w:cs="Times New Roman"/>
                <w:b w:val="0"/>
                <w:bCs/>
                <w:sz w:val="24"/>
                <w:szCs w:val="24"/>
                <w:highlight w:val="none"/>
                <w:vertAlign w:val="baseline"/>
                <w:lang w:val="en-US" w:eastAsia="zh-CN"/>
              </w:rPr>
              <w:t>观音塘污水处理厂</w:t>
            </w:r>
            <w:r>
              <w:rPr>
                <w:rFonts w:hint="default" w:ascii="Times New Roman" w:hAnsi="Times New Roman" w:eastAsia="宋体" w:cs="Times New Roman"/>
                <w:b w:val="0"/>
                <w:bCs/>
                <w:sz w:val="24"/>
                <w:szCs w:val="24"/>
                <w:highlight w:val="none"/>
                <w:vertAlign w:val="baseline"/>
                <w:lang w:val="en-US" w:eastAsia="zh-CN"/>
              </w:rPr>
              <w:t>处理</w:t>
            </w:r>
            <w:r>
              <w:rPr>
                <w:rFonts w:hint="eastAsia" w:ascii="Times New Roman" w:hAnsi="Times New Roman" w:eastAsia="宋体" w:cs="Times New Roman"/>
                <w:b w:val="0"/>
                <w:bCs/>
                <w:sz w:val="24"/>
                <w:szCs w:val="24"/>
                <w:highlight w:val="none"/>
                <w:vertAlign w:val="baseline"/>
                <w:lang w:val="en-US" w:eastAsia="zh-CN"/>
              </w:rPr>
              <w:t>《地表水环境质量标准》（GB3838-2002）中</w:t>
            </w:r>
            <w:r>
              <w:rPr>
                <w:rFonts w:hint="eastAsia" w:cs="Times New Roman"/>
                <w:b w:val="0"/>
                <w:bCs/>
                <w:sz w:val="24"/>
                <w:szCs w:val="24"/>
                <w:highlight w:val="none"/>
                <w:vertAlign w:val="baseline"/>
                <w:lang w:val="en-US" w:eastAsia="zh-CN"/>
              </w:rPr>
              <w:t>Ⅳ类</w:t>
            </w:r>
            <w:r>
              <w:rPr>
                <w:rFonts w:hint="eastAsia" w:ascii="Times New Roman" w:hAnsi="Times New Roman" w:eastAsia="宋体" w:cs="Times New Roman"/>
                <w:b w:val="0"/>
                <w:bCs/>
                <w:sz w:val="24"/>
                <w:szCs w:val="24"/>
                <w:highlight w:val="none"/>
                <w:vertAlign w:val="baseline"/>
                <w:lang w:val="en-US" w:eastAsia="zh-CN"/>
              </w:rPr>
              <w:t>标准（COD、BOD5、氨氮、总磷）和《城镇污水处理厂污染物排放标准》（GB18918-2002）中一级A标准（其余指标）后排入璧南河</w:t>
            </w:r>
            <w:r>
              <w:rPr>
                <w:rFonts w:hint="default" w:ascii="Times New Roman" w:hAnsi="Times New Roman" w:eastAsia="宋体" w:cs="Times New Roman"/>
                <w:b w:val="0"/>
                <w:bCs/>
                <w:sz w:val="24"/>
                <w:szCs w:val="24"/>
                <w:highlight w:val="none"/>
                <w:vertAlign w:val="baseline"/>
                <w:lang w:val="en-US" w:eastAsia="zh-CN"/>
              </w:rPr>
              <w:t>。</w:t>
            </w:r>
          </w:p>
          <w:p w14:paraId="76D605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drawing>
                <wp:inline distT="0" distB="0" distL="114300" distR="114300">
                  <wp:extent cx="5335270" cy="6500495"/>
                  <wp:effectExtent l="0" t="0" r="0" b="0"/>
                  <wp:docPr id="1" name="ECB019B1-382A-4266-B25C-5B523AA43C14-1" descr="C:/Users/Administrator/AppData/Local/Temp/wps.MPQms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MPQmsawps"/>
                          <pic:cNvPicPr>
                            <a:picLocks noChangeAspect="1"/>
                          </pic:cNvPicPr>
                        </pic:nvPicPr>
                        <pic:blipFill>
                          <a:blip r:embed="rId11"/>
                          <a:stretch>
                            <a:fillRect/>
                          </a:stretch>
                        </pic:blipFill>
                        <pic:spPr>
                          <a:xfrm>
                            <a:off x="0" y="0"/>
                            <a:ext cx="5335270" cy="6500495"/>
                          </a:xfrm>
                          <a:prstGeom prst="rect">
                            <a:avLst/>
                          </a:prstGeom>
                        </pic:spPr>
                      </pic:pic>
                    </a:graphicData>
                  </a:graphic>
                </wp:inline>
              </w:drawing>
            </w:r>
          </w:p>
          <w:p w14:paraId="76BB444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eastAsia" w:ascii="Times New Roman" w:hAnsi="Times New Roman"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附图2.1项目水平衡图</w:t>
            </w:r>
            <w:r>
              <w:rPr>
                <w:rFonts w:hint="eastAsia" w:ascii="Times New Roman" w:hAnsi="Times New Roman" w:cs="Times New Roman"/>
                <w:b w:val="0"/>
                <w:bCs/>
                <w:sz w:val="24"/>
                <w:szCs w:val="24"/>
                <w:highlight w:val="none"/>
                <w:lang w:val="en-US" w:eastAsia="zh-CN"/>
              </w:rPr>
              <w:t>（m</w:t>
            </w:r>
            <w:r>
              <w:rPr>
                <w:rFonts w:hint="eastAsia" w:ascii="Times New Roman" w:hAnsi="Times New Roman" w:cs="Times New Roman"/>
                <w:b w:val="0"/>
                <w:bCs/>
                <w:sz w:val="24"/>
                <w:szCs w:val="24"/>
                <w:highlight w:val="none"/>
                <w:vertAlign w:val="superscript"/>
                <w:lang w:val="en-US" w:eastAsia="zh-CN"/>
              </w:rPr>
              <w:t>3</w:t>
            </w:r>
            <w:r>
              <w:rPr>
                <w:rFonts w:hint="default" w:ascii="Times New Roman" w:hAnsi="Times New Roman" w:cs="Times New Roman"/>
                <w:b w:val="0"/>
                <w:bCs/>
                <w:sz w:val="24"/>
                <w:szCs w:val="24"/>
                <w:highlight w:val="none"/>
                <w:lang w:val="en-US" w:eastAsia="zh-CN"/>
              </w:rPr>
              <w:t>/d</w:t>
            </w:r>
            <w:r>
              <w:rPr>
                <w:rFonts w:hint="eastAsia" w:ascii="Times New Roman" w:hAnsi="Times New Roman" w:cs="Times New Roman"/>
                <w:b w:val="0"/>
                <w:bCs/>
                <w:sz w:val="24"/>
                <w:szCs w:val="24"/>
                <w:highlight w:val="none"/>
                <w:lang w:val="en-US" w:eastAsia="zh-CN"/>
              </w:rPr>
              <w:t>）</w:t>
            </w:r>
          </w:p>
          <w:p w14:paraId="143E790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2.8.3供电</w:t>
            </w:r>
          </w:p>
          <w:p w14:paraId="7B9C09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由市政供电设施供电，能满足项目需要。</w:t>
            </w:r>
          </w:p>
          <w:p w14:paraId="258152D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2.8.4热水</w:t>
            </w:r>
          </w:p>
          <w:p w14:paraId="4D453D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r>
              <w:rPr>
                <w:rFonts w:hint="default" w:ascii="Times New Roman" w:hAnsi="Times New Roman" w:cs="Times New Roman"/>
                <w:b w:val="0"/>
                <w:bCs/>
                <w:sz w:val="24"/>
                <w:szCs w:val="24"/>
                <w:highlight w:val="none"/>
                <w:vertAlign w:val="baseline"/>
                <w:lang w:val="en-US" w:eastAsia="zh-CN"/>
              </w:rPr>
              <w:t>项目采用电热水器烧水。</w:t>
            </w:r>
          </w:p>
          <w:p w14:paraId="781DFDC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2.8.5消毒系统</w:t>
            </w:r>
          </w:p>
          <w:p w14:paraId="562259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本项目手术器械、玻璃器皿等采用高压灭菌锅消毒，</w:t>
            </w:r>
            <w:r>
              <w:rPr>
                <w:rFonts w:hint="eastAsia" w:cs="Times New Roman"/>
                <w:sz w:val="24"/>
                <w:szCs w:val="24"/>
                <w:lang w:val="en-US" w:eastAsia="zh-CN"/>
              </w:rPr>
              <w:t>住院区</w:t>
            </w:r>
            <w:r>
              <w:rPr>
                <w:rFonts w:hint="eastAsia" w:ascii="Times New Roman" w:hAnsi="Times New Roman" w:eastAsia="宋体" w:cs="Times New Roman"/>
                <w:sz w:val="24"/>
                <w:szCs w:val="24"/>
                <w:lang w:val="en-US" w:eastAsia="zh-CN"/>
              </w:rPr>
              <w:t>通过紫外线灯进行消毒杀菌，医院整体采用84消毒液喷洒消毒，手术室台面、地面等采用84消毒液喷洒消毒，宠物粪污采用84消毒液喷洒消毒，医疗废水通过投加二氧化氯消毒片进行消毒</w:t>
            </w:r>
            <w:r>
              <w:rPr>
                <w:rFonts w:hint="eastAsia" w:cs="Times New Roman"/>
                <w:sz w:val="24"/>
                <w:szCs w:val="24"/>
                <w:highlight w:val="none"/>
                <w:lang w:val="en-US" w:eastAsia="zh-CN"/>
              </w:rPr>
              <w:t>，医疗废水密闭暂存并通过</w:t>
            </w:r>
            <w:r>
              <w:rPr>
                <w:rFonts w:hint="eastAsia"/>
                <w:color w:val="auto"/>
                <w:sz w:val="24"/>
                <w:szCs w:val="24"/>
                <w:highlight w:val="none"/>
                <w:lang w:val="en-US" w:eastAsia="zh-CN"/>
              </w:rPr>
              <w:t>二氧化氯消毒片</w:t>
            </w:r>
            <w:r>
              <w:rPr>
                <w:rFonts w:hint="eastAsia" w:cs="Times New Roman"/>
                <w:sz w:val="24"/>
                <w:szCs w:val="24"/>
                <w:highlight w:val="none"/>
                <w:lang w:val="en-US" w:eastAsia="zh-CN"/>
              </w:rPr>
              <w:t>消毒</w:t>
            </w:r>
            <w:r>
              <w:rPr>
                <w:rFonts w:hint="eastAsia" w:ascii="Times New Roman" w:hAnsi="Times New Roman" w:eastAsia="宋体" w:cs="Times New Roman"/>
                <w:sz w:val="24"/>
                <w:szCs w:val="24"/>
                <w:highlight w:val="none"/>
                <w:lang w:val="en-US" w:eastAsia="zh-CN"/>
              </w:rPr>
              <w:t>。</w:t>
            </w:r>
          </w:p>
          <w:p w14:paraId="5B386FC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2.8.6供氧系统</w:t>
            </w:r>
          </w:p>
          <w:p w14:paraId="327B9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本项目在手术室内设</w:t>
            </w:r>
            <w:r>
              <w:rPr>
                <w:rFonts w:hint="eastAsia"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个</w:t>
            </w:r>
            <w:r>
              <w:rPr>
                <w:rFonts w:hint="eastAsia" w:ascii="Times New Roman" w:hAnsi="Times New Roman" w:eastAsia="宋体" w:cs="Times New Roman"/>
                <w:sz w:val="24"/>
                <w:szCs w:val="24"/>
                <w:lang w:val="en-US" w:eastAsia="zh-CN"/>
              </w:rPr>
              <w:t>成品氧气瓶，单个容积为40L，设置了1台制氧机。</w:t>
            </w:r>
          </w:p>
          <w:p w14:paraId="57BC413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val="0"/>
                <w:sz w:val="24"/>
                <w:szCs w:val="24"/>
                <w:highlight w:val="none"/>
                <w:vertAlign w:val="baseline"/>
                <w:lang w:val="en-US" w:eastAsia="zh-CN"/>
              </w:rPr>
            </w:pPr>
            <w:r>
              <w:rPr>
                <w:rFonts w:hint="eastAsia" w:ascii="Times New Roman" w:hAnsi="Times New Roman" w:cs="Times New Roman"/>
                <w:b/>
                <w:bCs w:val="0"/>
                <w:sz w:val="24"/>
                <w:szCs w:val="24"/>
                <w:highlight w:val="none"/>
                <w:vertAlign w:val="baseline"/>
                <w:lang w:val="en-US" w:eastAsia="zh-CN"/>
              </w:rPr>
              <w:t>2.8.7通风系统</w:t>
            </w:r>
          </w:p>
          <w:p w14:paraId="1AB3EF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highlight w:val="none"/>
                <w:lang w:val="en-US" w:eastAsia="zh-CN"/>
              </w:rPr>
              <w:t>本项目采用自然通风和单体式空调结合的形式进行通风。</w:t>
            </w:r>
          </w:p>
          <w:p w14:paraId="0846E9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p>
          <w:p w14:paraId="280138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sz w:val="24"/>
                <w:szCs w:val="24"/>
                <w:highlight w:val="none"/>
                <w:vertAlign w:val="baseline"/>
                <w:lang w:val="en-US" w:eastAsia="zh-CN"/>
              </w:rPr>
            </w:pPr>
          </w:p>
          <w:p w14:paraId="2BEB29A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default" w:ascii="Times New Roman" w:hAnsi="Times New Roman" w:cs="Times New Roman"/>
                <w:b w:val="0"/>
                <w:bCs/>
                <w:sz w:val="24"/>
                <w:szCs w:val="24"/>
                <w:highlight w:val="none"/>
                <w:lang w:val="en-US" w:eastAsia="zh-CN"/>
              </w:rPr>
            </w:pPr>
          </w:p>
        </w:tc>
      </w:tr>
      <w:tr w14:paraId="58295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57" w:hRule="atLeast"/>
          <w:jc w:val="center"/>
        </w:trPr>
        <w:tc>
          <w:tcPr>
            <w:tcW w:w="485" w:type="dxa"/>
            <w:noWrap w:val="0"/>
            <w:vAlign w:val="center"/>
          </w:tcPr>
          <w:p w14:paraId="7984571B">
            <w:pPr>
              <w:pStyle w:val="17"/>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499" w:type="dxa"/>
            <w:noWrap w:val="0"/>
            <w:vAlign w:val="top"/>
          </w:tcPr>
          <w:p w14:paraId="33D5CA9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sz w:val="24"/>
                <w:szCs w:val="24"/>
              </w:rPr>
            </w:pPr>
            <w:r>
              <w:rPr>
                <w:rFonts w:hint="default" w:ascii="Times New Roman" w:hAnsi="Times New Roman" w:cs="Times New Roman"/>
                <w:b/>
                <w:bCs w:val="0"/>
                <w:sz w:val="24"/>
                <w:szCs w:val="24"/>
              </w:rPr>
              <w:t>2.9工艺流程及产排污环节分析</w:t>
            </w:r>
          </w:p>
          <w:p w14:paraId="2360782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sz w:val="24"/>
                <w:szCs w:val="24"/>
              </w:rPr>
            </w:pPr>
            <w:r>
              <w:rPr>
                <w:rFonts w:hint="default" w:ascii="Times New Roman" w:hAnsi="Times New Roman" w:cs="Times New Roman"/>
                <w:b/>
                <w:bCs w:val="0"/>
                <w:sz w:val="24"/>
                <w:szCs w:val="24"/>
              </w:rPr>
              <w:t>2.9.</w:t>
            </w:r>
            <w:r>
              <w:rPr>
                <w:rFonts w:hint="eastAsia" w:cs="Times New Roman"/>
                <w:b/>
                <w:bCs w:val="0"/>
                <w:sz w:val="24"/>
                <w:szCs w:val="24"/>
                <w:lang w:val="en-US" w:eastAsia="zh-CN"/>
              </w:rPr>
              <w:t>1</w:t>
            </w:r>
            <w:r>
              <w:rPr>
                <w:rFonts w:hint="default" w:ascii="Times New Roman" w:hAnsi="Times New Roman" w:cs="Times New Roman"/>
                <w:b/>
                <w:bCs w:val="0"/>
                <w:sz w:val="24"/>
                <w:szCs w:val="24"/>
              </w:rPr>
              <w:t xml:space="preserve"> </w:t>
            </w:r>
            <w:r>
              <w:rPr>
                <w:rFonts w:hint="eastAsia" w:cs="Times New Roman"/>
                <w:b/>
                <w:bCs w:val="0"/>
                <w:sz w:val="24"/>
                <w:szCs w:val="24"/>
                <w:lang w:eastAsia="zh-CN"/>
              </w:rPr>
              <w:t>施工期</w:t>
            </w:r>
            <w:r>
              <w:rPr>
                <w:rFonts w:hint="default" w:ascii="Times New Roman" w:hAnsi="Times New Roman" w:cs="Times New Roman"/>
                <w:b/>
                <w:bCs w:val="0"/>
                <w:sz w:val="24"/>
                <w:szCs w:val="24"/>
              </w:rPr>
              <w:t>工艺流程及产排污分析</w:t>
            </w:r>
          </w:p>
          <w:p w14:paraId="62362E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本次</w:t>
            </w:r>
            <w:r>
              <w:rPr>
                <w:rFonts w:hint="eastAsia" w:cs="Times New Roman"/>
                <w:b w:val="0"/>
                <w:bCs/>
                <w:color w:val="auto"/>
                <w:sz w:val="24"/>
                <w:szCs w:val="24"/>
                <w:highlight w:val="none"/>
                <w:lang w:val="en-US" w:eastAsia="zh-CN"/>
              </w:rPr>
              <w:t>建设</w:t>
            </w:r>
            <w:r>
              <w:rPr>
                <w:rFonts w:hint="eastAsia" w:ascii="Times New Roman" w:hAnsi="Times New Roman" w:cs="Times New Roman"/>
                <w:b w:val="0"/>
                <w:bCs/>
                <w:color w:val="auto"/>
                <w:sz w:val="24"/>
                <w:szCs w:val="24"/>
                <w:highlight w:val="none"/>
                <w:lang w:val="en-US" w:eastAsia="zh-CN"/>
              </w:rPr>
              <w:t>是在宠物医院现有手术基础上增设动物颅腔、胸腔、腹腔手术服务，仅新增部分设备，无需重新装修，无施工期。故本次评价不再对施工期进行分析</w:t>
            </w:r>
            <w:r>
              <w:rPr>
                <w:rFonts w:hint="eastAsia" w:cs="Times New Roman"/>
                <w:b w:val="0"/>
                <w:bCs/>
                <w:color w:val="auto"/>
                <w:sz w:val="24"/>
                <w:szCs w:val="24"/>
                <w:highlight w:val="none"/>
                <w:lang w:val="en-US" w:eastAsia="zh-CN"/>
              </w:rPr>
              <w:t>。</w:t>
            </w:r>
          </w:p>
          <w:p w14:paraId="26051F5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val="0"/>
                <w:sz w:val="24"/>
                <w:szCs w:val="24"/>
              </w:rPr>
            </w:pPr>
            <w:r>
              <w:rPr>
                <w:rFonts w:hint="default" w:ascii="Times New Roman" w:hAnsi="Times New Roman" w:cs="Times New Roman"/>
                <w:b/>
                <w:bCs w:val="0"/>
                <w:sz w:val="24"/>
                <w:szCs w:val="24"/>
              </w:rPr>
              <w:t>2.9.</w:t>
            </w:r>
            <w:r>
              <w:rPr>
                <w:rFonts w:hint="eastAsia" w:cs="Times New Roman"/>
                <w:b/>
                <w:bCs w:val="0"/>
                <w:sz w:val="24"/>
                <w:szCs w:val="24"/>
                <w:lang w:val="en-US" w:eastAsia="zh-CN"/>
              </w:rPr>
              <w:t>2</w:t>
            </w:r>
            <w:r>
              <w:rPr>
                <w:rFonts w:hint="default" w:ascii="Times New Roman" w:hAnsi="Times New Roman" w:cs="Times New Roman"/>
                <w:b/>
                <w:bCs w:val="0"/>
                <w:sz w:val="24"/>
                <w:szCs w:val="24"/>
              </w:rPr>
              <w:t xml:space="preserve"> 营运期工艺流程及产排污分析</w:t>
            </w:r>
          </w:p>
          <w:p w14:paraId="2C45E8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项目建成后主要进行狗、猫等宠物疾病预防、诊疗、治疗和手术</w:t>
            </w:r>
            <w:r>
              <w:rPr>
                <w:rFonts w:hint="eastAsia" w:ascii="Times New Roman" w:hAnsi="Times New Roman" w:cs="Times New Roman"/>
                <w:b w:val="0"/>
                <w:bCs/>
                <w:sz w:val="24"/>
                <w:szCs w:val="24"/>
                <w:lang w:eastAsia="zh-CN"/>
              </w:rPr>
              <w:t>（</w:t>
            </w:r>
            <w:r>
              <w:rPr>
                <w:rFonts w:hint="default" w:ascii="Times New Roman" w:hAnsi="Times New Roman" w:cs="Times New Roman"/>
                <w:b w:val="0"/>
                <w:bCs/>
                <w:sz w:val="24"/>
                <w:szCs w:val="24"/>
              </w:rPr>
              <w:t>含三腔手术</w:t>
            </w:r>
            <w:r>
              <w:rPr>
                <w:rFonts w:hint="eastAsia" w:ascii="Times New Roman" w:hAnsi="Times New Roman" w:cs="Times New Roman"/>
                <w:b w:val="0"/>
                <w:bCs/>
                <w:sz w:val="24"/>
                <w:szCs w:val="24"/>
                <w:lang w:eastAsia="zh-CN"/>
              </w:rPr>
              <w:t>）</w:t>
            </w:r>
            <w:r>
              <w:rPr>
                <w:rFonts w:hint="default" w:ascii="Times New Roman" w:hAnsi="Times New Roman" w:cs="Times New Roman"/>
                <w:b w:val="0"/>
                <w:bCs/>
                <w:sz w:val="24"/>
                <w:szCs w:val="24"/>
              </w:rPr>
              <w:t>，宠物进行挂号、就诊、化验、治疗和手术、住院观察等，部分宠物仅打疫苗预防疾病。</w:t>
            </w:r>
            <w:r>
              <w:rPr>
                <w:rFonts w:hint="default" w:ascii="Times New Roman" w:hAnsi="Times New Roman" w:cs="Times New Roman"/>
                <w:b w:val="0"/>
                <w:bCs/>
                <w:sz w:val="24"/>
                <w:szCs w:val="24"/>
                <w:highlight w:val="none"/>
              </w:rPr>
              <w:t>项目配备1台DR自带数字直接成像系统。不需要出片，不设置洗片室，不涉及洗片废水产生。</w:t>
            </w:r>
            <w:r>
              <w:rPr>
                <w:rFonts w:hint="default" w:ascii="Times New Roman" w:hAnsi="Times New Roman" w:cs="Times New Roman"/>
                <w:b w:val="0"/>
                <w:bCs/>
                <w:sz w:val="24"/>
                <w:szCs w:val="24"/>
              </w:rPr>
              <w:t>项目医疗服务的工作流程及产污节点见下图。</w:t>
            </w:r>
          </w:p>
          <w:p w14:paraId="7F4FC9B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val="0"/>
                <w:bCs/>
                <w:sz w:val="24"/>
                <w:szCs w:val="24"/>
                <w:lang w:eastAsia="zh-CN"/>
              </w:rPr>
              <w:drawing>
                <wp:inline distT="0" distB="0" distL="114300" distR="114300">
                  <wp:extent cx="5327650" cy="2264410"/>
                  <wp:effectExtent l="0" t="0" r="0" b="0"/>
                  <wp:docPr id="2" name="ECB019B1-382A-4266-B25C-5B523AA43C14-2" descr="C:/Users/Administrator/AppData/Local/Temp/wps.fEIif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fEIifXwps"/>
                          <pic:cNvPicPr>
                            <a:picLocks noChangeAspect="1"/>
                          </pic:cNvPicPr>
                        </pic:nvPicPr>
                        <pic:blipFill>
                          <a:blip r:embed="rId12"/>
                          <a:stretch>
                            <a:fillRect/>
                          </a:stretch>
                        </pic:blipFill>
                        <pic:spPr>
                          <a:xfrm>
                            <a:off x="0" y="0"/>
                            <a:ext cx="5327650" cy="2264410"/>
                          </a:xfrm>
                          <a:prstGeom prst="rect">
                            <a:avLst/>
                          </a:prstGeom>
                        </pic:spPr>
                      </pic:pic>
                    </a:graphicData>
                  </a:graphic>
                </wp:inline>
              </w:drawing>
            </w:r>
          </w:p>
          <w:p w14:paraId="0E18E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val="0"/>
                <w:bCs/>
                <w:sz w:val="24"/>
                <w:szCs w:val="24"/>
                <w:lang w:eastAsia="zh-CN"/>
              </w:rPr>
              <w:t>图2.9-1 医疗服务工作流程及产污环节分析</w:t>
            </w:r>
          </w:p>
          <w:p w14:paraId="23E209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sz w:val="24"/>
                <w:szCs w:val="24"/>
                <w:lang w:eastAsia="zh-CN"/>
              </w:rPr>
            </w:pPr>
            <w:r>
              <w:rPr>
                <w:rFonts w:hint="default" w:ascii="Times New Roman" w:hAnsi="Times New Roman" w:eastAsia="宋体" w:cs="Times New Roman"/>
                <w:b w:val="0"/>
                <w:bCs/>
                <w:sz w:val="24"/>
                <w:szCs w:val="24"/>
                <w:lang w:eastAsia="zh-CN"/>
              </w:rPr>
              <w:t>工艺流程简述</w:t>
            </w:r>
            <w:r>
              <w:rPr>
                <w:rFonts w:hint="eastAsia" w:ascii="Times New Roman" w:hAnsi="Times New Roman" w:cs="Times New Roman"/>
                <w:b w:val="0"/>
                <w:bCs/>
                <w:sz w:val="24"/>
                <w:szCs w:val="24"/>
                <w:lang w:eastAsia="zh-CN"/>
              </w:rPr>
              <w:t>：</w:t>
            </w:r>
          </w:p>
          <w:p w14:paraId="2401EA6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eastAsia="zh-CN"/>
              </w:rPr>
              <w:t>（</w:t>
            </w:r>
            <w:r>
              <w:rPr>
                <w:rFonts w:hint="eastAsia" w:ascii="Times New Roman" w:hAnsi="Times New Roman" w:cs="Times New Roman"/>
                <w:b w:val="0"/>
                <w:bCs/>
                <w:sz w:val="24"/>
                <w:szCs w:val="24"/>
                <w:lang w:val="en-US" w:eastAsia="zh-CN"/>
              </w:rPr>
              <w:t>1</w:t>
            </w:r>
            <w:r>
              <w:rPr>
                <w:rFonts w:hint="eastAsia" w:ascii="Times New Roman" w:hAnsi="Times New Roman" w:cs="Times New Roman"/>
                <w:b w:val="0"/>
                <w:bCs/>
                <w:sz w:val="24"/>
                <w:szCs w:val="24"/>
                <w:lang w:eastAsia="zh-CN"/>
              </w:rPr>
              <w:t>）</w:t>
            </w:r>
            <w:r>
              <w:rPr>
                <w:rFonts w:hint="default" w:ascii="Times New Roman" w:hAnsi="Times New Roman" w:eastAsia="宋体" w:cs="Times New Roman"/>
                <w:b w:val="0"/>
                <w:bCs/>
                <w:sz w:val="24"/>
                <w:szCs w:val="24"/>
                <w:lang w:eastAsia="zh-CN"/>
              </w:rPr>
              <w:t>宠物治疗</w:t>
            </w:r>
          </w:p>
          <w:p w14:paraId="59F4FA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sz w:val="24"/>
                <w:szCs w:val="24"/>
                <w:highlight w:val="none"/>
                <w:lang w:eastAsia="zh-CN"/>
              </w:rPr>
            </w:pPr>
            <w:r>
              <w:rPr>
                <w:rFonts w:hint="default" w:ascii="Times New Roman" w:hAnsi="Times New Roman" w:eastAsia="宋体" w:cs="Times New Roman"/>
                <w:b w:val="0"/>
                <w:bCs/>
                <w:sz w:val="24"/>
                <w:szCs w:val="24"/>
                <w:lang w:eastAsia="zh-CN"/>
              </w:rPr>
              <w:t>项目主要从事犬、猫等动物疫病的预防、诊疗及手术。</w:t>
            </w:r>
            <w:r>
              <w:rPr>
                <w:rFonts w:hint="default" w:ascii="Times New Roman" w:hAnsi="Times New Roman" w:eastAsia="宋体" w:cs="Times New Roman"/>
                <w:b w:val="0"/>
                <w:bCs/>
                <w:sz w:val="24"/>
                <w:szCs w:val="24"/>
                <w:highlight w:val="none"/>
                <w:lang w:eastAsia="zh-CN"/>
              </w:rPr>
              <w:t>项目不接收经诊断患有人畜交叉感染传染病的宠物，仅对一般宠物感染病症进行隔离。项目化验过程中均采用成品试剂，该过程不产生化验废水。</w:t>
            </w:r>
          </w:p>
          <w:p w14:paraId="76FD07B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val="0"/>
                <w:bCs/>
                <w:sz w:val="24"/>
                <w:szCs w:val="24"/>
                <w:lang w:eastAsia="zh-CN"/>
              </w:rPr>
            </w:pPr>
            <w:r>
              <w:rPr>
                <w:rFonts w:hint="default" w:ascii="Times New Roman" w:hAnsi="Times New Roman" w:eastAsia="宋体" w:cs="Times New Roman"/>
                <w:b/>
                <w:bCs w:val="0"/>
                <w:sz w:val="24"/>
                <w:szCs w:val="24"/>
                <w:lang w:eastAsia="zh-CN"/>
              </w:rPr>
              <w:t>检查</w:t>
            </w:r>
            <w:r>
              <w:rPr>
                <w:rFonts w:hint="eastAsia" w:ascii="Times New Roman" w:hAnsi="Times New Roman" w:cs="Times New Roman"/>
                <w:b/>
                <w:bCs w:val="0"/>
                <w:sz w:val="24"/>
                <w:szCs w:val="24"/>
                <w:lang w:eastAsia="zh-CN"/>
              </w:rPr>
              <w:t>：</w:t>
            </w:r>
            <w:r>
              <w:rPr>
                <w:rFonts w:hint="default" w:ascii="Times New Roman" w:hAnsi="Times New Roman" w:eastAsia="宋体" w:cs="Times New Roman"/>
                <w:b w:val="0"/>
                <w:bCs/>
                <w:sz w:val="24"/>
                <w:szCs w:val="24"/>
                <w:lang w:eastAsia="zh-CN"/>
              </w:rPr>
              <w:t>顾客携带宠物先到前台挂号并进行初检，符合治疗条件的患病动物由导诊人员</w:t>
            </w:r>
            <w:r>
              <w:rPr>
                <w:rFonts w:hint="eastAsia" w:ascii="Times New Roman" w:hAnsi="Times New Roman" w:cs="Times New Roman"/>
                <w:b w:val="0"/>
                <w:bCs/>
                <w:sz w:val="24"/>
                <w:szCs w:val="24"/>
                <w:lang w:eastAsia="zh-CN"/>
              </w:rPr>
              <w:t>（</w:t>
            </w:r>
            <w:r>
              <w:rPr>
                <w:rFonts w:hint="default" w:ascii="Times New Roman" w:hAnsi="Times New Roman" w:eastAsia="宋体" w:cs="Times New Roman"/>
                <w:b w:val="0"/>
                <w:bCs/>
                <w:sz w:val="24"/>
                <w:szCs w:val="24"/>
                <w:lang w:eastAsia="zh-CN"/>
              </w:rPr>
              <w:t>或顾客</w:t>
            </w:r>
            <w:r>
              <w:rPr>
                <w:rFonts w:hint="eastAsia" w:ascii="Times New Roman" w:hAnsi="Times New Roman" w:cs="Times New Roman"/>
                <w:b w:val="0"/>
                <w:bCs/>
                <w:sz w:val="24"/>
                <w:szCs w:val="24"/>
                <w:lang w:eastAsia="zh-CN"/>
              </w:rPr>
              <w:t>）</w:t>
            </w:r>
            <w:r>
              <w:rPr>
                <w:rFonts w:hint="default" w:ascii="Times New Roman" w:hAnsi="Times New Roman" w:eastAsia="宋体" w:cs="Times New Roman"/>
                <w:b w:val="0"/>
                <w:bCs/>
                <w:sz w:val="24"/>
                <w:szCs w:val="24"/>
                <w:lang w:eastAsia="zh-CN"/>
              </w:rPr>
              <w:t>带至诊室就诊，由医护人员对宠物进行基础检查，会使用医用酒精棉进行消毒，使用后的酒精棉属于医疗废物。</w:t>
            </w:r>
          </w:p>
          <w:p w14:paraId="3293917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bCs w:val="0"/>
                <w:sz w:val="24"/>
                <w:szCs w:val="24"/>
                <w:lang w:eastAsia="zh-CN"/>
              </w:rPr>
              <w:t>化验诊断</w:t>
            </w:r>
            <w:r>
              <w:rPr>
                <w:rFonts w:hint="eastAsia" w:ascii="Times New Roman" w:hAnsi="Times New Roman" w:cs="Times New Roman"/>
                <w:b/>
                <w:bCs w:val="0"/>
                <w:sz w:val="24"/>
                <w:szCs w:val="24"/>
                <w:lang w:eastAsia="zh-CN"/>
              </w:rPr>
              <w:t>：</w:t>
            </w:r>
            <w:r>
              <w:rPr>
                <w:rFonts w:hint="eastAsia" w:ascii="Times New Roman" w:hAnsi="Times New Roman" w:eastAsia="宋体" w:cs="Times New Roman"/>
                <w:b w:val="0"/>
                <w:bCs/>
                <w:sz w:val="24"/>
                <w:szCs w:val="24"/>
                <w:lang w:eastAsia="zh-CN"/>
              </w:rPr>
              <w:t>医护人员根据宠物情况进行常规检查，包括使用显微镜进行细胞学、皮肤、耳道分泌物、粪常规检查</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使用生化分析仪采用干式生化试剂片对ALT</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谷丙转氨酶</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、ALB</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白蛋白</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、ALP</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碱性磷酸酶</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、AMY</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淀粉酶</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等因子进行检测</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使用荧光检测仪或荧光定量分析仪采用干式试剂片对犬胰腺炎、猫胰腺炎等进行检测及DR检测等。执业医师根据化验数据做出诊断结果</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并根据患病动物的情况进行输液、手术、疫苗接种等诊疗过程。</w:t>
            </w:r>
            <w:r>
              <w:rPr>
                <w:rFonts w:hint="default" w:ascii="Times New Roman" w:hAnsi="Times New Roman" w:cs="Times New Roman"/>
                <w:b w:val="0"/>
                <w:bCs/>
                <w:color w:val="auto"/>
                <w:sz w:val="24"/>
                <w:szCs w:val="24"/>
                <w:highlight w:val="none"/>
                <w:vertAlign w:val="baseline"/>
                <w:lang w:val="en-US" w:eastAsia="zh-CN"/>
              </w:rPr>
              <w:t>化验室主要涉及宠物血常规、尿检、粪检等，均由仪器进行检测直接出结果，使用的试剂均为成套成品试剂，不涉及试剂配备等</w:t>
            </w:r>
            <w:r>
              <w:rPr>
                <w:rFonts w:hint="eastAsia" w:cs="Times New Roman"/>
                <w:b w:val="0"/>
                <w:bCs/>
                <w:color w:val="auto"/>
                <w:sz w:val="24"/>
                <w:szCs w:val="24"/>
                <w:highlight w:val="none"/>
                <w:vertAlign w:val="baseline"/>
                <w:lang w:val="en-US" w:eastAsia="zh-CN"/>
              </w:rPr>
              <w:t>，不产生医疗废水</w:t>
            </w:r>
            <w:r>
              <w:rPr>
                <w:rFonts w:hint="default" w:ascii="Times New Roman" w:hAnsi="Times New Roman" w:cs="Times New Roman"/>
                <w:b w:val="0"/>
                <w:bCs/>
                <w:color w:val="auto"/>
                <w:sz w:val="24"/>
                <w:szCs w:val="24"/>
                <w:highlight w:val="none"/>
                <w:vertAlign w:val="baseline"/>
                <w:lang w:val="en-US" w:eastAsia="zh-CN"/>
              </w:rPr>
              <w:t>。</w:t>
            </w:r>
            <w:r>
              <w:rPr>
                <w:rFonts w:hint="eastAsia" w:ascii="Times New Roman" w:hAnsi="Times New Roman" w:eastAsia="宋体" w:cs="Times New Roman"/>
                <w:b w:val="0"/>
                <w:bCs/>
                <w:sz w:val="24"/>
                <w:szCs w:val="24"/>
                <w:lang w:eastAsia="zh-CN"/>
              </w:rPr>
              <w:t>化验诊疗主要产生的一次性医疗器、棉签、宠物血液、针管等医疗废物。</w:t>
            </w:r>
            <w:r>
              <w:rPr>
                <w:rFonts w:hint="eastAsia" w:cs="Times New Roman"/>
                <w:b w:val="0"/>
                <w:bCs/>
                <w:sz w:val="24"/>
                <w:szCs w:val="24"/>
                <w:highlight w:val="none"/>
                <w:lang w:val="en-US" w:eastAsia="zh-CN"/>
              </w:rPr>
              <w:t>对于检验诊断出存在</w:t>
            </w:r>
            <w:r>
              <w:rPr>
                <w:rFonts w:hint="default" w:ascii="Times New Roman" w:hAnsi="Times New Roman" w:eastAsia="宋体" w:cs="Times New Roman"/>
                <w:b w:val="0"/>
                <w:bCs/>
                <w:sz w:val="24"/>
                <w:szCs w:val="24"/>
                <w:highlight w:val="none"/>
                <w:lang w:eastAsia="zh-CN"/>
              </w:rPr>
              <w:t>人畜交叉感染传染病的宠物</w:t>
            </w:r>
            <w:r>
              <w:rPr>
                <w:rFonts w:hint="default" w:ascii="Times New Roman" w:hAnsi="Times New Roman" w:cs="Times New Roman"/>
                <w:b w:val="0"/>
                <w:bCs/>
                <w:sz w:val="24"/>
                <w:szCs w:val="24"/>
                <w:highlight w:val="none"/>
                <w:vertAlign w:val="baseline"/>
                <w:lang w:val="en-US" w:eastAsia="zh-CN"/>
              </w:rPr>
              <w:t>，宠物医院将在</w:t>
            </w:r>
            <w:r>
              <w:rPr>
                <w:rFonts w:hint="eastAsia" w:cs="Times New Roman"/>
                <w:b w:val="0"/>
                <w:bCs/>
                <w:sz w:val="24"/>
                <w:szCs w:val="24"/>
                <w:highlight w:val="none"/>
                <w:vertAlign w:val="baseline"/>
                <w:lang w:val="en-US" w:eastAsia="zh-CN"/>
              </w:rPr>
              <w:t>隔离室</w:t>
            </w:r>
            <w:r>
              <w:rPr>
                <w:rFonts w:hint="default" w:ascii="Times New Roman" w:hAnsi="Times New Roman" w:cs="Times New Roman"/>
                <w:b w:val="0"/>
                <w:bCs/>
                <w:sz w:val="24"/>
                <w:szCs w:val="24"/>
                <w:highlight w:val="none"/>
                <w:vertAlign w:val="baseline"/>
                <w:lang w:val="en-US" w:eastAsia="zh-CN"/>
              </w:rPr>
              <w:t>采取隔离措施并立即将患病动物转移至专业的传染病防治医院</w:t>
            </w:r>
            <w:r>
              <w:rPr>
                <w:rFonts w:hint="eastAsia" w:cs="Times New Roman"/>
                <w:b w:val="0"/>
                <w:bCs/>
                <w:sz w:val="24"/>
                <w:szCs w:val="24"/>
                <w:highlight w:val="none"/>
                <w:vertAlign w:val="baseline"/>
                <w:lang w:val="en-US" w:eastAsia="zh-CN"/>
              </w:rPr>
              <w:t>，并在事后对隔离室、诊断室等进行集中消毒处理。</w:t>
            </w:r>
          </w:p>
          <w:p w14:paraId="1572F27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bCs w:val="0"/>
                <w:sz w:val="24"/>
                <w:szCs w:val="24"/>
                <w:lang w:eastAsia="zh-CN"/>
              </w:rPr>
              <w:t>治疗</w:t>
            </w:r>
            <w:r>
              <w:rPr>
                <w:rFonts w:hint="eastAsia" w:ascii="Times New Roman" w:hAnsi="Times New Roman" w:cs="Times New Roman"/>
                <w:b/>
                <w:bCs w:val="0"/>
                <w:sz w:val="24"/>
                <w:szCs w:val="24"/>
                <w:lang w:eastAsia="zh-CN"/>
              </w:rPr>
              <w:t>：</w:t>
            </w:r>
            <w:r>
              <w:rPr>
                <w:rFonts w:hint="eastAsia" w:ascii="Times New Roman" w:hAnsi="Times New Roman" w:eastAsia="宋体" w:cs="Times New Roman"/>
                <w:b w:val="0"/>
                <w:bCs/>
                <w:sz w:val="24"/>
                <w:szCs w:val="24"/>
                <w:lang w:eastAsia="zh-CN"/>
              </w:rPr>
              <w:t>项目治疗包含手术治疗和常规治疗。手术过程中手术台上铺的医用纱布、垫料，手术过程中产生的血液、废弃医用棉花、宠物医生的一次性手套、输液及手术过程中的一次性注射器、缝合针等医疗废物，切除的宠物组织、病死宠物尸体等属于医疗废物。宠物医生手术后的清洗废水及手术器械清洗废水属于医疗废水。治疗过程中会产生医疗废物和医疗废水。</w:t>
            </w:r>
          </w:p>
          <w:p w14:paraId="21766C4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bCs w:val="0"/>
                <w:sz w:val="24"/>
                <w:szCs w:val="24"/>
                <w:lang w:eastAsia="zh-CN"/>
              </w:rPr>
              <w:t>住院</w:t>
            </w:r>
            <w:r>
              <w:rPr>
                <w:rFonts w:hint="eastAsia" w:ascii="Times New Roman" w:hAnsi="Times New Roman" w:cs="Times New Roman"/>
                <w:b/>
                <w:bCs w:val="0"/>
                <w:sz w:val="24"/>
                <w:szCs w:val="24"/>
                <w:lang w:eastAsia="zh-CN"/>
              </w:rPr>
              <w:t>：</w:t>
            </w:r>
            <w:r>
              <w:rPr>
                <w:rFonts w:hint="eastAsia" w:ascii="Times New Roman" w:hAnsi="Times New Roman" w:eastAsia="宋体" w:cs="Times New Roman"/>
                <w:b w:val="0"/>
                <w:bCs/>
                <w:sz w:val="24"/>
                <w:szCs w:val="24"/>
                <w:lang w:eastAsia="zh-CN"/>
              </w:rPr>
              <w:t>宠物住院观察过程中宠物生活会产生少量臭气、粪便及宠物笼清洗废水及宠物叫声。</w:t>
            </w:r>
          </w:p>
          <w:p w14:paraId="117C802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bCs w:val="0"/>
                <w:sz w:val="24"/>
                <w:szCs w:val="24"/>
                <w:lang w:eastAsia="zh-CN"/>
              </w:rPr>
              <w:t>离开</w:t>
            </w:r>
            <w:r>
              <w:rPr>
                <w:rFonts w:hint="eastAsia" w:ascii="Times New Roman" w:hAnsi="Times New Roman" w:cs="Times New Roman"/>
                <w:b/>
                <w:bCs w:val="0"/>
                <w:sz w:val="24"/>
                <w:szCs w:val="24"/>
                <w:lang w:eastAsia="zh-CN"/>
              </w:rPr>
              <w:t>：</w:t>
            </w:r>
            <w:r>
              <w:rPr>
                <w:rFonts w:hint="eastAsia" w:ascii="Times New Roman" w:hAnsi="Times New Roman" w:eastAsia="宋体" w:cs="Times New Roman"/>
                <w:b w:val="0"/>
                <w:bCs/>
                <w:sz w:val="24"/>
                <w:szCs w:val="24"/>
                <w:lang w:eastAsia="zh-CN"/>
              </w:rPr>
              <w:t>观察一段时间后，宠物恢复，离开医院</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宠物偶发性噪声等。</w:t>
            </w:r>
          </w:p>
          <w:p w14:paraId="2E4139E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val="0"/>
                <w:bCs/>
                <w:sz w:val="24"/>
                <w:szCs w:val="24"/>
                <w:lang w:eastAsia="zh-CN"/>
              </w:rPr>
              <w:t>医院消毒方式</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医院地面采用84消毒</w:t>
            </w:r>
            <w:r>
              <w:rPr>
                <w:rFonts w:hint="eastAsia" w:ascii="Times New Roman" w:hAnsi="Times New Roman" w:cs="Times New Roman"/>
                <w:b w:val="0"/>
                <w:bCs/>
                <w:sz w:val="24"/>
                <w:szCs w:val="24"/>
                <w:lang w:eastAsia="zh-CN"/>
              </w:rPr>
              <w:t>；</w:t>
            </w:r>
            <w:r>
              <w:rPr>
                <w:rFonts w:hint="eastAsia" w:ascii="Times New Roman" w:hAnsi="Times New Roman" w:eastAsia="宋体" w:cs="Times New Roman"/>
                <w:b w:val="0"/>
                <w:bCs/>
                <w:sz w:val="24"/>
                <w:szCs w:val="24"/>
                <w:lang w:eastAsia="zh-CN"/>
              </w:rPr>
              <w:t>手术治疗过程中使用酒精对宠物进行喷雾治疗。医疗器械、玻璃器皿采用高压灭菌锅进行高温消毒，高温灭菌保持在 120℃以上并维持30分钟即可有效灭菌。医疗废水和动物排泄物使用</w:t>
            </w:r>
            <w:r>
              <w:rPr>
                <w:rFonts w:hint="eastAsia" w:ascii="Times New Roman" w:hAnsi="Times New Roman" w:eastAsia="宋体" w:cs="Times New Roman"/>
                <w:b w:val="0"/>
                <w:bCs w:val="0"/>
                <w:color w:val="000000"/>
                <w:kern w:val="2"/>
                <w:sz w:val="24"/>
                <w:szCs w:val="24"/>
                <w:highlight w:val="none"/>
                <w:lang w:val="en-US" w:eastAsia="zh-CN" w:bidi="ar-SA"/>
              </w:rPr>
              <w:t>二氧化氯消毒片</w:t>
            </w:r>
            <w:r>
              <w:rPr>
                <w:rFonts w:hint="eastAsia" w:ascii="Times New Roman" w:hAnsi="Times New Roman" w:eastAsia="宋体" w:cs="Times New Roman"/>
                <w:b w:val="0"/>
                <w:bCs/>
                <w:sz w:val="24"/>
                <w:szCs w:val="24"/>
                <w:lang w:eastAsia="zh-CN"/>
              </w:rPr>
              <w:t>进行消毒使用浓度为40</w:t>
            </w:r>
            <w:r>
              <w:rPr>
                <w:rFonts w:hint="eastAsia" w:cs="Times New Roman"/>
                <w:b w:val="0"/>
                <w:bCs/>
                <w:sz w:val="24"/>
                <w:szCs w:val="24"/>
                <w:lang w:eastAsia="zh-CN"/>
              </w:rPr>
              <w:t>～</w:t>
            </w:r>
            <w:r>
              <w:rPr>
                <w:rFonts w:hint="eastAsia" w:ascii="Times New Roman" w:hAnsi="Times New Roman" w:eastAsia="宋体" w:cs="Times New Roman"/>
                <w:b w:val="0"/>
                <w:bCs/>
                <w:sz w:val="24"/>
                <w:szCs w:val="24"/>
                <w:lang w:eastAsia="zh-CN"/>
              </w:rPr>
              <w:t>60mg</w:t>
            </w:r>
            <w:r>
              <w:rPr>
                <w:rFonts w:hint="eastAsia" w:ascii="Times New Roman" w:hAnsi="Times New Roman" w:cs="Times New Roman"/>
                <w:b w:val="0"/>
                <w:bCs/>
                <w:sz w:val="24"/>
                <w:szCs w:val="24"/>
                <w:lang w:val="en-US" w:eastAsia="zh-CN"/>
              </w:rPr>
              <w:t>/L</w:t>
            </w:r>
            <w:r>
              <w:rPr>
                <w:rFonts w:hint="eastAsia" w:ascii="Times New Roman" w:hAnsi="Times New Roman" w:eastAsia="宋体" w:cs="Times New Roman"/>
                <w:b w:val="0"/>
                <w:bCs/>
                <w:sz w:val="24"/>
                <w:szCs w:val="24"/>
                <w:lang w:eastAsia="zh-CN"/>
              </w:rPr>
              <w:t>，静置消毒60</w:t>
            </w:r>
            <w:r>
              <w:rPr>
                <w:rFonts w:hint="eastAsia" w:cs="Times New Roman"/>
                <w:b w:val="0"/>
                <w:bCs/>
                <w:sz w:val="24"/>
                <w:szCs w:val="24"/>
                <w:lang w:eastAsia="zh-CN"/>
              </w:rPr>
              <w:t>～</w:t>
            </w:r>
            <w:r>
              <w:rPr>
                <w:rFonts w:hint="eastAsia" w:ascii="Times New Roman" w:hAnsi="Times New Roman" w:eastAsia="宋体" w:cs="Times New Roman"/>
                <w:b w:val="0"/>
                <w:bCs/>
                <w:sz w:val="24"/>
                <w:szCs w:val="24"/>
                <w:lang w:eastAsia="zh-CN"/>
              </w:rPr>
              <w:t>70分钟即可。动物排泄物经</w:t>
            </w:r>
            <w:r>
              <w:rPr>
                <w:rFonts w:hint="eastAsia" w:cs="Times New Roman"/>
                <w:b w:val="0"/>
                <w:bCs/>
                <w:sz w:val="24"/>
                <w:szCs w:val="24"/>
                <w:lang w:val="en-US" w:eastAsia="zh-CN"/>
              </w:rPr>
              <w:t>84消毒液</w:t>
            </w:r>
            <w:r>
              <w:rPr>
                <w:rFonts w:hint="eastAsia" w:ascii="Times New Roman" w:hAnsi="Times New Roman" w:eastAsia="宋体" w:cs="Times New Roman"/>
                <w:b w:val="0"/>
                <w:bCs/>
                <w:sz w:val="24"/>
                <w:szCs w:val="24"/>
                <w:lang w:eastAsia="zh-CN"/>
              </w:rPr>
              <w:t>消毒后交市政环卫部门处置。</w:t>
            </w:r>
            <w:r>
              <w:rPr>
                <w:rFonts w:hint="eastAsia" w:cs="Times New Roman"/>
                <w:b w:val="0"/>
                <w:bCs/>
                <w:sz w:val="24"/>
                <w:szCs w:val="24"/>
                <w:highlight w:val="none"/>
                <w:lang w:val="en-US" w:eastAsia="zh-CN"/>
              </w:rPr>
              <w:t>医疗废水暂存过程采用密闭桶暂存，并加入</w:t>
            </w:r>
            <w:r>
              <w:rPr>
                <w:rFonts w:hint="eastAsia"/>
                <w:color w:val="auto"/>
                <w:sz w:val="24"/>
                <w:szCs w:val="24"/>
                <w:highlight w:val="none"/>
                <w:lang w:val="en-US" w:eastAsia="zh-CN"/>
              </w:rPr>
              <w:t>二氧化氯消毒片</w:t>
            </w:r>
            <w:r>
              <w:rPr>
                <w:rFonts w:hint="eastAsia" w:cs="Times New Roman"/>
                <w:b w:val="0"/>
                <w:bCs/>
                <w:sz w:val="24"/>
                <w:szCs w:val="24"/>
                <w:highlight w:val="none"/>
                <w:lang w:val="en-US" w:eastAsia="zh-CN"/>
              </w:rPr>
              <w:t>消毒。</w:t>
            </w:r>
          </w:p>
          <w:p w14:paraId="60BB59C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b/>
                <w:bCs w:val="0"/>
                <w:sz w:val="24"/>
                <w:szCs w:val="24"/>
                <w:lang w:eastAsia="zh-CN"/>
              </w:rPr>
              <w:t>2.10 项目产排污环节分析</w:t>
            </w:r>
          </w:p>
          <w:p w14:paraId="43DB83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val="0"/>
                <w:bCs/>
                <w:sz w:val="24"/>
                <w:szCs w:val="24"/>
                <w:lang w:eastAsia="zh-CN"/>
              </w:rPr>
              <w:t>项目产排污节点详见表2.10-1。</w:t>
            </w:r>
          </w:p>
          <w:p w14:paraId="759170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z w:val="24"/>
                <w:szCs w:val="24"/>
                <w:lang w:eastAsia="zh-CN"/>
              </w:rPr>
            </w:pPr>
            <w:r>
              <w:rPr>
                <w:rFonts w:hint="eastAsia" w:ascii="Times New Roman" w:hAnsi="Times New Roman" w:eastAsia="宋体" w:cs="Times New Roman"/>
                <w:b w:val="0"/>
                <w:bCs/>
                <w:sz w:val="24"/>
                <w:szCs w:val="24"/>
                <w:lang w:eastAsia="zh-CN"/>
              </w:rPr>
              <w:t>表2.10-1项目产排污节点分析一览表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884"/>
              <w:gridCol w:w="1248"/>
              <w:gridCol w:w="499"/>
              <w:gridCol w:w="2475"/>
              <w:gridCol w:w="2782"/>
            </w:tblGrid>
            <w:tr w14:paraId="56F47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pct"/>
                  <w:gridSpan w:val="2"/>
                  <w:tcBorders>
                    <w:tl2br w:val="nil"/>
                    <w:tr2bl w:val="nil"/>
                  </w:tcBorders>
                  <w:vAlign w:val="center"/>
                </w:tcPr>
                <w:p w14:paraId="1D2C14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cs="Times New Roman"/>
                      <w:b w:val="0"/>
                      <w:bCs/>
                      <w:sz w:val="21"/>
                      <w:szCs w:val="21"/>
                      <w:vertAlign w:val="baseline"/>
                      <w:lang w:val="en-US" w:eastAsia="zh-CN"/>
                    </w:rPr>
                    <w:t>类型</w:t>
                  </w:r>
                </w:p>
              </w:tc>
              <w:tc>
                <w:tcPr>
                  <w:tcW w:w="745" w:type="pct"/>
                  <w:tcBorders>
                    <w:tl2br w:val="nil"/>
                    <w:tr2bl w:val="nil"/>
                  </w:tcBorders>
                  <w:vAlign w:val="center"/>
                </w:tcPr>
                <w:p w14:paraId="3DC098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产污工序</w:t>
                  </w:r>
                </w:p>
              </w:tc>
              <w:tc>
                <w:tcPr>
                  <w:tcW w:w="1776" w:type="pct"/>
                  <w:gridSpan w:val="2"/>
                  <w:tcBorders>
                    <w:tl2br w:val="nil"/>
                    <w:tr2bl w:val="nil"/>
                  </w:tcBorders>
                  <w:vAlign w:val="center"/>
                </w:tcPr>
                <w:p w14:paraId="48F84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主要污染物</w:t>
                  </w:r>
                </w:p>
              </w:tc>
              <w:tc>
                <w:tcPr>
                  <w:tcW w:w="1661" w:type="pct"/>
                  <w:tcBorders>
                    <w:tl2br w:val="nil"/>
                    <w:tr2bl w:val="nil"/>
                  </w:tcBorders>
                  <w:vAlign w:val="center"/>
                </w:tcPr>
                <w:p w14:paraId="08B9AE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措施与去向</w:t>
                  </w:r>
                </w:p>
              </w:tc>
            </w:tr>
            <w:tr w14:paraId="5B391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tcBorders>
                    <w:tl2br w:val="nil"/>
                    <w:tr2bl w:val="nil"/>
                  </w:tcBorders>
                  <w:vAlign w:val="center"/>
                </w:tcPr>
                <w:p w14:paraId="47DA5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废气</w:t>
                  </w:r>
                </w:p>
              </w:tc>
              <w:tc>
                <w:tcPr>
                  <w:tcW w:w="527" w:type="pct"/>
                  <w:tcBorders>
                    <w:tl2br w:val="nil"/>
                    <w:tr2bl w:val="nil"/>
                  </w:tcBorders>
                  <w:vAlign w:val="center"/>
                </w:tcPr>
                <w:p w14:paraId="19891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宠物异味、</w:t>
                  </w:r>
                  <w:r>
                    <w:rPr>
                      <w:rFonts w:hint="eastAsia" w:cs="Times New Roman"/>
                      <w:b w:val="0"/>
                      <w:bCs/>
                      <w:sz w:val="21"/>
                      <w:szCs w:val="21"/>
                      <w:vertAlign w:val="baseline"/>
                      <w:lang w:val="en-US" w:eastAsia="zh-CN"/>
                    </w:rPr>
                    <w:t>消毒设施</w:t>
                  </w:r>
                  <w:r>
                    <w:rPr>
                      <w:rFonts w:hint="eastAsia" w:ascii="Times New Roman" w:hAnsi="Times New Roman" w:eastAsia="宋体" w:cs="Times New Roman"/>
                      <w:b w:val="0"/>
                      <w:bCs/>
                      <w:sz w:val="21"/>
                      <w:szCs w:val="21"/>
                      <w:vertAlign w:val="baseline"/>
                      <w:lang w:eastAsia="zh-CN"/>
                    </w:rPr>
                    <w:t>异味等</w:t>
                  </w:r>
                </w:p>
              </w:tc>
              <w:tc>
                <w:tcPr>
                  <w:tcW w:w="745" w:type="pct"/>
                  <w:tcBorders>
                    <w:tl2br w:val="nil"/>
                    <w:tr2bl w:val="nil"/>
                  </w:tcBorders>
                  <w:vAlign w:val="center"/>
                </w:tcPr>
                <w:p w14:paraId="67AD3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诊疗、住院、</w:t>
                  </w:r>
                  <w:r>
                    <w:rPr>
                      <w:rFonts w:hint="eastAsia" w:cs="Times New Roman"/>
                      <w:b w:val="0"/>
                      <w:bCs/>
                      <w:sz w:val="21"/>
                      <w:szCs w:val="21"/>
                      <w:vertAlign w:val="baseline"/>
                      <w:lang w:val="en-US" w:eastAsia="zh-CN"/>
                    </w:rPr>
                    <w:t>消毒设施</w:t>
                  </w:r>
                  <w:r>
                    <w:rPr>
                      <w:rFonts w:hint="eastAsia" w:ascii="Times New Roman" w:hAnsi="Times New Roman" w:eastAsia="宋体" w:cs="Times New Roman"/>
                      <w:b w:val="0"/>
                      <w:bCs/>
                      <w:sz w:val="21"/>
                      <w:szCs w:val="21"/>
                      <w:vertAlign w:val="baseline"/>
                      <w:lang w:eastAsia="zh-CN"/>
                    </w:rPr>
                    <w:t>等</w:t>
                  </w:r>
                </w:p>
              </w:tc>
              <w:tc>
                <w:tcPr>
                  <w:tcW w:w="1776" w:type="pct"/>
                  <w:gridSpan w:val="2"/>
                  <w:tcBorders>
                    <w:tl2br w:val="nil"/>
                    <w:tr2bl w:val="nil"/>
                  </w:tcBorders>
                  <w:vAlign w:val="center"/>
                </w:tcPr>
                <w:p w14:paraId="7F11C5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氨、硫化氢、臭气</w:t>
                  </w:r>
                </w:p>
              </w:tc>
              <w:tc>
                <w:tcPr>
                  <w:tcW w:w="1661" w:type="pct"/>
                  <w:tcBorders>
                    <w:tl2br w:val="nil"/>
                    <w:tr2bl w:val="nil"/>
                  </w:tcBorders>
                  <w:vAlign w:val="center"/>
                </w:tcPr>
                <w:p w14:paraId="606F5C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eastAsia="zh-CN"/>
                    </w:rPr>
                    <w:t>通过空调系统通风换气，定期使用84消毒液等对医院进行消毒，</w:t>
                  </w:r>
                  <w:r>
                    <w:rPr>
                      <w:rFonts w:hint="eastAsia" w:cs="Times New Roman"/>
                      <w:b w:val="0"/>
                      <w:bCs/>
                      <w:sz w:val="21"/>
                      <w:szCs w:val="21"/>
                      <w:vertAlign w:val="baseline"/>
                      <w:lang w:val="en-US" w:eastAsia="zh-CN"/>
                    </w:rPr>
                    <w:t>医疗废水暂存过程密闭并投加消毒片，</w:t>
                  </w:r>
                  <w:r>
                    <w:rPr>
                      <w:rFonts w:hint="eastAsia" w:ascii="Times New Roman" w:hAnsi="Times New Roman" w:eastAsia="宋体" w:cs="Times New Roman"/>
                      <w:b w:val="0"/>
                      <w:bCs/>
                      <w:sz w:val="21"/>
                      <w:szCs w:val="21"/>
                      <w:vertAlign w:val="baseline"/>
                      <w:lang w:eastAsia="zh-CN"/>
                    </w:rPr>
                    <w:t>加强通风</w:t>
                  </w:r>
                  <w:r>
                    <w:rPr>
                      <w:rFonts w:hint="eastAsia" w:ascii="Times New Roman" w:hAnsi="Times New Roman" w:cs="Times New Roman"/>
                      <w:b w:val="0"/>
                      <w:bCs/>
                      <w:sz w:val="21"/>
                      <w:szCs w:val="21"/>
                      <w:vertAlign w:val="baseline"/>
                      <w:lang w:val="en-US" w:eastAsia="zh-CN"/>
                    </w:rPr>
                    <w:t>换风</w:t>
                  </w:r>
                </w:p>
              </w:tc>
            </w:tr>
            <w:tr w14:paraId="4BDEF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restart"/>
                  <w:tcBorders>
                    <w:tl2br w:val="nil"/>
                    <w:tr2bl w:val="nil"/>
                  </w:tcBorders>
                  <w:vAlign w:val="center"/>
                </w:tcPr>
                <w:p w14:paraId="520902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废水</w:t>
                  </w:r>
                </w:p>
              </w:tc>
              <w:tc>
                <w:tcPr>
                  <w:tcW w:w="527" w:type="pct"/>
                  <w:tcBorders>
                    <w:tl2br w:val="nil"/>
                    <w:tr2bl w:val="nil"/>
                  </w:tcBorders>
                  <w:vAlign w:val="center"/>
                </w:tcPr>
                <w:p w14:paraId="3169EC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生活污水</w:t>
                  </w:r>
                </w:p>
              </w:tc>
              <w:tc>
                <w:tcPr>
                  <w:tcW w:w="745" w:type="pct"/>
                  <w:tcBorders>
                    <w:tl2br w:val="nil"/>
                    <w:tr2bl w:val="nil"/>
                  </w:tcBorders>
                  <w:vAlign w:val="center"/>
                </w:tcPr>
                <w:p w14:paraId="29E513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员工</w:t>
                  </w:r>
                  <w:r>
                    <w:rPr>
                      <w:rFonts w:hint="eastAsia" w:ascii="Times New Roman" w:hAnsi="Times New Roman" w:cs="Times New Roman"/>
                      <w:b w:val="0"/>
                      <w:bCs/>
                      <w:sz w:val="21"/>
                      <w:szCs w:val="21"/>
                      <w:vertAlign w:val="baseline"/>
                      <w:lang w:val="en-US" w:eastAsia="zh-CN"/>
                    </w:rPr>
                    <w:t>办公</w:t>
                  </w:r>
                  <w:r>
                    <w:rPr>
                      <w:rFonts w:hint="eastAsia" w:ascii="Times New Roman" w:hAnsi="Times New Roman" w:eastAsia="宋体" w:cs="Times New Roman"/>
                      <w:b w:val="0"/>
                      <w:bCs/>
                      <w:sz w:val="21"/>
                      <w:szCs w:val="21"/>
                      <w:vertAlign w:val="baseline"/>
                      <w:lang w:eastAsia="zh-CN"/>
                    </w:rPr>
                    <w:t>、顾客等</w:t>
                  </w:r>
                </w:p>
              </w:tc>
              <w:tc>
                <w:tcPr>
                  <w:tcW w:w="1776" w:type="pct"/>
                  <w:gridSpan w:val="2"/>
                  <w:tcBorders>
                    <w:tl2br w:val="nil"/>
                    <w:tr2bl w:val="nil"/>
                  </w:tcBorders>
                  <w:vAlign w:val="center"/>
                </w:tcPr>
                <w:p w14:paraId="2B0B1C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pH、COD、BOD</w:t>
                  </w:r>
                  <w:r>
                    <w:rPr>
                      <w:rFonts w:hint="eastAsia" w:ascii="Times New Roman" w:hAnsi="Times New Roman" w:cs="Times New Roman"/>
                      <w:b w:val="0"/>
                      <w:bCs/>
                      <w:sz w:val="21"/>
                      <w:szCs w:val="21"/>
                      <w:vertAlign w:val="subscript"/>
                      <w:lang w:val="en-US" w:eastAsia="zh-CN"/>
                    </w:rPr>
                    <w:t>5</w:t>
                  </w:r>
                  <w:r>
                    <w:rPr>
                      <w:rFonts w:hint="eastAsia" w:ascii="Times New Roman" w:hAnsi="Times New Roman" w:eastAsia="宋体" w:cs="Times New Roman"/>
                      <w:b w:val="0"/>
                      <w:bCs/>
                      <w:sz w:val="21"/>
                      <w:szCs w:val="21"/>
                      <w:vertAlign w:val="baseline"/>
                      <w:lang w:eastAsia="zh-CN"/>
                    </w:rPr>
                    <w:t>、SS、氨氮、总磷</w:t>
                  </w:r>
                </w:p>
              </w:tc>
              <w:tc>
                <w:tcPr>
                  <w:tcW w:w="1661" w:type="pct"/>
                  <w:vMerge w:val="restart"/>
                  <w:tcBorders>
                    <w:tl2br w:val="nil"/>
                    <w:tr2bl w:val="nil"/>
                  </w:tcBorders>
                  <w:vAlign w:val="center"/>
                </w:tcPr>
                <w:p w14:paraId="242676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医疗废水经</w:t>
                  </w:r>
                  <w:r>
                    <w:rPr>
                      <w:rFonts w:hint="eastAsia" w:cs="Times New Roman"/>
                      <w:b w:val="0"/>
                      <w:bCs/>
                      <w:sz w:val="21"/>
                      <w:szCs w:val="21"/>
                      <w:vertAlign w:val="baseline"/>
                      <w:lang w:eastAsia="zh-CN"/>
                    </w:rPr>
                    <w:t>消毒设施</w:t>
                  </w:r>
                  <w:r>
                    <w:rPr>
                      <w:rFonts w:hint="eastAsia" w:ascii="Times New Roman" w:hAnsi="Times New Roman" w:eastAsia="宋体" w:cs="Times New Roman"/>
                      <w:b w:val="0"/>
                      <w:bCs/>
                      <w:sz w:val="21"/>
                      <w:szCs w:val="21"/>
                      <w:vertAlign w:val="baseline"/>
                      <w:lang w:eastAsia="zh-CN"/>
                    </w:rPr>
                    <w:t>预处理后</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出水参照执行《医疗机构水污染物排放标准》</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GB18466-2005</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预处理标准</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与生活污水</w:t>
                  </w:r>
                  <w:r>
                    <w:rPr>
                      <w:rFonts w:hint="eastAsia" w:cs="Times New Roman"/>
                      <w:b w:val="0"/>
                      <w:bCs/>
                      <w:sz w:val="21"/>
                      <w:szCs w:val="21"/>
                      <w:vertAlign w:val="baseline"/>
                      <w:lang w:eastAsia="zh-CN"/>
                    </w:rPr>
                    <w:t>、</w:t>
                  </w:r>
                  <w:r>
                    <w:rPr>
                      <w:rFonts w:hint="eastAsia" w:cs="Times New Roman"/>
                      <w:b w:val="0"/>
                      <w:bCs/>
                      <w:sz w:val="21"/>
                      <w:szCs w:val="21"/>
                      <w:vertAlign w:val="baseline"/>
                      <w:lang w:val="en-US" w:eastAsia="zh-CN"/>
                    </w:rPr>
                    <w:t>其他污水</w:t>
                  </w:r>
                  <w:r>
                    <w:rPr>
                      <w:rFonts w:hint="eastAsia" w:ascii="Times New Roman" w:hAnsi="Times New Roman" w:eastAsia="宋体" w:cs="Times New Roman"/>
                      <w:b w:val="0"/>
                      <w:bCs/>
                      <w:sz w:val="21"/>
                      <w:szCs w:val="21"/>
                      <w:highlight w:val="none"/>
                      <w:vertAlign w:val="baseline"/>
                      <w:lang w:eastAsia="zh-CN"/>
                    </w:rPr>
                    <w:t>一并进入生化池处理达《污水综合排放标准》</w:t>
                  </w:r>
                  <w:r>
                    <w:rPr>
                      <w:rFonts w:hint="eastAsia" w:ascii="Times New Roman" w:hAnsi="Times New Roman" w:cs="Times New Roman"/>
                      <w:b w:val="0"/>
                      <w:bCs/>
                      <w:sz w:val="21"/>
                      <w:szCs w:val="21"/>
                      <w:highlight w:val="none"/>
                      <w:vertAlign w:val="baseline"/>
                      <w:lang w:eastAsia="zh-CN"/>
                    </w:rPr>
                    <w:t>（</w:t>
                  </w:r>
                  <w:r>
                    <w:rPr>
                      <w:rFonts w:hint="eastAsia" w:ascii="Times New Roman" w:hAnsi="Times New Roman" w:eastAsia="宋体" w:cs="Times New Roman"/>
                      <w:b w:val="0"/>
                      <w:bCs/>
                      <w:sz w:val="21"/>
                      <w:szCs w:val="21"/>
                      <w:highlight w:val="none"/>
                      <w:vertAlign w:val="baseline"/>
                      <w:lang w:eastAsia="zh-CN"/>
                    </w:rPr>
                    <w:t>GB8978-1996</w:t>
                  </w:r>
                  <w:r>
                    <w:rPr>
                      <w:rFonts w:hint="eastAsia" w:ascii="Times New Roman" w:hAnsi="Times New Roman" w:cs="Times New Roman"/>
                      <w:b w:val="0"/>
                      <w:bCs/>
                      <w:sz w:val="21"/>
                      <w:szCs w:val="21"/>
                      <w:highlight w:val="none"/>
                      <w:vertAlign w:val="baseline"/>
                      <w:lang w:eastAsia="zh-CN"/>
                    </w:rPr>
                    <w:t>）</w:t>
                  </w:r>
                  <w:r>
                    <w:rPr>
                      <w:rFonts w:hint="eastAsia" w:ascii="Times New Roman" w:hAnsi="Times New Roman" w:eastAsia="宋体" w:cs="Times New Roman"/>
                      <w:b w:val="0"/>
                      <w:bCs/>
                      <w:sz w:val="21"/>
                      <w:szCs w:val="21"/>
                      <w:highlight w:val="none"/>
                      <w:vertAlign w:val="baseline"/>
                      <w:lang w:eastAsia="zh-CN"/>
                    </w:rPr>
                    <w:t>三级标准，经市政污水管网进入</w:t>
                  </w:r>
                  <w:r>
                    <w:rPr>
                      <w:rFonts w:hint="eastAsia" w:cs="Times New Roman"/>
                      <w:b w:val="0"/>
                      <w:bCs/>
                      <w:sz w:val="21"/>
                      <w:szCs w:val="21"/>
                      <w:highlight w:val="none"/>
                      <w:vertAlign w:val="baseline"/>
                      <w:lang w:eastAsia="zh-CN"/>
                    </w:rPr>
                    <w:t>观音塘污水处理厂</w:t>
                  </w:r>
                  <w:r>
                    <w:rPr>
                      <w:rFonts w:hint="eastAsia" w:ascii="Times New Roman" w:hAnsi="Times New Roman" w:eastAsia="宋体" w:cs="Times New Roman"/>
                      <w:b w:val="0"/>
                      <w:bCs/>
                      <w:sz w:val="21"/>
                      <w:szCs w:val="21"/>
                      <w:highlight w:val="none"/>
                      <w:vertAlign w:val="baseline"/>
                      <w:lang w:eastAsia="zh-CN"/>
                    </w:rPr>
                    <w:t>深度处理达</w:t>
                  </w:r>
                  <w:r>
                    <w:rPr>
                      <w:rFonts w:hint="eastAsia"/>
                      <w:color w:val="auto"/>
                      <w:sz w:val="21"/>
                      <w:szCs w:val="21"/>
                      <w:highlight w:val="none"/>
                      <w:lang w:val="en-US" w:eastAsia="zh-CN"/>
                    </w:rPr>
                    <w:t>《地表水环境质量标准》（GB3838-2002）中Ⅳ类</w:t>
                  </w:r>
                  <w:r>
                    <w:rPr>
                      <w:rFonts w:hint="eastAsia"/>
                      <w:color w:val="auto"/>
                      <w:sz w:val="21"/>
                      <w:szCs w:val="21"/>
                    </w:rPr>
                    <w:t>标准</w:t>
                  </w:r>
                  <w:r>
                    <w:rPr>
                      <w:rFonts w:hint="eastAsia"/>
                      <w:color w:val="auto"/>
                      <w:sz w:val="21"/>
                      <w:szCs w:val="21"/>
                      <w:lang w:eastAsia="zh-CN"/>
                    </w:rPr>
                    <w:t>（COD、BOD</w:t>
                  </w:r>
                  <w:r>
                    <w:rPr>
                      <w:rFonts w:hint="eastAsia"/>
                      <w:color w:val="auto"/>
                      <w:sz w:val="21"/>
                      <w:szCs w:val="21"/>
                      <w:vertAlign w:val="subscript"/>
                      <w:lang w:eastAsia="zh-CN"/>
                    </w:rPr>
                    <w:t>5</w:t>
                  </w:r>
                  <w:r>
                    <w:rPr>
                      <w:rFonts w:hint="eastAsia"/>
                      <w:color w:val="auto"/>
                      <w:sz w:val="21"/>
                      <w:szCs w:val="21"/>
                      <w:lang w:eastAsia="zh-CN"/>
                    </w:rPr>
                    <w:t>、氨氮、总磷）</w:t>
                  </w:r>
                  <w:r>
                    <w:rPr>
                      <w:rFonts w:hint="eastAsia"/>
                      <w:color w:val="auto"/>
                      <w:sz w:val="21"/>
                      <w:szCs w:val="21"/>
                    </w:rPr>
                    <w:t>和《城镇污水处理厂污染物排放标准》（GB18918-2002）中一级A标准（其余指标）</w:t>
                  </w:r>
                  <w:r>
                    <w:rPr>
                      <w:rFonts w:hint="eastAsia"/>
                      <w:bCs/>
                      <w:color w:val="auto"/>
                      <w:sz w:val="21"/>
                      <w:szCs w:val="21"/>
                    </w:rPr>
                    <w:t>后排入璧南河</w:t>
                  </w:r>
                  <w:r>
                    <w:rPr>
                      <w:rFonts w:hint="eastAsia" w:ascii="Times New Roman" w:hAnsi="Times New Roman" w:cs="Times New Roman"/>
                      <w:b w:val="0"/>
                      <w:bCs/>
                      <w:sz w:val="21"/>
                      <w:szCs w:val="21"/>
                      <w:highlight w:val="none"/>
                      <w:vertAlign w:val="baseline"/>
                      <w:lang w:eastAsia="zh-CN"/>
                    </w:rPr>
                    <w:t>，</w:t>
                  </w:r>
                  <w:r>
                    <w:rPr>
                      <w:rFonts w:hint="eastAsia" w:ascii="Times New Roman" w:hAnsi="Times New Roman" w:eastAsia="宋体" w:cs="Times New Roman"/>
                      <w:b w:val="0"/>
                      <w:bCs/>
                      <w:sz w:val="21"/>
                      <w:szCs w:val="21"/>
                      <w:highlight w:val="none"/>
                      <w:vertAlign w:val="baseline"/>
                      <w:lang w:eastAsia="zh-CN"/>
                    </w:rPr>
                    <w:t>最终排入璧南河。</w:t>
                  </w:r>
                </w:p>
              </w:tc>
            </w:tr>
            <w:tr w14:paraId="64386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2B0A70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527" w:type="pct"/>
                  <w:tcBorders>
                    <w:tl2br w:val="nil"/>
                    <w:tr2bl w:val="nil"/>
                  </w:tcBorders>
                  <w:vAlign w:val="center"/>
                </w:tcPr>
                <w:p w14:paraId="2437E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医疗废水</w:t>
                  </w:r>
                </w:p>
              </w:tc>
              <w:tc>
                <w:tcPr>
                  <w:tcW w:w="745" w:type="pct"/>
                  <w:tcBorders>
                    <w:tl2br w:val="nil"/>
                    <w:tr2bl w:val="nil"/>
                  </w:tcBorders>
                  <w:vAlign w:val="center"/>
                </w:tcPr>
                <w:p w14:paraId="428B57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eastAsia="zh-CN"/>
                    </w:rPr>
                    <w:t>诊疗、宠物笼清洗、</w:t>
                  </w:r>
                  <w:r>
                    <w:rPr>
                      <w:rFonts w:hint="eastAsia" w:cs="Times New Roman"/>
                      <w:b w:val="0"/>
                      <w:bCs/>
                      <w:sz w:val="21"/>
                      <w:szCs w:val="21"/>
                      <w:vertAlign w:val="baseline"/>
                      <w:lang w:val="en-US" w:eastAsia="zh-CN"/>
                    </w:rPr>
                    <w:t>手术及</w:t>
                  </w:r>
                  <w:r>
                    <w:rPr>
                      <w:rFonts w:hint="eastAsia" w:ascii="Times New Roman" w:hAnsi="Times New Roman" w:eastAsia="宋体" w:cs="Times New Roman"/>
                      <w:b w:val="0"/>
                      <w:bCs/>
                      <w:sz w:val="21"/>
                      <w:szCs w:val="21"/>
                      <w:vertAlign w:val="baseline"/>
                      <w:lang w:eastAsia="zh-CN"/>
                    </w:rPr>
                    <w:t>器械清洗</w:t>
                  </w:r>
                  <w:r>
                    <w:rPr>
                      <w:rFonts w:hint="eastAsia" w:cs="Times New Roman"/>
                      <w:b w:val="0"/>
                      <w:bCs/>
                      <w:sz w:val="21"/>
                      <w:szCs w:val="21"/>
                      <w:vertAlign w:val="baseline"/>
                      <w:lang w:val="en-US" w:eastAsia="zh-CN"/>
                    </w:rPr>
                    <w:t>等</w:t>
                  </w:r>
                </w:p>
              </w:tc>
              <w:tc>
                <w:tcPr>
                  <w:tcW w:w="1776" w:type="pct"/>
                  <w:gridSpan w:val="2"/>
                  <w:tcBorders>
                    <w:tl2br w:val="nil"/>
                    <w:tr2bl w:val="nil"/>
                  </w:tcBorders>
                  <w:vAlign w:val="center"/>
                </w:tcPr>
                <w:p w14:paraId="3C2986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eastAsia="zh-CN"/>
                    </w:rPr>
                    <w:t>pH、COD、BOD</w:t>
                  </w:r>
                  <w:r>
                    <w:rPr>
                      <w:rFonts w:hint="eastAsia" w:ascii="Times New Roman" w:hAnsi="Times New Roman" w:cs="Times New Roman"/>
                      <w:b w:val="0"/>
                      <w:bCs/>
                      <w:sz w:val="21"/>
                      <w:szCs w:val="21"/>
                      <w:vertAlign w:val="subscript"/>
                      <w:lang w:val="en-US" w:eastAsia="zh-CN"/>
                    </w:rPr>
                    <w:t>5</w:t>
                  </w:r>
                  <w:r>
                    <w:rPr>
                      <w:rFonts w:hint="eastAsia" w:ascii="Times New Roman" w:hAnsi="Times New Roman" w:eastAsia="宋体" w:cs="Times New Roman"/>
                      <w:b w:val="0"/>
                      <w:bCs/>
                      <w:sz w:val="21"/>
                      <w:szCs w:val="21"/>
                      <w:vertAlign w:val="baseline"/>
                      <w:lang w:eastAsia="zh-CN"/>
                    </w:rPr>
                    <w:t>、SS、氨氮、</w:t>
                  </w:r>
                  <w:r>
                    <w:rPr>
                      <w:rFonts w:hint="eastAsia" w:ascii="Times New Roman" w:hAnsi="Times New Roman" w:eastAsia="宋体" w:cs="Times New Roman"/>
                      <w:b w:val="0"/>
                      <w:bCs/>
                      <w:sz w:val="21"/>
                      <w:szCs w:val="21"/>
                      <w:vertAlign w:val="baseline"/>
                      <w:lang w:val="en-US" w:eastAsia="zh-CN"/>
                    </w:rPr>
                    <w:t>粪大肠菌群</w:t>
                  </w:r>
                </w:p>
              </w:tc>
              <w:tc>
                <w:tcPr>
                  <w:tcW w:w="1661" w:type="pct"/>
                  <w:vMerge w:val="continue"/>
                  <w:tcBorders>
                    <w:tl2br w:val="nil"/>
                    <w:tr2bl w:val="nil"/>
                  </w:tcBorders>
                  <w:vAlign w:val="center"/>
                </w:tcPr>
                <w:p w14:paraId="0AB1E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r>
            <w:tr w14:paraId="60E67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3A4E79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527" w:type="pct"/>
                  <w:vMerge w:val="restart"/>
                  <w:tcBorders>
                    <w:tl2br w:val="nil"/>
                    <w:tr2bl w:val="nil"/>
                  </w:tcBorders>
                  <w:vAlign w:val="center"/>
                </w:tcPr>
                <w:p w14:paraId="53CFBC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其他污水</w:t>
                  </w:r>
                </w:p>
              </w:tc>
              <w:tc>
                <w:tcPr>
                  <w:tcW w:w="745" w:type="pct"/>
                  <w:tcBorders>
                    <w:tl2br w:val="nil"/>
                    <w:tr2bl w:val="nil"/>
                  </w:tcBorders>
                  <w:vAlign w:val="center"/>
                </w:tcPr>
                <w:p w14:paraId="107305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地面清洁</w:t>
                  </w:r>
                </w:p>
              </w:tc>
              <w:tc>
                <w:tcPr>
                  <w:tcW w:w="1776" w:type="pct"/>
                  <w:gridSpan w:val="2"/>
                  <w:tcBorders>
                    <w:tl2br w:val="nil"/>
                    <w:tr2bl w:val="nil"/>
                  </w:tcBorders>
                  <w:vAlign w:val="center"/>
                </w:tcPr>
                <w:p w14:paraId="35C8FA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b w:val="0"/>
                      <w:bCs w:val="0"/>
                      <w:color w:val="000000"/>
                      <w:sz w:val="21"/>
                      <w:szCs w:val="21"/>
                      <w:highlight w:val="none"/>
                      <w:lang w:val="en-US" w:eastAsia="zh-CN"/>
                    </w:rPr>
                    <w:t>COD、</w:t>
                  </w:r>
                  <w:r>
                    <w:rPr>
                      <w:rFonts w:hint="default" w:ascii="Times New Roman" w:hAnsi="Times New Roman" w:eastAsia="宋体" w:cs="Times New Roman"/>
                      <w:color w:val="auto"/>
                      <w:sz w:val="21"/>
                      <w:szCs w:val="21"/>
                      <w:highlight w:val="none"/>
                      <w:lang w:val="en-US" w:eastAsia="zh-CN"/>
                    </w:rPr>
                    <w:t>SS</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1661" w:type="pct"/>
                  <w:vMerge w:val="continue"/>
                  <w:tcBorders>
                    <w:tl2br w:val="nil"/>
                    <w:tr2bl w:val="nil"/>
                  </w:tcBorders>
                  <w:vAlign w:val="center"/>
                </w:tcPr>
                <w:p w14:paraId="7D6E20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r>
            <w:tr w14:paraId="2E863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74356F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527" w:type="pct"/>
                  <w:vMerge w:val="continue"/>
                  <w:tcBorders>
                    <w:tl2br w:val="nil"/>
                    <w:tr2bl w:val="nil"/>
                  </w:tcBorders>
                  <w:vAlign w:val="center"/>
                </w:tcPr>
                <w:p w14:paraId="0995A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p>
              </w:tc>
              <w:tc>
                <w:tcPr>
                  <w:tcW w:w="745" w:type="pct"/>
                  <w:tcBorders>
                    <w:tl2br w:val="nil"/>
                    <w:tr2bl w:val="nil"/>
                  </w:tcBorders>
                  <w:vAlign w:val="center"/>
                </w:tcPr>
                <w:p w14:paraId="21DAD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工服清洗污水</w:t>
                  </w:r>
                </w:p>
              </w:tc>
              <w:tc>
                <w:tcPr>
                  <w:tcW w:w="1776" w:type="pct"/>
                  <w:gridSpan w:val="2"/>
                  <w:tcBorders>
                    <w:tl2br w:val="nil"/>
                    <w:tr2bl w:val="nil"/>
                  </w:tcBorders>
                  <w:vAlign w:val="center"/>
                </w:tcPr>
                <w:p w14:paraId="55189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pH、COD、SS、LAS、总磷</w:t>
                  </w:r>
                </w:p>
              </w:tc>
              <w:tc>
                <w:tcPr>
                  <w:tcW w:w="1661" w:type="pct"/>
                  <w:vMerge w:val="continue"/>
                  <w:tcBorders>
                    <w:tl2br w:val="nil"/>
                    <w:tr2bl w:val="nil"/>
                  </w:tcBorders>
                  <w:vAlign w:val="center"/>
                </w:tcPr>
                <w:p w14:paraId="2C6D2B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r>
            <w:tr w14:paraId="6E284F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tcBorders>
                    <w:tl2br w:val="nil"/>
                    <w:tr2bl w:val="nil"/>
                  </w:tcBorders>
                  <w:vAlign w:val="center"/>
                </w:tcPr>
                <w:p w14:paraId="15F06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cs="Times New Roman"/>
                      <w:b w:val="0"/>
                      <w:bCs/>
                      <w:sz w:val="21"/>
                      <w:szCs w:val="21"/>
                      <w:vertAlign w:val="baseline"/>
                      <w:lang w:val="en-US" w:eastAsia="zh-CN"/>
                    </w:rPr>
                    <w:t>噪声</w:t>
                  </w:r>
                </w:p>
              </w:tc>
              <w:tc>
                <w:tcPr>
                  <w:tcW w:w="527" w:type="pct"/>
                  <w:tcBorders>
                    <w:tl2br w:val="nil"/>
                    <w:tr2bl w:val="nil"/>
                  </w:tcBorders>
                  <w:vAlign w:val="center"/>
                </w:tcPr>
                <w:p w14:paraId="672936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噪声</w:t>
                  </w:r>
                </w:p>
              </w:tc>
              <w:tc>
                <w:tcPr>
                  <w:tcW w:w="745" w:type="pct"/>
                  <w:tcBorders>
                    <w:tl2br w:val="nil"/>
                    <w:tr2bl w:val="nil"/>
                  </w:tcBorders>
                  <w:vAlign w:val="center"/>
                </w:tcPr>
                <w:p w14:paraId="1B645B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空调外机、动物叫声</w:t>
                  </w:r>
                </w:p>
              </w:tc>
              <w:tc>
                <w:tcPr>
                  <w:tcW w:w="1776" w:type="pct"/>
                  <w:gridSpan w:val="2"/>
                  <w:tcBorders>
                    <w:tl2br w:val="nil"/>
                    <w:tr2bl w:val="nil"/>
                  </w:tcBorders>
                  <w:vAlign w:val="center"/>
                </w:tcPr>
                <w:p w14:paraId="2ED8B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噪声</w:t>
                  </w:r>
                </w:p>
              </w:tc>
              <w:tc>
                <w:tcPr>
                  <w:tcW w:w="1661" w:type="pct"/>
                  <w:tcBorders>
                    <w:tl2br w:val="nil"/>
                    <w:tr2bl w:val="nil"/>
                  </w:tcBorders>
                  <w:vAlign w:val="center"/>
                </w:tcPr>
                <w:p w14:paraId="6D1FD4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选用低噪声设备，基础减振、建筑隔声</w:t>
                  </w:r>
                </w:p>
              </w:tc>
            </w:tr>
            <w:tr w14:paraId="5DE8E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26" w:hRule="atLeast"/>
              </w:trPr>
              <w:tc>
                <w:tcPr>
                  <w:tcW w:w="289" w:type="pct"/>
                  <w:vMerge w:val="restart"/>
                  <w:tcBorders>
                    <w:tl2br w:val="nil"/>
                    <w:tr2bl w:val="nil"/>
                  </w:tcBorders>
                  <w:vAlign w:val="center"/>
                </w:tcPr>
                <w:p w14:paraId="2A60BD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固废</w:t>
                  </w:r>
                </w:p>
              </w:tc>
              <w:tc>
                <w:tcPr>
                  <w:tcW w:w="527" w:type="pct"/>
                  <w:vMerge w:val="restart"/>
                  <w:tcBorders>
                    <w:tl2br w:val="nil"/>
                    <w:tr2bl w:val="nil"/>
                  </w:tcBorders>
                  <w:vAlign w:val="center"/>
                </w:tcPr>
                <w:p w14:paraId="2AE6B6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医疗废物</w:t>
                  </w:r>
                </w:p>
              </w:tc>
              <w:tc>
                <w:tcPr>
                  <w:tcW w:w="745" w:type="pct"/>
                  <w:vMerge w:val="restart"/>
                  <w:tcBorders>
                    <w:tl2br w:val="nil"/>
                    <w:tr2bl w:val="nil"/>
                  </w:tcBorders>
                  <w:vAlign w:val="center"/>
                </w:tcPr>
                <w:p w14:paraId="3586C3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动物住院、诊疗、手术</w:t>
                  </w:r>
                </w:p>
              </w:tc>
              <w:tc>
                <w:tcPr>
                  <w:tcW w:w="298" w:type="pct"/>
                  <w:tcBorders>
                    <w:tl2br w:val="nil"/>
                    <w:tr2bl w:val="nil"/>
                  </w:tcBorders>
                  <w:vAlign w:val="center"/>
                </w:tcPr>
                <w:p w14:paraId="0E9349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感染性废物</w:t>
                  </w:r>
                </w:p>
              </w:tc>
              <w:tc>
                <w:tcPr>
                  <w:tcW w:w="1478" w:type="pct"/>
                  <w:tcBorders>
                    <w:tl2br w:val="nil"/>
                    <w:tr2bl w:val="nil"/>
                  </w:tcBorders>
                  <w:vAlign w:val="center"/>
                </w:tcPr>
                <w:p w14:paraId="755A16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①被患病宠物血液、体液、排泄物等污染的除锐器以外的废物</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②使用后废弃的一次性注射器、输液器等</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③化验室产生的废弃血液、血清、分泌物等标本和容器</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④隔离的传染病宠物或疑似传染病宠物产生的废弃物。</w:t>
                  </w:r>
                </w:p>
              </w:tc>
              <w:tc>
                <w:tcPr>
                  <w:tcW w:w="1661" w:type="pct"/>
                  <w:tcBorders>
                    <w:tl2br w:val="nil"/>
                    <w:tr2bl w:val="nil"/>
                  </w:tcBorders>
                  <w:vAlign w:val="center"/>
                </w:tcPr>
                <w:p w14:paraId="5DC167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资质单位进行处置</w:t>
                  </w:r>
                </w:p>
              </w:tc>
            </w:tr>
            <w:tr w14:paraId="53562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32AFB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vMerge w:val="continue"/>
                  <w:tcBorders>
                    <w:tl2br w:val="nil"/>
                    <w:tr2bl w:val="nil"/>
                  </w:tcBorders>
                  <w:vAlign w:val="center"/>
                </w:tcPr>
                <w:p w14:paraId="54DB8A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745" w:type="pct"/>
                  <w:vMerge w:val="continue"/>
                  <w:tcBorders>
                    <w:tl2br w:val="nil"/>
                    <w:tr2bl w:val="nil"/>
                  </w:tcBorders>
                  <w:vAlign w:val="center"/>
                </w:tcPr>
                <w:p w14:paraId="7228A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298" w:type="pct"/>
                  <w:tcBorders>
                    <w:tl2br w:val="nil"/>
                    <w:tr2bl w:val="nil"/>
                  </w:tcBorders>
                  <w:vAlign w:val="center"/>
                </w:tcPr>
                <w:p w14:paraId="2C4D8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损伤性废物</w:t>
                  </w:r>
                </w:p>
              </w:tc>
              <w:tc>
                <w:tcPr>
                  <w:tcW w:w="1478" w:type="pct"/>
                  <w:tcBorders>
                    <w:tl2br w:val="nil"/>
                    <w:tr2bl w:val="nil"/>
                  </w:tcBorders>
                  <w:vAlign w:val="center"/>
                </w:tcPr>
                <w:p w14:paraId="6E3C47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①废弃的针头、缝合针、探针、穿刺针、解剖刀、手术刀等废弃的金属类锐器</w:t>
                  </w:r>
                  <w:r>
                    <w:rPr>
                      <w:rFonts w:hint="eastAsia" w:ascii="Times New Roman" w:hAnsi="Times New Roman" w:cs="Times New Roman"/>
                      <w:b w:val="0"/>
                      <w:bCs/>
                      <w:sz w:val="21"/>
                      <w:szCs w:val="21"/>
                      <w:vertAlign w:val="baseline"/>
                      <w:lang w:eastAsia="zh-CN"/>
                    </w:rPr>
                    <w:t>；</w:t>
                  </w:r>
                  <w:r>
                    <w:rPr>
                      <w:rFonts w:hint="eastAsia" w:ascii="Times New Roman" w:hAnsi="Times New Roman" w:eastAsia="宋体" w:cs="Times New Roman"/>
                      <w:b w:val="0"/>
                      <w:bCs/>
                      <w:sz w:val="21"/>
                      <w:szCs w:val="21"/>
                      <w:vertAlign w:val="baseline"/>
                      <w:lang w:eastAsia="zh-CN"/>
                    </w:rPr>
                    <w:t>②废弃的载玻片等玻璃类锐器。</w:t>
                  </w:r>
                </w:p>
              </w:tc>
              <w:tc>
                <w:tcPr>
                  <w:tcW w:w="1661" w:type="pct"/>
                  <w:tcBorders>
                    <w:tl2br w:val="nil"/>
                    <w:tr2bl w:val="nil"/>
                  </w:tcBorders>
                  <w:vAlign w:val="center"/>
                </w:tcPr>
                <w:p w14:paraId="521AE2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资质单位进行处置</w:t>
                  </w:r>
                </w:p>
              </w:tc>
            </w:tr>
            <w:tr w14:paraId="018EA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22AA2D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vMerge w:val="continue"/>
                  <w:tcBorders>
                    <w:tl2br w:val="nil"/>
                    <w:tr2bl w:val="nil"/>
                  </w:tcBorders>
                  <w:vAlign w:val="center"/>
                </w:tcPr>
                <w:p w14:paraId="2832D0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745" w:type="pct"/>
                  <w:vMerge w:val="continue"/>
                  <w:tcBorders>
                    <w:tl2br w:val="nil"/>
                    <w:tr2bl w:val="nil"/>
                  </w:tcBorders>
                  <w:vAlign w:val="center"/>
                </w:tcPr>
                <w:p w14:paraId="77FA74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298" w:type="pct"/>
                  <w:tcBorders>
                    <w:tl2br w:val="nil"/>
                    <w:tr2bl w:val="nil"/>
                  </w:tcBorders>
                  <w:vAlign w:val="center"/>
                </w:tcPr>
                <w:p w14:paraId="045B1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病理性废物</w:t>
                  </w:r>
                </w:p>
              </w:tc>
              <w:tc>
                <w:tcPr>
                  <w:tcW w:w="1478" w:type="pct"/>
                  <w:tcBorders>
                    <w:tl2br w:val="nil"/>
                    <w:tr2bl w:val="nil"/>
                  </w:tcBorders>
                  <w:vAlign w:val="center"/>
                </w:tcPr>
                <w:p w14:paraId="45347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手术过程中产生的废弃动物组织、器官</w:t>
                  </w:r>
                </w:p>
              </w:tc>
              <w:tc>
                <w:tcPr>
                  <w:tcW w:w="1661" w:type="pct"/>
                  <w:tcBorders>
                    <w:tl2br w:val="nil"/>
                    <w:tr2bl w:val="nil"/>
                  </w:tcBorders>
                  <w:vAlign w:val="center"/>
                </w:tcPr>
                <w:p w14:paraId="010AC1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资质单位进行处置</w:t>
                  </w:r>
                </w:p>
              </w:tc>
            </w:tr>
            <w:tr w14:paraId="4D9E1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28DD7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vMerge w:val="continue"/>
                  <w:tcBorders>
                    <w:tl2br w:val="nil"/>
                    <w:tr2bl w:val="nil"/>
                  </w:tcBorders>
                  <w:vAlign w:val="center"/>
                </w:tcPr>
                <w:p w14:paraId="09B437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745" w:type="pct"/>
                  <w:vMerge w:val="continue"/>
                  <w:tcBorders>
                    <w:tl2br w:val="nil"/>
                    <w:tr2bl w:val="nil"/>
                  </w:tcBorders>
                  <w:vAlign w:val="center"/>
                </w:tcPr>
                <w:p w14:paraId="1E0992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298" w:type="pct"/>
                  <w:tcBorders>
                    <w:tl2br w:val="nil"/>
                    <w:tr2bl w:val="nil"/>
                  </w:tcBorders>
                  <w:vAlign w:val="center"/>
                </w:tcPr>
                <w:p w14:paraId="2D85C5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药物性废物</w:t>
                  </w:r>
                </w:p>
              </w:tc>
              <w:tc>
                <w:tcPr>
                  <w:tcW w:w="1478" w:type="pct"/>
                  <w:tcBorders>
                    <w:tl2br w:val="nil"/>
                    <w:tr2bl w:val="nil"/>
                  </w:tcBorders>
                  <w:vAlign w:val="center"/>
                </w:tcPr>
                <w:p w14:paraId="4748C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过期、淘汰、变质或者被污染的废弃的药物。</w:t>
                  </w:r>
                </w:p>
              </w:tc>
              <w:tc>
                <w:tcPr>
                  <w:tcW w:w="1661" w:type="pct"/>
                  <w:tcBorders>
                    <w:tl2br w:val="nil"/>
                    <w:tr2bl w:val="nil"/>
                  </w:tcBorders>
                  <w:vAlign w:val="center"/>
                </w:tcPr>
                <w:p w14:paraId="385814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资质单位进行处置</w:t>
                  </w:r>
                </w:p>
              </w:tc>
            </w:tr>
            <w:tr w14:paraId="095CC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6DC69A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vMerge w:val="continue"/>
                  <w:tcBorders>
                    <w:tl2br w:val="nil"/>
                    <w:tr2bl w:val="nil"/>
                  </w:tcBorders>
                  <w:vAlign w:val="center"/>
                </w:tcPr>
                <w:p w14:paraId="2EC48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745" w:type="pct"/>
                  <w:vMerge w:val="continue"/>
                  <w:tcBorders>
                    <w:tl2br w:val="nil"/>
                    <w:tr2bl w:val="nil"/>
                  </w:tcBorders>
                  <w:vAlign w:val="center"/>
                </w:tcPr>
                <w:p w14:paraId="52484A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p>
              </w:tc>
              <w:tc>
                <w:tcPr>
                  <w:tcW w:w="298" w:type="pct"/>
                  <w:tcBorders>
                    <w:tl2br w:val="nil"/>
                    <w:tr2bl w:val="nil"/>
                  </w:tcBorders>
                  <w:vAlign w:val="center"/>
                </w:tcPr>
                <w:p w14:paraId="3EF4C5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化学性药物</w:t>
                  </w:r>
                </w:p>
              </w:tc>
              <w:tc>
                <w:tcPr>
                  <w:tcW w:w="1478" w:type="pct"/>
                  <w:tcBorders>
                    <w:tl2br w:val="nil"/>
                    <w:tr2bl w:val="nil"/>
                  </w:tcBorders>
                  <w:vAlign w:val="center"/>
                </w:tcPr>
                <w:p w14:paraId="46F63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含汞血压计、含汞体温计等列入《国家危险废物名录》中的废弃危险化学品。</w:t>
                  </w:r>
                </w:p>
              </w:tc>
              <w:tc>
                <w:tcPr>
                  <w:tcW w:w="1661" w:type="pct"/>
                  <w:tcBorders>
                    <w:tl2br w:val="nil"/>
                    <w:tr2bl w:val="nil"/>
                  </w:tcBorders>
                  <w:vAlign w:val="center"/>
                </w:tcPr>
                <w:p w14:paraId="4A683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资质单位进行处置</w:t>
                  </w:r>
                </w:p>
              </w:tc>
            </w:tr>
            <w:tr w14:paraId="79C3B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122B4D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tcBorders>
                    <w:tl2br w:val="nil"/>
                    <w:tr2bl w:val="nil"/>
                  </w:tcBorders>
                  <w:vAlign w:val="center"/>
                </w:tcPr>
                <w:p w14:paraId="0C079E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w:t>
                  </w:r>
                </w:p>
              </w:tc>
              <w:tc>
                <w:tcPr>
                  <w:tcW w:w="745" w:type="pct"/>
                  <w:tcBorders>
                    <w:tl2br w:val="nil"/>
                    <w:tr2bl w:val="nil"/>
                  </w:tcBorders>
                  <w:vAlign w:val="center"/>
                </w:tcPr>
                <w:p w14:paraId="40CB8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动物住院、诊疗</w:t>
                  </w:r>
                </w:p>
              </w:tc>
              <w:tc>
                <w:tcPr>
                  <w:tcW w:w="1776" w:type="pct"/>
                  <w:gridSpan w:val="2"/>
                  <w:tcBorders>
                    <w:tl2br w:val="nil"/>
                    <w:tr2bl w:val="nil"/>
                  </w:tcBorders>
                  <w:vAlign w:val="center"/>
                </w:tcPr>
                <w:p w14:paraId="1E2E1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动物尸体</w:t>
                  </w:r>
                </w:p>
              </w:tc>
              <w:tc>
                <w:tcPr>
                  <w:tcW w:w="1661" w:type="pct"/>
                  <w:tcBorders>
                    <w:tl2br w:val="nil"/>
                    <w:tr2bl w:val="nil"/>
                  </w:tcBorders>
                  <w:vAlign w:val="center"/>
                </w:tcPr>
                <w:p w14:paraId="42A9E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资质单位无害化处置</w:t>
                  </w:r>
                </w:p>
              </w:tc>
            </w:tr>
            <w:tr w14:paraId="58AF4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78A144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tcBorders>
                    <w:tl2br w:val="nil"/>
                    <w:tr2bl w:val="nil"/>
                  </w:tcBorders>
                  <w:vAlign w:val="center"/>
                </w:tcPr>
                <w:p w14:paraId="4D76E1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住院区</w:t>
                  </w:r>
                  <w:r>
                    <w:rPr>
                      <w:rFonts w:hint="eastAsia" w:ascii="Times New Roman" w:hAnsi="Times New Roman" w:cs="Times New Roman"/>
                      <w:b w:val="0"/>
                      <w:bCs/>
                      <w:sz w:val="21"/>
                      <w:szCs w:val="21"/>
                      <w:vertAlign w:val="baseline"/>
                      <w:lang w:val="en-US" w:eastAsia="zh-CN"/>
                    </w:rPr>
                    <w:t>消毒</w:t>
                  </w:r>
                </w:p>
              </w:tc>
              <w:tc>
                <w:tcPr>
                  <w:tcW w:w="745" w:type="pct"/>
                  <w:tcBorders>
                    <w:tl2br w:val="nil"/>
                    <w:tr2bl w:val="nil"/>
                  </w:tcBorders>
                  <w:vAlign w:val="center"/>
                </w:tcPr>
                <w:p w14:paraId="4B7E9A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废紫外灯管</w:t>
                  </w:r>
                </w:p>
              </w:tc>
              <w:tc>
                <w:tcPr>
                  <w:tcW w:w="1776" w:type="pct"/>
                  <w:gridSpan w:val="2"/>
                  <w:tcBorders>
                    <w:tl2br w:val="nil"/>
                    <w:tr2bl w:val="nil"/>
                  </w:tcBorders>
                  <w:vAlign w:val="center"/>
                </w:tcPr>
                <w:p w14:paraId="6A1983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废紫外灯管</w:t>
                  </w:r>
                </w:p>
              </w:tc>
              <w:tc>
                <w:tcPr>
                  <w:tcW w:w="1661" w:type="pct"/>
                  <w:tcBorders>
                    <w:tl2br w:val="nil"/>
                    <w:tr2bl w:val="nil"/>
                  </w:tcBorders>
                  <w:vAlign w:val="center"/>
                </w:tcPr>
                <w:p w14:paraId="016F32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w:t>
                  </w:r>
                  <w:r>
                    <w:rPr>
                      <w:rFonts w:hint="eastAsia" w:ascii="Times New Roman" w:hAnsi="Times New Roman" w:cs="Times New Roman"/>
                      <w:b w:val="0"/>
                      <w:bCs/>
                      <w:sz w:val="21"/>
                      <w:szCs w:val="21"/>
                      <w:vertAlign w:val="baseline"/>
                      <w:lang w:val="en-US" w:eastAsia="zh-CN"/>
                    </w:rPr>
                    <w:t>有</w:t>
                  </w:r>
                  <w:r>
                    <w:rPr>
                      <w:rFonts w:hint="eastAsia" w:ascii="Times New Roman" w:hAnsi="Times New Roman" w:eastAsia="宋体" w:cs="Times New Roman"/>
                      <w:b w:val="0"/>
                      <w:bCs/>
                      <w:sz w:val="21"/>
                      <w:szCs w:val="21"/>
                      <w:vertAlign w:val="baseline"/>
                      <w:lang w:eastAsia="zh-CN"/>
                    </w:rPr>
                    <w:t>资质单位进行处置</w:t>
                  </w:r>
                </w:p>
              </w:tc>
            </w:tr>
            <w:tr w14:paraId="37BB1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26878D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tcBorders>
                    <w:tl2br w:val="nil"/>
                    <w:tr2bl w:val="nil"/>
                  </w:tcBorders>
                  <w:vAlign w:val="center"/>
                </w:tcPr>
                <w:p w14:paraId="120E9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一般固废</w:t>
                  </w:r>
                </w:p>
              </w:tc>
              <w:tc>
                <w:tcPr>
                  <w:tcW w:w="745" w:type="pct"/>
                  <w:tcBorders>
                    <w:tl2br w:val="nil"/>
                    <w:tr2bl w:val="nil"/>
                  </w:tcBorders>
                  <w:vAlign w:val="center"/>
                </w:tcPr>
                <w:p w14:paraId="210CDA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动物住院、诊疗</w:t>
                  </w:r>
                </w:p>
              </w:tc>
              <w:tc>
                <w:tcPr>
                  <w:tcW w:w="1776" w:type="pct"/>
                  <w:gridSpan w:val="2"/>
                  <w:tcBorders>
                    <w:tl2br w:val="nil"/>
                    <w:tr2bl w:val="nil"/>
                  </w:tcBorders>
                  <w:vAlign w:val="center"/>
                </w:tcPr>
                <w:p w14:paraId="1B28B0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动物粪污</w:t>
                  </w:r>
                </w:p>
              </w:tc>
              <w:tc>
                <w:tcPr>
                  <w:tcW w:w="1661" w:type="pct"/>
                  <w:tcBorders>
                    <w:tl2br w:val="nil"/>
                    <w:tr2bl w:val="nil"/>
                  </w:tcBorders>
                  <w:vAlign w:val="center"/>
                </w:tcPr>
                <w:p w14:paraId="7EDCBD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消毒后交环卫部门处置</w:t>
                  </w:r>
                </w:p>
              </w:tc>
            </w:tr>
            <w:tr w14:paraId="3C921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08088C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tcBorders>
                    <w:tl2br w:val="nil"/>
                    <w:tr2bl w:val="nil"/>
                  </w:tcBorders>
                  <w:vAlign w:val="center"/>
                </w:tcPr>
                <w:p w14:paraId="1F454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一般固废</w:t>
                  </w:r>
                </w:p>
              </w:tc>
              <w:tc>
                <w:tcPr>
                  <w:tcW w:w="745" w:type="pct"/>
                  <w:tcBorders>
                    <w:tl2br w:val="nil"/>
                    <w:tr2bl w:val="nil"/>
                  </w:tcBorders>
                  <w:vAlign w:val="center"/>
                </w:tcPr>
                <w:p w14:paraId="1FA3C7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cs="Times New Roman"/>
                      <w:b w:val="0"/>
                      <w:bCs w:val="0"/>
                      <w:color w:val="000000"/>
                      <w:sz w:val="21"/>
                      <w:szCs w:val="21"/>
                      <w:highlight w:val="none"/>
                      <w:lang w:val="en-US" w:eastAsia="zh-CN"/>
                    </w:rPr>
                    <w:t>各类药品、试剂盒脱袋</w:t>
                  </w:r>
                </w:p>
              </w:tc>
              <w:tc>
                <w:tcPr>
                  <w:tcW w:w="1776" w:type="pct"/>
                  <w:gridSpan w:val="2"/>
                  <w:tcBorders>
                    <w:tl2br w:val="nil"/>
                    <w:tr2bl w:val="nil"/>
                  </w:tcBorders>
                  <w:vAlign w:val="center"/>
                </w:tcPr>
                <w:p w14:paraId="12A8E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废包装材料</w:t>
                  </w:r>
                </w:p>
              </w:tc>
              <w:tc>
                <w:tcPr>
                  <w:tcW w:w="1661" w:type="pct"/>
                  <w:tcBorders>
                    <w:tl2br w:val="nil"/>
                    <w:tr2bl w:val="nil"/>
                  </w:tcBorders>
                  <w:vAlign w:val="center"/>
                </w:tcPr>
                <w:p w14:paraId="2F9CEA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经</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统一</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收集后</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暂存于收集箱</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定期外售给物资回收单位</w:t>
                  </w:r>
                </w:p>
              </w:tc>
            </w:tr>
            <w:tr w14:paraId="68FBD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359284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tcBorders>
                    <w:tl2br w:val="nil"/>
                    <w:tr2bl w:val="nil"/>
                  </w:tcBorders>
                  <w:vAlign w:val="center"/>
                </w:tcPr>
                <w:p w14:paraId="3E9007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cs="Times New Roman"/>
                      <w:b w:val="0"/>
                      <w:bCs/>
                      <w:sz w:val="21"/>
                      <w:szCs w:val="21"/>
                      <w:vertAlign w:val="baseline"/>
                      <w:lang w:val="en-US" w:eastAsia="zh-CN"/>
                    </w:rPr>
                    <w:t>制氧机</w:t>
                  </w:r>
                </w:p>
              </w:tc>
              <w:tc>
                <w:tcPr>
                  <w:tcW w:w="745" w:type="pct"/>
                  <w:tcBorders>
                    <w:tl2br w:val="nil"/>
                    <w:tr2bl w:val="nil"/>
                  </w:tcBorders>
                  <w:vAlign w:val="center"/>
                </w:tcPr>
                <w:p w14:paraId="75C63F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制氧</w:t>
                  </w:r>
                </w:p>
              </w:tc>
              <w:tc>
                <w:tcPr>
                  <w:tcW w:w="1776" w:type="pct"/>
                  <w:gridSpan w:val="2"/>
                  <w:tcBorders>
                    <w:tl2br w:val="nil"/>
                    <w:tr2bl w:val="nil"/>
                  </w:tcBorders>
                  <w:vAlign w:val="center"/>
                </w:tcPr>
                <w:p w14:paraId="085655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z w:val="21"/>
                      <w:szCs w:val="21"/>
                      <w:vertAlign w:val="baseline"/>
                      <w:lang w:val="en-US" w:eastAsia="zh-CN"/>
                    </w:rPr>
                  </w:pPr>
                  <w:r>
                    <w:rPr>
                      <w:rFonts w:hint="eastAsia" w:cs="Times New Roman"/>
                      <w:b w:val="0"/>
                      <w:bCs/>
                      <w:sz w:val="21"/>
                      <w:szCs w:val="21"/>
                      <w:vertAlign w:val="baseline"/>
                      <w:lang w:val="en-US" w:eastAsia="zh-CN"/>
                    </w:rPr>
                    <w:t>制氧机废分子筛</w:t>
                  </w:r>
                </w:p>
              </w:tc>
              <w:tc>
                <w:tcPr>
                  <w:tcW w:w="1661" w:type="pct"/>
                  <w:tcBorders>
                    <w:tl2br w:val="nil"/>
                    <w:tr2bl w:val="nil"/>
                  </w:tcBorders>
                  <w:vAlign w:val="center"/>
                </w:tcPr>
                <w:p w14:paraId="5A312C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经</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统一</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收集后</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暂存于收集箱</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定期外售给物资回收单位</w:t>
                  </w:r>
                </w:p>
              </w:tc>
            </w:tr>
            <w:tr w14:paraId="4FE45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9" w:type="pct"/>
                  <w:vMerge w:val="continue"/>
                  <w:tcBorders>
                    <w:tl2br w:val="nil"/>
                    <w:tr2bl w:val="nil"/>
                  </w:tcBorders>
                  <w:vAlign w:val="center"/>
                </w:tcPr>
                <w:p w14:paraId="78B1B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z w:val="21"/>
                      <w:szCs w:val="21"/>
                      <w:vertAlign w:val="baseline"/>
                      <w:lang w:val="en-US" w:eastAsia="zh-CN"/>
                    </w:rPr>
                  </w:pPr>
                </w:p>
              </w:tc>
              <w:tc>
                <w:tcPr>
                  <w:tcW w:w="527" w:type="pct"/>
                  <w:tcBorders>
                    <w:tl2br w:val="nil"/>
                    <w:tr2bl w:val="nil"/>
                  </w:tcBorders>
                  <w:vAlign w:val="center"/>
                </w:tcPr>
                <w:p w14:paraId="2DCF0F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生活垃圾</w:t>
                  </w:r>
                </w:p>
              </w:tc>
              <w:tc>
                <w:tcPr>
                  <w:tcW w:w="745" w:type="pct"/>
                  <w:tcBorders>
                    <w:tl2br w:val="nil"/>
                    <w:tr2bl w:val="nil"/>
                  </w:tcBorders>
                  <w:vAlign w:val="center"/>
                </w:tcPr>
                <w:p w14:paraId="708E73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cs="Times New Roman"/>
                      <w:b w:val="0"/>
                      <w:bCs/>
                      <w:sz w:val="21"/>
                      <w:szCs w:val="21"/>
                      <w:vertAlign w:val="baseline"/>
                      <w:lang w:val="en-US" w:eastAsia="zh-CN"/>
                    </w:rPr>
                    <w:t>员工办公、顾客</w:t>
                  </w:r>
                </w:p>
              </w:tc>
              <w:tc>
                <w:tcPr>
                  <w:tcW w:w="1776" w:type="pct"/>
                  <w:gridSpan w:val="2"/>
                  <w:tcBorders>
                    <w:tl2br w:val="nil"/>
                    <w:tr2bl w:val="nil"/>
                  </w:tcBorders>
                  <w:vAlign w:val="center"/>
                </w:tcPr>
                <w:p w14:paraId="30D172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生活垃圾</w:t>
                  </w:r>
                </w:p>
              </w:tc>
              <w:tc>
                <w:tcPr>
                  <w:tcW w:w="1661" w:type="pct"/>
                  <w:tcBorders>
                    <w:tl2br w:val="nil"/>
                    <w:tr2bl w:val="nil"/>
                  </w:tcBorders>
                  <w:vAlign w:val="center"/>
                </w:tcPr>
                <w:p w14:paraId="4D350C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z w:val="21"/>
                      <w:szCs w:val="21"/>
                      <w:vertAlign w:val="baseline"/>
                      <w:lang w:eastAsia="zh-CN"/>
                    </w:rPr>
                  </w:pPr>
                  <w:r>
                    <w:rPr>
                      <w:rFonts w:hint="eastAsia" w:ascii="Times New Roman" w:hAnsi="Times New Roman" w:eastAsia="宋体" w:cs="Times New Roman"/>
                      <w:b w:val="0"/>
                      <w:bCs/>
                      <w:sz w:val="21"/>
                      <w:szCs w:val="21"/>
                      <w:vertAlign w:val="baseline"/>
                      <w:lang w:eastAsia="zh-CN"/>
                    </w:rPr>
                    <w:t>交市政环卫部门处置</w:t>
                  </w:r>
                </w:p>
              </w:tc>
            </w:tr>
          </w:tbl>
          <w:p w14:paraId="0424A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sz w:val="24"/>
                <w:szCs w:val="24"/>
                <w:lang w:eastAsia="zh-CN"/>
              </w:rPr>
            </w:pPr>
          </w:p>
        </w:tc>
      </w:tr>
      <w:tr w14:paraId="52F72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485" w:type="dxa"/>
            <w:noWrap w:val="0"/>
            <w:vAlign w:val="center"/>
          </w:tcPr>
          <w:p w14:paraId="256605E3">
            <w:pPr>
              <w:pStyle w:val="17"/>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499" w:type="dxa"/>
            <w:noWrap w:val="0"/>
            <w:vAlign w:val="top"/>
          </w:tcPr>
          <w:p w14:paraId="442B323F">
            <w:pPr>
              <w:pStyle w:val="3"/>
              <w:pageBreakBefore w:val="0"/>
              <w:widowControl w:val="0"/>
              <w:numPr>
                <w:ilvl w:val="1"/>
                <w:numId w:val="0"/>
              </w:numPr>
              <w:kinsoku/>
              <w:wordWrap/>
              <w:overflowPunct/>
              <w:topLinePunct w:val="0"/>
              <w:autoSpaceDE/>
              <w:autoSpaceDN/>
              <w:bidi w:val="0"/>
              <w:adjustRightInd/>
              <w:snapToGrid/>
              <w:spacing w:line="360" w:lineRule="auto"/>
              <w:ind w:leftChars="0" w:firstLine="0" w:firstLineChars="0"/>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2.10</w:t>
            </w:r>
            <w:r>
              <w:rPr>
                <w:rFonts w:hint="default" w:ascii="Times New Roman" w:hAnsi="Times New Roman" w:eastAsia="宋体" w:cs="Times New Roman"/>
                <w:b/>
                <w:bCs w:val="0"/>
                <w:color w:val="auto"/>
                <w:sz w:val="24"/>
                <w:szCs w:val="24"/>
                <w:highlight w:val="none"/>
              </w:rPr>
              <w:t>与项目有关的原有环境污染问题</w:t>
            </w:r>
          </w:p>
          <w:p w14:paraId="656F17BF">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eastAsia"/>
                <w:b/>
                <w:bCs/>
                <w:lang w:val="en-US" w:eastAsia="zh-CN"/>
              </w:rPr>
            </w:pPr>
            <w:r>
              <w:rPr>
                <w:rFonts w:hint="eastAsia"/>
                <w:b/>
                <w:bCs/>
                <w:lang w:val="en-US" w:eastAsia="zh-CN"/>
              </w:rPr>
              <w:t>2.10.1现有项目主要环保措施及污染物排放情况</w:t>
            </w:r>
          </w:p>
          <w:p w14:paraId="4F967F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b w:val="0"/>
                <w:bCs/>
                <w:sz w:val="24"/>
                <w:szCs w:val="24"/>
                <w:highlight w:val="none"/>
                <w:lang w:val="en-US" w:eastAsia="zh-CN"/>
              </w:rPr>
            </w:pPr>
            <w:r>
              <w:rPr>
                <w:rFonts w:hint="eastAsia" w:cs="Times New Roman"/>
                <w:b w:val="0"/>
                <w:bCs/>
                <w:sz w:val="24"/>
                <w:szCs w:val="24"/>
                <w:highlight w:val="none"/>
                <w:lang w:val="en-US" w:eastAsia="zh-CN"/>
              </w:rPr>
              <w:t>（1）异味</w:t>
            </w:r>
          </w:p>
          <w:p w14:paraId="35879B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szCs w:val="24"/>
                <w:highlight w:val="none"/>
                <w:lang w:val="en-US" w:eastAsia="zh-CN"/>
              </w:rPr>
            </w:pPr>
            <w:r>
              <w:rPr>
                <w:rFonts w:hint="default" w:ascii="Times New Roman" w:hAnsi="Times New Roman" w:cs="Times New Roman"/>
                <w:bCs/>
                <w:sz w:val="24"/>
                <w:szCs w:val="24"/>
                <w:highlight w:val="none"/>
                <w:lang w:val="en-US" w:eastAsia="zh-CN"/>
              </w:rPr>
              <w:t>项目采用自然通风和空调系统结合的形式进行通风</w:t>
            </w:r>
            <w:r>
              <w:rPr>
                <w:rFonts w:hint="eastAsia" w:ascii="Times New Roman" w:hAnsi="Times New Roman" w:cs="Times New Roman"/>
                <w:bCs/>
                <w:sz w:val="24"/>
                <w:szCs w:val="24"/>
                <w:highlight w:val="none"/>
                <w:lang w:val="en-US" w:eastAsia="zh-CN"/>
              </w:rPr>
              <w:t>；</w:t>
            </w:r>
            <w:r>
              <w:rPr>
                <w:rFonts w:hint="eastAsia" w:cs="Times New Roman"/>
                <w:bCs/>
                <w:sz w:val="24"/>
                <w:szCs w:val="24"/>
                <w:highlight w:val="none"/>
                <w:lang w:val="en-US" w:eastAsia="zh-CN"/>
              </w:rPr>
              <w:t>住院区</w:t>
            </w:r>
            <w:r>
              <w:rPr>
                <w:rFonts w:hint="default" w:ascii="Times New Roman" w:hAnsi="Times New Roman" w:cs="Times New Roman"/>
                <w:bCs/>
                <w:sz w:val="24"/>
                <w:szCs w:val="24"/>
                <w:highlight w:val="none"/>
                <w:lang w:val="en-US" w:eastAsia="zh-CN"/>
              </w:rPr>
              <w:t>设有紫外线灯管消毒杀菌</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每天使用84消毒液对医院进行消毒，</w:t>
            </w:r>
            <w:r>
              <w:rPr>
                <w:rFonts w:hint="eastAsia" w:ascii="Times New Roman" w:hAnsi="Times New Roman" w:cs="Times New Roman"/>
                <w:bCs/>
                <w:sz w:val="24"/>
                <w:szCs w:val="24"/>
                <w:highlight w:val="none"/>
                <w:lang w:val="en-US" w:eastAsia="zh-CN"/>
              </w:rPr>
              <w:t>消毒设施</w:t>
            </w:r>
            <w:r>
              <w:rPr>
                <w:rFonts w:hint="default" w:ascii="Times New Roman" w:hAnsi="Times New Roman" w:cs="Times New Roman"/>
                <w:bCs/>
                <w:sz w:val="24"/>
                <w:szCs w:val="24"/>
                <w:highlight w:val="none"/>
                <w:lang w:val="en-US" w:eastAsia="zh-CN"/>
              </w:rPr>
              <w:t>密闭处理。</w:t>
            </w:r>
            <w:r>
              <w:rPr>
                <w:rFonts w:hint="eastAsia" w:cs="Times New Roman"/>
                <w:bCs/>
                <w:sz w:val="24"/>
                <w:szCs w:val="24"/>
                <w:highlight w:val="none"/>
                <w:lang w:val="en-US" w:eastAsia="zh-CN"/>
              </w:rPr>
              <w:t>空调外机风口面向公路，不面对居民区。</w:t>
            </w:r>
            <w:r>
              <w:rPr>
                <w:rFonts w:hint="default" w:ascii="Times New Roman" w:hAnsi="Times New Roman" w:cs="Times New Roman"/>
                <w:bCs/>
                <w:sz w:val="24"/>
                <w:szCs w:val="24"/>
                <w:highlight w:val="none"/>
                <w:lang w:val="en-US" w:eastAsia="zh-CN"/>
              </w:rPr>
              <w:t>经调查医院运行至今未发生</w:t>
            </w:r>
            <w:r>
              <w:rPr>
                <w:rFonts w:hint="eastAsia" w:ascii="Times New Roman" w:hAnsi="Times New Roman" w:cs="Times New Roman"/>
                <w:bCs/>
                <w:sz w:val="24"/>
                <w:szCs w:val="24"/>
                <w:highlight w:val="none"/>
                <w:lang w:val="en-US" w:eastAsia="zh-CN"/>
              </w:rPr>
              <w:t>超标排放或</w:t>
            </w:r>
            <w:r>
              <w:rPr>
                <w:rFonts w:hint="default" w:ascii="Times New Roman" w:hAnsi="Times New Roman" w:cs="Times New Roman"/>
                <w:bCs/>
                <w:sz w:val="24"/>
                <w:szCs w:val="24"/>
                <w:highlight w:val="none"/>
                <w:lang w:val="en-US" w:eastAsia="zh-CN"/>
              </w:rPr>
              <w:t>环境污染问题</w:t>
            </w:r>
            <w:r>
              <w:rPr>
                <w:rFonts w:hint="eastAsia" w:cs="Times New Roman"/>
                <w:bCs/>
                <w:sz w:val="24"/>
                <w:szCs w:val="24"/>
                <w:highlight w:val="none"/>
                <w:lang w:val="en-US" w:eastAsia="zh-CN"/>
              </w:rPr>
              <w:t>，现有环保设施可满足环保要求。</w:t>
            </w:r>
          </w:p>
          <w:p w14:paraId="4DB11D89">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Times New Roman"/>
                <w:b w:val="0"/>
                <w:bCs/>
                <w:sz w:val="24"/>
                <w:szCs w:val="24"/>
                <w:highlight w:val="none"/>
                <w:lang w:val="en-US" w:eastAsia="zh-CN"/>
              </w:rPr>
            </w:pPr>
            <w:r>
              <w:rPr>
                <w:rFonts w:hint="eastAsia" w:cs="Times New Roman"/>
                <w:b w:val="0"/>
                <w:bCs/>
                <w:sz w:val="24"/>
                <w:szCs w:val="24"/>
                <w:highlight w:val="none"/>
                <w:lang w:val="en-US" w:eastAsia="zh-CN"/>
              </w:rPr>
              <w:t>废水</w:t>
            </w:r>
          </w:p>
          <w:p w14:paraId="3984566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szCs w:val="24"/>
                <w:highlight w:val="none"/>
              </w:rPr>
            </w:pPr>
            <w:r>
              <w:rPr>
                <w:rFonts w:hint="default" w:ascii="Times New Roman" w:hAnsi="Times New Roman" w:cs="Times New Roman"/>
                <w:bCs/>
                <w:sz w:val="24"/>
                <w:szCs w:val="24"/>
                <w:highlight w:val="none"/>
              </w:rPr>
              <w:t>现有项目产生的废水主要为宠物诊断治疗过程中产生的医疗废水</w:t>
            </w:r>
            <w:r>
              <w:rPr>
                <w:rFonts w:hint="eastAsia" w:cs="Times New Roman"/>
                <w:bCs/>
                <w:sz w:val="24"/>
                <w:szCs w:val="24"/>
                <w:highlight w:val="none"/>
                <w:lang w:val="en-US" w:eastAsia="zh-CN"/>
              </w:rPr>
              <w:t>、</w:t>
            </w:r>
            <w:r>
              <w:rPr>
                <w:rFonts w:hint="eastAsia" w:ascii="Times New Roman" w:hAnsi="Times New Roman" w:cs="Times New Roman"/>
                <w:bCs/>
                <w:sz w:val="24"/>
                <w:szCs w:val="24"/>
                <w:highlight w:val="none"/>
                <w:lang w:val="en-US" w:eastAsia="zh-CN"/>
              </w:rPr>
              <w:t>一般</w:t>
            </w:r>
            <w:r>
              <w:rPr>
                <w:rFonts w:hint="default" w:ascii="Times New Roman" w:hAnsi="Times New Roman" w:cs="Times New Roman"/>
                <w:bCs/>
                <w:sz w:val="24"/>
                <w:szCs w:val="24"/>
                <w:highlight w:val="none"/>
              </w:rPr>
              <w:t>生活污水</w:t>
            </w:r>
            <w:r>
              <w:rPr>
                <w:rFonts w:hint="eastAsia" w:cs="Times New Roman"/>
                <w:bCs/>
                <w:sz w:val="24"/>
                <w:szCs w:val="24"/>
                <w:highlight w:val="none"/>
                <w:lang w:val="en-US" w:eastAsia="zh-CN"/>
              </w:rPr>
              <w:t>和其他污水</w:t>
            </w:r>
            <w:r>
              <w:rPr>
                <w:rFonts w:hint="default" w:ascii="Times New Roman" w:hAnsi="Times New Roman" w:cs="Times New Roman"/>
                <w:bCs/>
                <w:sz w:val="24"/>
                <w:szCs w:val="24"/>
                <w:highlight w:val="none"/>
              </w:rPr>
              <w:t>。医疗废水经</w:t>
            </w:r>
            <w:r>
              <w:rPr>
                <w:rFonts w:hint="eastAsia" w:ascii="Times New Roman" w:hAnsi="Times New Roman" w:cs="Times New Roman"/>
                <w:bCs/>
                <w:sz w:val="24"/>
                <w:szCs w:val="24"/>
                <w:highlight w:val="none"/>
                <w:lang w:val="en-US" w:eastAsia="zh-CN"/>
              </w:rPr>
              <w:t>消毒设施</w:t>
            </w:r>
            <w:r>
              <w:rPr>
                <w:rFonts w:hint="default" w:ascii="Times New Roman" w:hAnsi="Times New Roman" w:cs="Times New Roman"/>
                <w:bCs/>
                <w:sz w:val="24"/>
                <w:szCs w:val="24"/>
                <w:highlight w:val="none"/>
              </w:rPr>
              <w:t>预处理后</w:t>
            </w:r>
            <w:r>
              <w:rPr>
                <w:rFonts w:hint="eastAsia" w:ascii="Times New Roman" w:hAnsi="Times New Roman" w:cs="Times New Roman"/>
                <w:bCs/>
                <w:sz w:val="24"/>
                <w:szCs w:val="24"/>
                <w:highlight w:val="none"/>
                <w:lang w:eastAsia="zh-CN"/>
              </w:rPr>
              <w:t>（</w:t>
            </w:r>
            <w:r>
              <w:rPr>
                <w:rFonts w:hint="default" w:ascii="Times New Roman" w:hAnsi="Times New Roman" w:cs="Times New Roman"/>
                <w:bCs/>
                <w:sz w:val="24"/>
                <w:szCs w:val="24"/>
                <w:highlight w:val="none"/>
              </w:rPr>
              <w:t>出水参照执行《医疗机构水污染物排放标准》</w:t>
            </w:r>
            <w:r>
              <w:rPr>
                <w:rFonts w:hint="eastAsia" w:ascii="Times New Roman" w:hAnsi="Times New Roman" w:cs="Times New Roman"/>
                <w:bCs/>
                <w:sz w:val="24"/>
                <w:szCs w:val="24"/>
                <w:highlight w:val="none"/>
                <w:lang w:eastAsia="zh-CN"/>
              </w:rPr>
              <w:t>（</w:t>
            </w:r>
            <w:r>
              <w:rPr>
                <w:rFonts w:hint="default" w:ascii="Times New Roman" w:hAnsi="Times New Roman" w:cs="Times New Roman"/>
                <w:bCs/>
                <w:sz w:val="24"/>
                <w:szCs w:val="24"/>
                <w:highlight w:val="none"/>
              </w:rPr>
              <w:t>GB18466-2005</w:t>
            </w:r>
            <w:r>
              <w:rPr>
                <w:rFonts w:hint="eastAsia" w:ascii="Times New Roman" w:hAnsi="Times New Roman" w:cs="Times New Roman"/>
                <w:bCs/>
                <w:sz w:val="24"/>
                <w:szCs w:val="24"/>
                <w:highlight w:val="none"/>
                <w:lang w:eastAsia="zh-CN"/>
              </w:rPr>
              <w:t>）</w:t>
            </w:r>
            <w:r>
              <w:rPr>
                <w:rFonts w:hint="default" w:ascii="Times New Roman" w:hAnsi="Times New Roman" w:cs="Times New Roman"/>
                <w:bCs/>
                <w:sz w:val="24"/>
                <w:szCs w:val="24"/>
                <w:highlight w:val="none"/>
              </w:rPr>
              <w:t>预处理</w:t>
            </w:r>
            <w:r>
              <w:rPr>
                <w:rFonts w:hint="eastAsia" w:ascii="Times New Roman" w:hAnsi="Times New Roman" w:cs="Times New Roman"/>
                <w:bCs/>
                <w:sz w:val="24"/>
                <w:szCs w:val="24"/>
                <w:highlight w:val="none"/>
                <w:lang w:val="en-US" w:eastAsia="zh-CN"/>
              </w:rPr>
              <w:t>标准</w:t>
            </w:r>
            <w:r>
              <w:rPr>
                <w:rFonts w:hint="default" w:ascii="Times New Roman" w:hAnsi="Times New Roman" w:cs="Times New Roman"/>
                <w:bCs/>
                <w:sz w:val="24"/>
                <w:szCs w:val="24"/>
                <w:highlight w:val="none"/>
              </w:rPr>
              <w:t>与</w:t>
            </w:r>
            <w:r>
              <w:rPr>
                <w:rFonts w:hint="eastAsia" w:ascii="Times New Roman" w:hAnsi="Times New Roman" w:cs="Times New Roman"/>
                <w:bCs/>
                <w:sz w:val="24"/>
                <w:szCs w:val="24"/>
                <w:highlight w:val="none"/>
                <w:lang w:val="en-US" w:eastAsia="zh-CN"/>
              </w:rPr>
              <w:t>一般</w:t>
            </w:r>
            <w:r>
              <w:rPr>
                <w:rFonts w:hint="default" w:ascii="Times New Roman" w:hAnsi="Times New Roman" w:cs="Times New Roman"/>
                <w:bCs/>
                <w:sz w:val="24"/>
                <w:szCs w:val="24"/>
                <w:highlight w:val="none"/>
              </w:rPr>
              <w:t>生活污水</w:t>
            </w:r>
            <w:r>
              <w:rPr>
                <w:rFonts w:hint="eastAsia" w:cs="Times New Roman"/>
                <w:bCs/>
                <w:sz w:val="24"/>
                <w:szCs w:val="24"/>
                <w:highlight w:val="none"/>
                <w:lang w:val="en-US" w:eastAsia="zh-CN"/>
              </w:rPr>
              <w:t>和其他污水</w:t>
            </w:r>
            <w:r>
              <w:rPr>
                <w:rFonts w:hint="default" w:ascii="Times New Roman" w:hAnsi="Times New Roman" w:cs="Times New Roman"/>
                <w:bCs/>
                <w:sz w:val="24"/>
                <w:szCs w:val="24"/>
                <w:highlight w:val="none"/>
              </w:rPr>
              <w:t>一起排入</w:t>
            </w:r>
            <w:r>
              <w:rPr>
                <w:rFonts w:hint="eastAsia" w:cs="Times New Roman"/>
                <w:bCs/>
                <w:sz w:val="24"/>
                <w:szCs w:val="24"/>
                <w:highlight w:val="none"/>
                <w:lang w:val="en-US" w:eastAsia="zh-CN"/>
              </w:rPr>
              <w:t>恒大绿岛新城B区已建</w:t>
            </w:r>
            <w:r>
              <w:rPr>
                <w:rFonts w:hint="default" w:ascii="Times New Roman" w:hAnsi="Times New Roman" w:cs="Times New Roman"/>
                <w:bCs/>
                <w:sz w:val="24"/>
                <w:szCs w:val="24"/>
                <w:highlight w:val="none"/>
              </w:rPr>
              <w:t>生化池处理达《污水综合排放标准》</w:t>
            </w:r>
            <w:r>
              <w:rPr>
                <w:rFonts w:hint="eastAsia" w:ascii="Times New Roman" w:hAnsi="Times New Roman" w:cs="Times New Roman"/>
                <w:bCs/>
                <w:sz w:val="24"/>
                <w:szCs w:val="24"/>
                <w:highlight w:val="none"/>
                <w:lang w:eastAsia="zh-CN"/>
              </w:rPr>
              <w:t>（</w:t>
            </w:r>
            <w:r>
              <w:rPr>
                <w:rFonts w:hint="default" w:ascii="Times New Roman" w:hAnsi="Times New Roman" w:cs="Times New Roman"/>
                <w:bCs/>
                <w:sz w:val="24"/>
                <w:szCs w:val="24"/>
                <w:highlight w:val="none"/>
              </w:rPr>
              <w:t>GB8978-1996</w:t>
            </w:r>
            <w:r>
              <w:rPr>
                <w:rFonts w:hint="eastAsia" w:ascii="Times New Roman" w:hAnsi="Times New Roman" w:cs="Times New Roman"/>
                <w:bCs/>
                <w:sz w:val="24"/>
                <w:szCs w:val="24"/>
                <w:highlight w:val="none"/>
                <w:lang w:eastAsia="zh-CN"/>
              </w:rPr>
              <w:t>）</w:t>
            </w:r>
            <w:r>
              <w:rPr>
                <w:rFonts w:hint="default" w:ascii="Times New Roman" w:hAnsi="Times New Roman" w:cs="Times New Roman"/>
                <w:bCs/>
                <w:sz w:val="24"/>
                <w:szCs w:val="24"/>
                <w:highlight w:val="none"/>
              </w:rPr>
              <w:t>三级标准后，排入</w:t>
            </w:r>
            <w:r>
              <w:rPr>
                <w:rFonts w:hint="eastAsia" w:cs="Times New Roman"/>
                <w:bCs/>
                <w:sz w:val="24"/>
                <w:szCs w:val="24"/>
                <w:highlight w:val="none"/>
                <w:lang w:eastAsia="zh-CN"/>
              </w:rPr>
              <w:t>观音塘污水处理厂</w:t>
            </w:r>
            <w:r>
              <w:rPr>
                <w:rFonts w:hint="default" w:ascii="Times New Roman" w:hAnsi="Times New Roman" w:cs="Times New Roman"/>
                <w:bCs/>
                <w:sz w:val="24"/>
                <w:szCs w:val="24"/>
                <w:highlight w:val="none"/>
              </w:rPr>
              <w:t>进一步处理达</w:t>
            </w:r>
            <w:r>
              <w:rPr>
                <w:rFonts w:hint="eastAsia"/>
                <w:color w:val="auto"/>
                <w:sz w:val="24"/>
                <w:highlight w:val="none"/>
                <w:lang w:val="en-US" w:eastAsia="zh-CN"/>
              </w:rPr>
              <w:t>《地表水环境质量标准》（GB3838-2002）中Ⅳ类</w:t>
            </w:r>
            <w:r>
              <w:rPr>
                <w:rFonts w:hint="eastAsia"/>
                <w:color w:val="auto"/>
                <w:sz w:val="24"/>
                <w:highlight w:val="none"/>
              </w:rPr>
              <w:t>标准</w:t>
            </w:r>
            <w:r>
              <w:rPr>
                <w:rFonts w:hint="eastAsia"/>
                <w:color w:val="auto"/>
                <w:sz w:val="24"/>
                <w:highlight w:val="none"/>
                <w:lang w:eastAsia="zh-CN"/>
              </w:rPr>
              <w:t>（COD、BOD</w:t>
            </w:r>
            <w:r>
              <w:rPr>
                <w:rFonts w:hint="eastAsia"/>
                <w:color w:val="auto"/>
                <w:sz w:val="24"/>
                <w:highlight w:val="none"/>
                <w:vertAlign w:val="subscript"/>
                <w:lang w:eastAsia="zh-CN"/>
              </w:rPr>
              <w:t>5</w:t>
            </w:r>
            <w:r>
              <w:rPr>
                <w:rFonts w:hint="eastAsia"/>
                <w:color w:val="auto"/>
                <w:sz w:val="24"/>
                <w:highlight w:val="none"/>
                <w:lang w:eastAsia="zh-CN"/>
              </w:rPr>
              <w:t>、氨氮、总磷）</w:t>
            </w:r>
            <w:r>
              <w:rPr>
                <w:rFonts w:hint="eastAsia"/>
                <w:color w:val="auto"/>
                <w:sz w:val="24"/>
                <w:highlight w:val="none"/>
              </w:rPr>
              <w:t>和《城镇污水处理厂污染物排放标准》（GB18918-2002）中一级A标准（其余指标）</w:t>
            </w:r>
            <w:r>
              <w:rPr>
                <w:rFonts w:hint="eastAsia"/>
                <w:bCs/>
                <w:color w:val="auto"/>
                <w:sz w:val="24"/>
                <w:highlight w:val="none"/>
              </w:rPr>
              <w:t>后排入璧南河</w:t>
            </w:r>
            <w:r>
              <w:rPr>
                <w:rFonts w:hint="default" w:ascii="Times New Roman" w:hAnsi="Times New Roman" w:cs="Times New Roman"/>
                <w:bCs/>
                <w:sz w:val="24"/>
                <w:szCs w:val="24"/>
                <w:highlight w:val="none"/>
              </w:rPr>
              <w:t>。其中，</w:t>
            </w:r>
            <w:r>
              <w:rPr>
                <w:rFonts w:hint="eastAsia" w:cs="Times New Roman"/>
                <w:bCs/>
                <w:sz w:val="24"/>
                <w:szCs w:val="24"/>
                <w:highlight w:val="none"/>
                <w:lang w:val="en-US" w:eastAsia="zh-CN"/>
              </w:rPr>
              <w:t>手术室</w:t>
            </w:r>
            <w:r>
              <w:rPr>
                <w:rFonts w:hint="eastAsia" w:cs="Times New Roman"/>
                <w:bCs/>
                <w:sz w:val="24"/>
                <w:szCs w:val="24"/>
                <w:highlight w:val="none"/>
                <w:lang w:eastAsia="zh-CN"/>
              </w:rPr>
              <w:t>水槽</w:t>
            </w:r>
            <w:r>
              <w:rPr>
                <w:rFonts w:hint="eastAsia" w:cs="Times New Roman"/>
                <w:bCs/>
                <w:sz w:val="24"/>
                <w:szCs w:val="24"/>
                <w:highlight w:val="none"/>
                <w:lang w:val="en-US" w:eastAsia="zh-CN"/>
              </w:rPr>
              <w:t>和卫生间水槽下方各</w:t>
            </w:r>
            <w:r>
              <w:rPr>
                <w:rFonts w:hint="default" w:ascii="Times New Roman" w:hAnsi="Times New Roman" w:cs="Times New Roman"/>
                <w:bCs/>
                <w:sz w:val="24"/>
                <w:szCs w:val="24"/>
                <w:highlight w:val="none"/>
              </w:rPr>
              <w:t>设置1台</w:t>
            </w:r>
            <w:r>
              <w:rPr>
                <w:rFonts w:hint="eastAsia" w:ascii="Times New Roman" w:hAnsi="Times New Roman" w:cs="Times New Roman"/>
                <w:bCs/>
                <w:sz w:val="24"/>
                <w:szCs w:val="24"/>
                <w:highlight w:val="none"/>
                <w:lang w:val="en-US" w:eastAsia="zh-CN"/>
              </w:rPr>
              <w:t>消毒</w:t>
            </w:r>
            <w:r>
              <w:rPr>
                <w:rFonts w:hint="default" w:ascii="Times New Roman" w:hAnsi="Times New Roman" w:cs="Times New Roman"/>
                <w:bCs/>
                <w:sz w:val="24"/>
                <w:szCs w:val="24"/>
                <w:highlight w:val="none"/>
              </w:rPr>
              <w:t>设施用于处理医疗废水。</w:t>
            </w:r>
            <w:r>
              <w:rPr>
                <w:rFonts w:hint="default" w:ascii="Times New Roman" w:hAnsi="Times New Roman" w:cs="Times New Roman"/>
                <w:bCs/>
                <w:sz w:val="24"/>
                <w:szCs w:val="24"/>
                <w:highlight w:val="none"/>
                <w:lang w:val="en-US" w:eastAsia="zh-CN"/>
              </w:rPr>
              <w:t>经调查医院运行至今未发生</w:t>
            </w:r>
            <w:r>
              <w:rPr>
                <w:rFonts w:hint="eastAsia" w:ascii="Times New Roman" w:hAnsi="Times New Roman" w:cs="Times New Roman"/>
                <w:bCs/>
                <w:sz w:val="24"/>
                <w:szCs w:val="24"/>
                <w:highlight w:val="none"/>
                <w:lang w:val="en-US" w:eastAsia="zh-CN"/>
              </w:rPr>
              <w:t>超标排放或</w:t>
            </w:r>
            <w:r>
              <w:rPr>
                <w:rFonts w:hint="default" w:ascii="Times New Roman" w:hAnsi="Times New Roman" w:cs="Times New Roman"/>
                <w:bCs/>
                <w:sz w:val="24"/>
                <w:szCs w:val="24"/>
                <w:highlight w:val="none"/>
                <w:lang w:val="en-US" w:eastAsia="zh-CN"/>
              </w:rPr>
              <w:t>环境污染问题</w:t>
            </w:r>
            <w:r>
              <w:rPr>
                <w:rFonts w:hint="eastAsia" w:cs="Times New Roman"/>
                <w:bCs/>
                <w:sz w:val="24"/>
                <w:szCs w:val="24"/>
                <w:highlight w:val="none"/>
                <w:lang w:val="en-US" w:eastAsia="zh-CN"/>
              </w:rPr>
              <w:t>，现有环保设施可满足环保要求。</w:t>
            </w:r>
          </w:p>
          <w:p w14:paraId="51DC34C0">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Times New Roman"/>
                <w:b w:val="0"/>
                <w:bCs/>
                <w:sz w:val="24"/>
                <w:szCs w:val="24"/>
                <w:highlight w:val="none"/>
                <w:lang w:val="en-US" w:eastAsia="zh-CN"/>
              </w:rPr>
            </w:pPr>
            <w:r>
              <w:rPr>
                <w:rFonts w:hint="eastAsia" w:cs="Times New Roman"/>
                <w:b w:val="0"/>
                <w:bCs/>
                <w:sz w:val="24"/>
                <w:szCs w:val="24"/>
                <w:highlight w:val="none"/>
                <w:lang w:val="en-US" w:eastAsia="zh-CN"/>
              </w:rPr>
              <w:t>噪声</w:t>
            </w:r>
          </w:p>
          <w:p w14:paraId="421555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szCs w:val="24"/>
                <w:highlight w:val="none"/>
                <w:lang w:val="en-US" w:eastAsia="zh-CN"/>
              </w:rPr>
            </w:pPr>
            <w:r>
              <w:rPr>
                <w:rFonts w:hint="default" w:ascii="Times New Roman" w:hAnsi="Times New Roman" w:cs="Times New Roman"/>
                <w:bCs/>
                <w:sz w:val="24"/>
                <w:szCs w:val="24"/>
                <w:highlight w:val="none"/>
                <w:lang w:val="en-US" w:eastAsia="zh-CN"/>
              </w:rPr>
              <w:t>现有项目无高噪声设备，主要为空调外机噪声和动物日常偶发噪声。根据重庆佳圆环境检测有限公司</w:t>
            </w:r>
            <w:r>
              <w:rPr>
                <w:rFonts w:hint="eastAsia" w:cs="Times New Roman"/>
                <w:bCs/>
                <w:sz w:val="24"/>
                <w:szCs w:val="24"/>
                <w:highlight w:val="none"/>
                <w:lang w:val="en-US" w:eastAsia="zh-CN"/>
              </w:rPr>
              <w:t>2025年3月13</w:t>
            </w:r>
            <w:r>
              <w:rPr>
                <w:rFonts w:hint="default" w:ascii="Times New Roman" w:hAnsi="Times New Roman" w:cs="Times New Roman"/>
                <w:bCs/>
                <w:sz w:val="24"/>
                <w:szCs w:val="24"/>
                <w:highlight w:val="none"/>
                <w:lang w:val="en-US" w:eastAsia="zh-CN"/>
              </w:rPr>
              <w:t>日的噪声监测结果，</w:t>
            </w:r>
            <w:r>
              <w:rPr>
                <w:rFonts w:hint="eastAsia" w:cs="Times New Roman"/>
                <w:bCs/>
                <w:sz w:val="24"/>
                <w:szCs w:val="24"/>
                <w:highlight w:val="none"/>
                <w:lang w:val="en-US" w:eastAsia="zh-CN"/>
              </w:rPr>
              <w:t>恒大绿岛新城B区商业裙楼</w:t>
            </w:r>
            <w:r>
              <w:rPr>
                <w:rFonts w:hint="default" w:ascii="Times New Roman" w:hAnsi="Times New Roman" w:cs="Times New Roman"/>
                <w:bCs/>
                <w:sz w:val="24"/>
                <w:szCs w:val="24"/>
                <w:highlight w:val="none"/>
                <w:lang w:val="en-US" w:eastAsia="zh-CN"/>
              </w:rPr>
              <w:t>昼间</w:t>
            </w:r>
            <w:r>
              <w:rPr>
                <w:rFonts w:hint="eastAsia" w:cs="Times New Roman"/>
                <w:bCs/>
                <w:sz w:val="24"/>
                <w:szCs w:val="24"/>
                <w:highlight w:val="none"/>
                <w:lang w:val="en-US" w:eastAsia="zh-CN"/>
              </w:rPr>
              <w:t>和夜间</w:t>
            </w:r>
            <w:r>
              <w:rPr>
                <w:rFonts w:hint="default" w:ascii="Times New Roman" w:hAnsi="Times New Roman" w:cs="Times New Roman"/>
                <w:bCs/>
                <w:sz w:val="24"/>
                <w:szCs w:val="24"/>
                <w:highlight w:val="none"/>
                <w:lang w:val="en-US" w:eastAsia="zh-CN"/>
              </w:rPr>
              <w:t>噪声满足《声环境质量标准》</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GB 3096-2008</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中</w:t>
            </w:r>
            <w:r>
              <w:rPr>
                <w:rFonts w:hint="eastAsia" w:cs="Times New Roman"/>
                <w:bCs/>
                <w:sz w:val="24"/>
                <w:szCs w:val="24"/>
                <w:highlight w:val="none"/>
                <w:lang w:val="en-US" w:eastAsia="zh-CN"/>
              </w:rPr>
              <w:t>4a</w:t>
            </w:r>
            <w:r>
              <w:rPr>
                <w:rFonts w:hint="default" w:ascii="Times New Roman" w:hAnsi="Times New Roman" w:cs="Times New Roman"/>
                <w:bCs/>
                <w:sz w:val="24"/>
                <w:szCs w:val="24"/>
                <w:highlight w:val="none"/>
                <w:lang w:val="en-US" w:eastAsia="zh-CN"/>
              </w:rPr>
              <w:t>类标准要求。经调查医院运行至今未发生环境污染和环保投诉问题</w:t>
            </w:r>
            <w:r>
              <w:rPr>
                <w:rFonts w:hint="eastAsia" w:cs="Times New Roman"/>
                <w:bCs/>
                <w:sz w:val="24"/>
                <w:szCs w:val="24"/>
                <w:highlight w:val="none"/>
                <w:lang w:val="en-US" w:eastAsia="zh-CN"/>
              </w:rPr>
              <w:t>，现有环保设施可满足环保要求。</w:t>
            </w:r>
          </w:p>
          <w:p w14:paraId="013B8219">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Times New Roman"/>
                <w:b w:val="0"/>
                <w:bCs/>
                <w:sz w:val="24"/>
                <w:szCs w:val="24"/>
                <w:highlight w:val="none"/>
                <w:lang w:val="en-US" w:eastAsia="zh-CN"/>
              </w:rPr>
            </w:pPr>
            <w:r>
              <w:rPr>
                <w:rFonts w:hint="eastAsia" w:cs="Times New Roman"/>
                <w:b w:val="0"/>
                <w:bCs/>
                <w:sz w:val="24"/>
                <w:szCs w:val="24"/>
                <w:highlight w:val="none"/>
                <w:lang w:val="en-US" w:eastAsia="zh-CN"/>
              </w:rPr>
              <w:t>固废</w:t>
            </w:r>
          </w:p>
          <w:p w14:paraId="34B695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highlight w:val="none"/>
                <w:lang w:val="en-US" w:eastAsia="zh-CN"/>
              </w:rPr>
              <w:t>现有项目产生的固体废物主要包括动物粪污</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猫砂和其他动物粪污</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、生活垃圾、医疗废物</w:t>
            </w:r>
            <w:r>
              <w:rPr>
                <w:rFonts w:hint="eastAsia" w:ascii="Times New Roman" w:hAnsi="Times New Roman" w:cs="Times New Roman"/>
                <w:bCs/>
                <w:sz w:val="24"/>
                <w:szCs w:val="24"/>
                <w:highlight w:val="none"/>
                <w:lang w:val="en-US" w:eastAsia="zh-CN"/>
              </w:rPr>
              <w:t>、废包装材料、废紫外灯管、制氧机废分子筛</w:t>
            </w:r>
            <w:r>
              <w:rPr>
                <w:rFonts w:hint="default" w:ascii="Times New Roman" w:hAnsi="Times New Roman" w:cs="Times New Roman"/>
                <w:bCs/>
                <w:sz w:val="24"/>
                <w:szCs w:val="24"/>
                <w:highlight w:val="none"/>
                <w:lang w:val="en-US" w:eastAsia="zh-CN"/>
              </w:rPr>
              <w:t>。生活垃圾交环卫部门进行处置</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猫砂及其他动物粪污</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住院、门诊</w:t>
            </w:r>
            <w:r>
              <w:rPr>
                <w:rFonts w:hint="eastAsia" w:ascii="Times New Roman" w:hAnsi="Times New Roman" w:cs="Times New Roman"/>
                <w:bCs/>
                <w:sz w:val="24"/>
                <w:szCs w:val="24"/>
                <w:highlight w:val="none"/>
                <w:lang w:val="en-US" w:eastAsia="zh-CN"/>
              </w:rPr>
              <w:t>）</w:t>
            </w:r>
            <w:r>
              <w:rPr>
                <w:rFonts w:hint="default" w:ascii="Times New Roman" w:hAnsi="Times New Roman" w:cs="Times New Roman"/>
                <w:bCs/>
                <w:sz w:val="24"/>
                <w:szCs w:val="24"/>
                <w:highlight w:val="none"/>
                <w:lang w:val="en-US" w:eastAsia="zh-CN"/>
              </w:rPr>
              <w:t>经</w:t>
            </w:r>
            <w:r>
              <w:rPr>
                <w:rFonts w:hint="eastAsia" w:ascii="Times New Roman" w:hAnsi="Times New Roman" w:cs="Times New Roman"/>
                <w:bCs/>
                <w:sz w:val="24"/>
                <w:szCs w:val="24"/>
                <w:highlight w:val="none"/>
                <w:lang w:val="en-US" w:eastAsia="zh-CN"/>
              </w:rPr>
              <w:t>84消毒液</w:t>
            </w:r>
            <w:r>
              <w:rPr>
                <w:rFonts w:hint="default" w:ascii="Times New Roman" w:hAnsi="Times New Roman" w:cs="Times New Roman"/>
                <w:bCs/>
                <w:sz w:val="24"/>
                <w:szCs w:val="24"/>
                <w:highlight w:val="none"/>
                <w:lang w:val="en-US" w:eastAsia="zh-CN"/>
              </w:rPr>
              <w:t>消毒处理后交市政环卫部门处置</w:t>
            </w:r>
            <w:r>
              <w:rPr>
                <w:rFonts w:hint="eastAsia" w:ascii="Times New Roman" w:hAnsi="Times New Roman" w:cs="Times New Roman"/>
                <w:bCs/>
                <w:sz w:val="24"/>
                <w:szCs w:val="24"/>
                <w:highlight w:val="none"/>
                <w:lang w:val="en-US" w:eastAsia="zh-CN"/>
              </w:rPr>
              <w:t>；医疗废物中感染性废物、损伤性废物</w:t>
            </w:r>
            <w:r>
              <w:rPr>
                <w:rFonts w:hint="default" w:ascii="Times New Roman" w:hAnsi="Times New Roman" w:cs="Times New Roman"/>
                <w:bCs/>
                <w:sz w:val="24"/>
                <w:szCs w:val="24"/>
                <w:highlight w:val="none"/>
                <w:lang w:val="en-US" w:eastAsia="zh-CN"/>
              </w:rPr>
              <w:t>交重庆苏鑫医疗废物处理有限公司处置。</w:t>
            </w:r>
            <w:r>
              <w:rPr>
                <w:rFonts w:hint="eastAsia" w:ascii="Times New Roman" w:hAnsi="Times New Roman" w:cs="Times New Roman"/>
                <w:bCs/>
                <w:sz w:val="24"/>
                <w:szCs w:val="24"/>
                <w:highlight w:val="none"/>
                <w:lang w:val="en-US" w:eastAsia="zh-CN"/>
              </w:rPr>
              <w:t>药物性废物即过期药物交由厂家回收。本项目使用电子体温计和血压计，未使用</w:t>
            </w:r>
            <w:r>
              <w:rPr>
                <w:rFonts w:hint="eastAsia"/>
                <w:sz w:val="24"/>
                <w:szCs w:val="24"/>
              </w:rPr>
              <w:t>含汞血压计、含汞体温计</w:t>
            </w:r>
            <w:r>
              <w:rPr>
                <w:rFonts w:hint="eastAsia"/>
                <w:sz w:val="24"/>
                <w:szCs w:val="24"/>
                <w:lang w:eastAsia="zh-CN"/>
              </w:rPr>
              <w:t>，</w:t>
            </w:r>
            <w:r>
              <w:rPr>
                <w:rFonts w:hint="eastAsia"/>
                <w:sz w:val="24"/>
                <w:szCs w:val="24"/>
                <w:lang w:val="en-US" w:eastAsia="zh-CN"/>
              </w:rPr>
              <w:t>暂时无化学性废物产生。本项目至今尚未产生废紫外灯管。</w:t>
            </w:r>
            <w:r>
              <w:rPr>
                <w:rFonts w:hint="default" w:ascii="Times New Roman" w:hAnsi="Times New Roman" w:cs="Times New Roman"/>
                <w:bCs/>
                <w:sz w:val="24"/>
                <w:szCs w:val="24"/>
                <w:highlight w:val="none"/>
                <w:lang w:val="en-US" w:eastAsia="zh-CN"/>
              </w:rPr>
              <w:t>动物尸体及动物病理组织交</w:t>
            </w:r>
            <w:r>
              <w:rPr>
                <w:rFonts w:hint="eastAsia" w:cs="Times New Roman"/>
                <w:bCs/>
                <w:sz w:val="24"/>
                <w:szCs w:val="24"/>
                <w:highlight w:val="none"/>
                <w:lang w:val="en-US" w:eastAsia="zh-CN"/>
              </w:rPr>
              <w:t>重庆市正羽环保科技有限公司</w:t>
            </w:r>
            <w:r>
              <w:rPr>
                <w:rFonts w:hint="default" w:ascii="Times New Roman" w:hAnsi="Times New Roman" w:cs="Times New Roman"/>
                <w:bCs/>
                <w:sz w:val="24"/>
                <w:szCs w:val="24"/>
                <w:highlight w:val="none"/>
                <w:lang w:val="en-US" w:eastAsia="zh-CN"/>
              </w:rPr>
              <w:t>进行无害化处置。</w:t>
            </w:r>
            <w:r>
              <w:rPr>
                <w:rFonts w:hint="default" w:ascii="Times New Roman" w:hAnsi="Times New Roman" w:cs="Times New Roman"/>
                <w:bCs/>
                <w:sz w:val="24"/>
                <w:szCs w:val="24"/>
                <w:lang w:val="en-US" w:eastAsia="zh-CN"/>
              </w:rPr>
              <w:t>经调查医院运行至今未发生环境污染和环保投诉问题</w:t>
            </w:r>
            <w:r>
              <w:rPr>
                <w:rFonts w:hint="default" w:ascii="Times New Roman" w:hAnsi="Times New Roman" w:cs="Times New Roman"/>
                <w:bCs/>
                <w:sz w:val="24"/>
                <w:szCs w:val="24"/>
                <w:highlight w:val="none"/>
                <w:lang w:val="en-US" w:eastAsia="zh-CN"/>
              </w:rPr>
              <w:t>。</w:t>
            </w:r>
            <w:r>
              <w:rPr>
                <w:rFonts w:hint="eastAsia" w:cs="Times New Roman"/>
                <w:bCs/>
                <w:sz w:val="24"/>
                <w:szCs w:val="24"/>
                <w:highlight w:val="none"/>
                <w:lang w:val="en-US" w:eastAsia="zh-CN"/>
              </w:rPr>
              <w:t>现有环保设施中医废点缺少标识标牌。</w:t>
            </w:r>
          </w:p>
          <w:p w14:paraId="2F864266">
            <w:pPr>
              <w:pStyle w:val="4"/>
              <w:keepNext/>
              <w:keepLines/>
              <w:pageBreakBefore w:val="0"/>
              <w:widowControl w:val="0"/>
              <w:kinsoku/>
              <w:wordWrap/>
              <w:overflowPunct/>
              <w:topLinePunct w:val="0"/>
              <w:autoSpaceDE/>
              <w:autoSpaceDN/>
              <w:bidi w:val="0"/>
              <w:adjustRightInd/>
              <w:snapToGrid/>
              <w:spacing w:before="157" w:beforeLines="50"/>
              <w:textAlignment w:val="auto"/>
              <w:rPr>
                <w:rFonts w:hint="default"/>
                <w:b/>
                <w:bCs/>
              </w:rPr>
            </w:pPr>
            <w:r>
              <w:rPr>
                <w:rFonts w:hint="eastAsia"/>
                <w:b/>
                <w:bCs/>
                <w:lang w:val="en-US" w:eastAsia="zh-CN"/>
              </w:rPr>
              <w:t>2.10.2企业环保投诉及主要环保问题</w:t>
            </w:r>
          </w:p>
          <w:p w14:paraId="56DD01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（1）环保投诉情况</w:t>
            </w:r>
          </w:p>
          <w:p w14:paraId="4F626C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经调查，医院运行至今未发生环境污染和环保投诉问题。</w:t>
            </w:r>
          </w:p>
          <w:p w14:paraId="6AAFE1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（2）与项目有关的主要环境问题</w:t>
            </w:r>
          </w:p>
          <w:p w14:paraId="3C57C3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根据现场调查</w:t>
            </w:r>
            <w:r>
              <w:rPr>
                <w:rFonts w:hint="eastAsia" w:cs="Times New Roman"/>
                <w:color w:val="auto"/>
                <w:kern w:val="2"/>
                <w:sz w:val="24"/>
                <w:szCs w:val="24"/>
                <w:highlight w:val="none"/>
                <w:lang w:val="en-US" w:eastAsia="zh-CN" w:bidi="ar-SA"/>
              </w:rPr>
              <w:t>，医院</w:t>
            </w:r>
            <w:r>
              <w:rPr>
                <w:rFonts w:hint="default" w:ascii="Times New Roman" w:hAnsi="Times New Roman" w:eastAsia="宋体" w:cs="Times New Roman"/>
                <w:color w:val="auto"/>
                <w:kern w:val="2"/>
                <w:sz w:val="24"/>
                <w:szCs w:val="24"/>
                <w:highlight w:val="none"/>
                <w:lang w:val="en-US" w:eastAsia="zh-CN" w:bidi="ar-SA"/>
              </w:rPr>
              <w:t>严格按照环境保护管理“三同时”制度要求，对废水、</w:t>
            </w:r>
            <w:r>
              <w:rPr>
                <w:rFonts w:hint="eastAsia" w:cs="Times New Roman"/>
                <w:color w:val="auto"/>
                <w:kern w:val="2"/>
                <w:sz w:val="24"/>
                <w:szCs w:val="24"/>
                <w:highlight w:val="none"/>
                <w:lang w:val="en-US" w:eastAsia="zh-CN" w:bidi="ar-SA"/>
              </w:rPr>
              <w:t>废气、</w:t>
            </w:r>
            <w:r>
              <w:rPr>
                <w:rFonts w:hint="default" w:ascii="Times New Roman" w:hAnsi="Times New Roman" w:eastAsia="宋体" w:cs="Times New Roman"/>
                <w:color w:val="auto"/>
                <w:kern w:val="2"/>
                <w:sz w:val="24"/>
                <w:szCs w:val="24"/>
                <w:highlight w:val="none"/>
                <w:lang w:val="en-US" w:eastAsia="zh-CN" w:bidi="ar-SA"/>
              </w:rPr>
              <w:t>噪声进行了有效</w:t>
            </w:r>
            <w:r>
              <w:rPr>
                <w:rFonts w:hint="eastAsia" w:cs="Times New Roman"/>
                <w:color w:val="auto"/>
                <w:kern w:val="2"/>
                <w:sz w:val="24"/>
                <w:szCs w:val="24"/>
                <w:highlight w:val="none"/>
                <w:lang w:val="en-US" w:eastAsia="zh-CN" w:bidi="ar-SA"/>
              </w:rPr>
              <w:t>地</w:t>
            </w:r>
            <w:r>
              <w:rPr>
                <w:rFonts w:hint="default" w:ascii="Times New Roman" w:hAnsi="Times New Roman" w:eastAsia="宋体" w:cs="Times New Roman"/>
                <w:color w:val="auto"/>
                <w:kern w:val="2"/>
                <w:sz w:val="24"/>
                <w:szCs w:val="24"/>
                <w:highlight w:val="none"/>
                <w:lang w:val="en-US" w:eastAsia="zh-CN" w:bidi="ar-SA"/>
              </w:rPr>
              <w:t>治理，污染防治措施切实有效。现有项目主要环境问题及整改措施为：</w:t>
            </w:r>
            <w:r>
              <w:rPr>
                <w:rFonts w:hint="eastAsia" w:cs="Times New Roman"/>
                <w:color w:val="auto"/>
                <w:kern w:val="2"/>
                <w:sz w:val="24"/>
                <w:szCs w:val="24"/>
                <w:highlight w:val="none"/>
                <w:lang w:val="en-US" w:eastAsia="zh-CN" w:bidi="ar-SA"/>
              </w:rPr>
              <w:t>医疗废物暂存点设置标识标牌。</w:t>
            </w:r>
          </w:p>
        </w:tc>
      </w:tr>
    </w:tbl>
    <w:p w14:paraId="692DE3EF">
      <w:pPr>
        <w:pStyle w:val="17"/>
        <w:jc w:val="center"/>
        <w:rPr>
          <w:rFonts w:ascii="黑体" w:hAnsi="黑体" w:eastAsia="黑体"/>
          <w:snapToGrid w:val="0"/>
          <w:sz w:val="36"/>
          <w:szCs w:val="36"/>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9BDBD2F">
      <w:pPr>
        <w:pStyle w:val="17"/>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14:paraId="65D09AD1">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00"/>
      </w:tblGrid>
      <w:tr w14:paraId="3624D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27" w:hRule="atLeast"/>
          <w:jc w:val="center"/>
        </w:trPr>
        <w:tc>
          <w:tcPr>
            <w:tcW w:w="426" w:type="dxa"/>
            <w:noWrap w:val="0"/>
            <w:vAlign w:val="center"/>
          </w:tcPr>
          <w:p w14:paraId="6F001D25">
            <w:pPr>
              <w:adjustRightInd w:val="0"/>
              <w:snapToGrid w:val="0"/>
              <w:jc w:val="center"/>
              <w:rPr>
                <w:rFonts w:hint="eastAsia" w:ascii="宋体" w:hAnsi="宋体" w:cs="宋体"/>
                <w:kern w:val="0"/>
                <w:szCs w:val="21"/>
              </w:rPr>
            </w:pPr>
            <w:r>
              <w:rPr>
                <w:rFonts w:hint="eastAsia" w:ascii="宋体" w:hAnsi="宋体" w:cs="宋体"/>
                <w:kern w:val="0"/>
                <w:szCs w:val="21"/>
              </w:rPr>
              <w:t>区域</w:t>
            </w:r>
          </w:p>
          <w:p w14:paraId="2EE6B3B7">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4433F6F3">
            <w:pPr>
              <w:adjustRightInd w:val="0"/>
              <w:snapToGrid w:val="0"/>
              <w:jc w:val="center"/>
              <w:rPr>
                <w:rFonts w:hint="eastAsia" w:ascii="宋体" w:hAnsi="宋体" w:cs="宋体"/>
                <w:kern w:val="0"/>
                <w:szCs w:val="21"/>
              </w:rPr>
            </w:pPr>
            <w:r>
              <w:rPr>
                <w:rFonts w:hint="eastAsia" w:ascii="宋体" w:hAnsi="宋体" w:cs="宋体"/>
                <w:kern w:val="0"/>
                <w:szCs w:val="21"/>
              </w:rPr>
              <w:t>质量</w:t>
            </w:r>
          </w:p>
          <w:p w14:paraId="0525C968">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600" w:type="dxa"/>
            <w:noWrap w:val="0"/>
            <w:vAlign w:val="center"/>
          </w:tcPr>
          <w:p w14:paraId="42A0564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3.1 区域环境质量现状</w:t>
            </w:r>
          </w:p>
          <w:p w14:paraId="23E902A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3.1.1 大气环境质量现状</w:t>
            </w:r>
          </w:p>
          <w:p w14:paraId="07D23C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根据《重庆市环境空气质量功能区划分规定》</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渝府发</w:t>
            </w:r>
            <w:r>
              <w:rPr>
                <w:rFonts w:hint="eastAsia" w:cs="Times New Roman"/>
                <w:b w:val="0"/>
                <w:bCs w:val="0"/>
                <w:kern w:val="0"/>
                <w:sz w:val="24"/>
                <w:szCs w:val="24"/>
                <w:lang w:eastAsia="zh-CN"/>
              </w:rPr>
              <w:t>〔2016〕19号</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等相关文件规定，拟建项目位于</w:t>
            </w:r>
            <w:r>
              <w:rPr>
                <w:rFonts w:hint="eastAsia" w:ascii="Times New Roman" w:hAnsi="Times New Roman" w:cs="Times New Roman"/>
                <w:b w:val="0"/>
                <w:bCs w:val="0"/>
                <w:kern w:val="0"/>
                <w:sz w:val="24"/>
                <w:szCs w:val="24"/>
                <w:lang w:val="en-US" w:eastAsia="zh-CN"/>
              </w:rPr>
              <w:t>璧山</w:t>
            </w:r>
            <w:r>
              <w:rPr>
                <w:rFonts w:hint="default" w:ascii="Times New Roman" w:hAnsi="Times New Roman" w:cs="Times New Roman"/>
                <w:b w:val="0"/>
                <w:bCs w:val="0"/>
                <w:kern w:val="0"/>
                <w:sz w:val="24"/>
                <w:szCs w:val="24"/>
              </w:rPr>
              <w:t>区，所在区域环境空气功能区划为二类区，环境空气质量常规因子</w:t>
            </w:r>
            <w:r>
              <w:rPr>
                <w:rFonts w:hint="default" w:ascii="Times New Roman" w:hAnsi="Times New Roman" w:eastAsia="宋体" w:cs="Times New Roman"/>
                <w:b w:val="0"/>
                <w:bCs w:val="0"/>
                <w:kern w:val="0"/>
                <w:sz w:val="24"/>
                <w:szCs w:val="24"/>
              </w:rPr>
              <w:t>SO</w:t>
            </w:r>
            <w:r>
              <w:rPr>
                <w:rFonts w:hint="default" w:ascii="Times New Roman" w:hAnsi="Times New Roman" w:eastAsia="宋体" w:cs="Times New Roman"/>
                <w:b w:val="0"/>
                <w:bCs w:val="0"/>
                <w:kern w:val="0"/>
                <w:sz w:val="24"/>
                <w:szCs w:val="24"/>
                <w:vertAlign w:val="subscript"/>
              </w:rPr>
              <w:t>2</w:t>
            </w:r>
            <w:r>
              <w:rPr>
                <w:rFonts w:hint="default" w:ascii="Times New Roman" w:hAnsi="Times New Roman" w:eastAsia="宋体" w:cs="Times New Roman"/>
                <w:b w:val="0"/>
                <w:bCs w:val="0"/>
                <w:kern w:val="0"/>
                <w:sz w:val="24"/>
                <w:szCs w:val="24"/>
              </w:rPr>
              <w:t>、NO</w:t>
            </w:r>
            <w:r>
              <w:rPr>
                <w:rFonts w:hint="default" w:ascii="Times New Roman" w:hAnsi="Times New Roman" w:eastAsia="宋体" w:cs="Times New Roman"/>
                <w:b w:val="0"/>
                <w:bCs w:val="0"/>
                <w:kern w:val="0"/>
                <w:sz w:val="24"/>
                <w:szCs w:val="24"/>
                <w:vertAlign w:val="subscript"/>
              </w:rPr>
              <w:t>2</w:t>
            </w:r>
            <w:r>
              <w:rPr>
                <w:rFonts w:hint="default" w:ascii="Times New Roman" w:hAnsi="Times New Roman" w:eastAsia="宋体" w:cs="Times New Roman"/>
                <w:b w:val="0"/>
                <w:bCs w:val="0"/>
                <w:kern w:val="0"/>
                <w:sz w:val="24"/>
                <w:szCs w:val="24"/>
              </w:rPr>
              <w:t>、PM</w:t>
            </w:r>
            <w:r>
              <w:rPr>
                <w:rFonts w:hint="eastAsia" w:ascii="Times New Roman" w:hAnsi="Times New Roman" w:eastAsia="宋体" w:cs="Times New Roman"/>
                <w:b w:val="0"/>
                <w:bCs w:val="0"/>
                <w:kern w:val="0"/>
                <w:sz w:val="24"/>
                <w:szCs w:val="24"/>
                <w:vertAlign w:val="subscript"/>
                <w:lang w:val="en-US" w:eastAsia="zh-CN"/>
              </w:rPr>
              <w:t>10</w:t>
            </w:r>
            <w:r>
              <w:rPr>
                <w:rFonts w:hint="default" w:ascii="Times New Roman" w:hAnsi="Times New Roman" w:eastAsia="宋体" w:cs="Times New Roman"/>
                <w:b w:val="0"/>
                <w:bCs w:val="0"/>
                <w:kern w:val="0"/>
                <w:sz w:val="24"/>
                <w:szCs w:val="24"/>
              </w:rPr>
              <w:t>、PM</w:t>
            </w:r>
            <w:r>
              <w:rPr>
                <w:rFonts w:hint="eastAsia" w:ascii="Times New Roman" w:hAnsi="Times New Roman" w:eastAsia="宋体" w:cs="Times New Roman"/>
                <w:b w:val="0"/>
                <w:bCs w:val="0"/>
                <w:kern w:val="0"/>
                <w:sz w:val="24"/>
                <w:szCs w:val="24"/>
                <w:vertAlign w:val="subscript"/>
                <w:lang w:val="en-US" w:eastAsia="zh-CN"/>
              </w:rPr>
              <w:t>2.5</w:t>
            </w:r>
            <w:r>
              <w:rPr>
                <w:rFonts w:hint="default" w:ascii="Times New Roman" w:hAnsi="Times New Roman" w:eastAsia="宋体" w:cs="Times New Roman"/>
                <w:b w:val="0"/>
                <w:bCs w:val="0"/>
                <w:kern w:val="0"/>
                <w:sz w:val="24"/>
                <w:szCs w:val="24"/>
              </w:rPr>
              <w:t>、CO、</w:t>
            </w:r>
            <w:r>
              <w:rPr>
                <w:rFonts w:hint="eastAsia" w:ascii="Times New Roman" w:hAnsi="Times New Roman" w:eastAsia="宋体" w:cs="Times New Roman"/>
                <w:b w:val="0"/>
                <w:bCs w:val="0"/>
                <w:kern w:val="0"/>
                <w:sz w:val="24"/>
                <w:szCs w:val="24"/>
                <w:lang w:val="en-US" w:eastAsia="zh-CN"/>
              </w:rPr>
              <w:t>O</w:t>
            </w:r>
            <w:r>
              <w:rPr>
                <w:rFonts w:hint="eastAsia" w:ascii="Times New Roman" w:hAnsi="Times New Roman" w:eastAsia="宋体" w:cs="Times New Roman"/>
                <w:b w:val="0"/>
                <w:bCs w:val="0"/>
                <w:kern w:val="0"/>
                <w:sz w:val="24"/>
                <w:szCs w:val="24"/>
                <w:vertAlign w:val="subscript"/>
                <w:lang w:val="en-US" w:eastAsia="zh-CN"/>
              </w:rPr>
              <w:t>3</w:t>
            </w:r>
            <w:r>
              <w:rPr>
                <w:rFonts w:hint="default" w:ascii="Times New Roman" w:hAnsi="Times New Roman" w:cs="Times New Roman"/>
                <w:b w:val="0"/>
                <w:bCs w:val="0"/>
                <w:kern w:val="0"/>
                <w:sz w:val="24"/>
                <w:szCs w:val="24"/>
              </w:rPr>
              <w:t>执行《环境空气质量标准》</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GB3095-2012</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二级标准。</w:t>
            </w:r>
          </w:p>
          <w:p w14:paraId="788E04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本次评价引用《20</w:t>
            </w:r>
            <w:r>
              <w:rPr>
                <w:rFonts w:hint="eastAsia" w:cs="Times New Roman"/>
                <w:b w:val="0"/>
                <w:bCs w:val="0"/>
                <w:kern w:val="0"/>
                <w:sz w:val="24"/>
                <w:szCs w:val="24"/>
                <w:lang w:val="en-US" w:eastAsia="zh-CN"/>
              </w:rPr>
              <w:t>24</w:t>
            </w:r>
            <w:r>
              <w:rPr>
                <w:rFonts w:hint="default" w:ascii="Times New Roman" w:hAnsi="Times New Roman" w:eastAsia="宋体" w:cs="Times New Roman"/>
                <w:b w:val="0"/>
                <w:bCs w:val="0"/>
                <w:kern w:val="0"/>
                <w:sz w:val="24"/>
                <w:szCs w:val="24"/>
              </w:rPr>
              <w:t>年重庆市生态环境状况公报》中</w:t>
            </w:r>
            <w:r>
              <w:rPr>
                <w:rFonts w:hint="eastAsia" w:cs="Times New Roman"/>
                <w:b w:val="0"/>
                <w:bCs w:val="0"/>
                <w:kern w:val="0"/>
                <w:sz w:val="24"/>
                <w:szCs w:val="24"/>
                <w:lang w:val="en-US" w:eastAsia="zh-CN"/>
              </w:rPr>
              <w:t>璧山</w:t>
            </w:r>
            <w:r>
              <w:rPr>
                <w:rFonts w:hint="default" w:ascii="Times New Roman" w:hAnsi="Times New Roman" w:eastAsia="宋体" w:cs="Times New Roman"/>
                <w:b w:val="0"/>
                <w:bCs w:val="0"/>
                <w:kern w:val="0"/>
                <w:sz w:val="24"/>
                <w:szCs w:val="24"/>
              </w:rPr>
              <w:t>区大气基本污染物</w:t>
            </w:r>
            <w:r>
              <w:rPr>
                <w:rFonts w:hint="eastAsia"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SO</w:t>
            </w:r>
            <w:r>
              <w:rPr>
                <w:rFonts w:hint="default" w:ascii="Times New Roman" w:hAnsi="Times New Roman" w:eastAsia="宋体" w:cs="Times New Roman"/>
                <w:b w:val="0"/>
                <w:bCs w:val="0"/>
                <w:kern w:val="0"/>
                <w:sz w:val="24"/>
                <w:szCs w:val="24"/>
                <w:vertAlign w:val="subscript"/>
              </w:rPr>
              <w:t>2</w:t>
            </w:r>
            <w:r>
              <w:rPr>
                <w:rFonts w:hint="default" w:ascii="Times New Roman" w:hAnsi="Times New Roman" w:eastAsia="宋体" w:cs="Times New Roman"/>
                <w:b w:val="0"/>
                <w:bCs w:val="0"/>
                <w:kern w:val="0"/>
                <w:sz w:val="24"/>
                <w:szCs w:val="24"/>
              </w:rPr>
              <w:t>、NO</w:t>
            </w:r>
            <w:r>
              <w:rPr>
                <w:rFonts w:hint="default" w:ascii="Times New Roman" w:hAnsi="Times New Roman" w:eastAsia="宋体" w:cs="Times New Roman"/>
                <w:b w:val="0"/>
                <w:bCs w:val="0"/>
                <w:kern w:val="0"/>
                <w:sz w:val="24"/>
                <w:szCs w:val="24"/>
                <w:vertAlign w:val="subscript"/>
              </w:rPr>
              <w:t>2</w:t>
            </w:r>
            <w:r>
              <w:rPr>
                <w:rFonts w:hint="default" w:ascii="Times New Roman" w:hAnsi="Times New Roman" w:eastAsia="宋体" w:cs="Times New Roman"/>
                <w:b w:val="0"/>
                <w:bCs w:val="0"/>
                <w:kern w:val="0"/>
                <w:sz w:val="24"/>
                <w:szCs w:val="24"/>
              </w:rPr>
              <w:t>、PM</w:t>
            </w:r>
            <w:r>
              <w:rPr>
                <w:rFonts w:hint="eastAsia" w:ascii="Times New Roman" w:hAnsi="Times New Roman" w:eastAsia="宋体" w:cs="Times New Roman"/>
                <w:b w:val="0"/>
                <w:bCs w:val="0"/>
                <w:kern w:val="0"/>
                <w:sz w:val="24"/>
                <w:szCs w:val="24"/>
                <w:vertAlign w:val="subscript"/>
                <w:lang w:val="en-US" w:eastAsia="zh-CN"/>
              </w:rPr>
              <w:t>10</w:t>
            </w:r>
            <w:r>
              <w:rPr>
                <w:rFonts w:hint="default" w:ascii="Times New Roman" w:hAnsi="Times New Roman" w:eastAsia="宋体" w:cs="Times New Roman"/>
                <w:b w:val="0"/>
                <w:bCs w:val="0"/>
                <w:kern w:val="0"/>
                <w:sz w:val="24"/>
                <w:szCs w:val="24"/>
              </w:rPr>
              <w:t>、PM</w:t>
            </w:r>
            <w:r>
              <w:rPr>
                <w:rFonts w:hint="eastAsia" w:ascii="Times New Roman" w:hAnsi="Times New Roman" w:eastAsia="宋体" w:cs="Times New Roman"/>
                <w:b w:val="0"/>
                <w:bCs w:val="0"/>
                <w:kern w:val="0"/>
                <w:sz w:val="24"/>
                <w:szCs w:val="24"/>
                <w:vertAlign w:val="subscript"/>
                <w:lang w:val="en-US" w:eastAsia="zh-CN"/>
              </w:rPr>
              <w:t>2.5</w:t>
            </w:r>
            <w:r>
              <w:rPr>
                <w:rFonts w:hint="default" w:ascii="Times New Roman" w:hAnsi="Times New Roman" w:eastAsia="宋体" w:cs="Times New Roman"/>
                <w:b w:val="0"/>
                <w:bCs w:val="0"/>
                <w:kern w:val="0"/>
                <w:sz w:val="24"/>
                <w:szCs w:val="24"/>
              </w:rPr>
              <w:t>、CO、</w:t>
            </w:r>
            <w:r>
              <w:rPr>
                <w:rFonts w:hint="eastAsia" w:ascii="Times New Roman" w:hAnsi="Times New Roman" w:eastAsia="宋体" w:cs="Times New Roman"/>
                <w:b w:val="0"/>
                <w:bCs w:val="0"/>
                <w:kern w:val="0"/>
                <w:sz w:val="24"/>
                <w:szCs w:val="24"/>
                <w:lang w:val="en-US" w:eastAsia="zh-CN"/>
              </w:rPr>
              <w:t>O</w:t>
            </w:r>
            <w:r>
              <w:rPr>
                <w:rFonts w:hint="eastAsia" w:ascii="Times New Roman" w:hAnsi="Times New Roman" w:eastAsia="宋体" w:cs="Times New Roman"/>
                <w:b w:val="0"/>
                <w:bCs w:val="0"/>
                <w:kern w:val="0"/>
                <w:sz w:val="24"/>
                <w:szCs w:val="24"/>
                <w:vertAlign w:val="subscript"/>
                <w:lang w:val="en-US" w:eastAsia="zh-CN"/>
              </w:rPr>
              <w:t>3</w:t>
            </w:r>
            <w:r>
              <w:rPr>
                <w:rFonts w:hint="eastAsia" w:ascii="Times New Roman" w:hAnsi="Times New Roman" w:eastAsia="宋体" w:cs="Times New Roman"/>
                <w:b w:val="0"/>
                <w:bCs w:val="0"/>
                <w:kern w:val="0"/>
                <w:sz w:val="24"/>
                <w:szCs w:val="24"/>
                <w:vertAlign w:val="baseline"/>
                <w:lang w:val="en-US" w:eastAsia="zh-CN"/>
              </w:rPr>
              <w:t>）</w:t>
            </w:r>
            <w:r>
              <w:rPr>
                <w:rFonts w:hint="default" w:ascii="Times New Roman" w:hAnsi="Times New Roman" w:eastAsia="宋体" w:cs="Times New Roman"/>
                <w:b w:val="0"/>
                <w:bCs w:val="0"/>
                <w:kern w:val="0"/>
                <w:sz w:val="24"/>
                <w:szCs w:val="24"/>
              </w:rPr>
              <w:t>的数据作为达标区判定的主要依据</w:t>
            </w:r>
            <w:r>
              <w:rPr>
                <w:rFonts w:hint="eastAsia" w:ascii="Times New Roman" w:hAnsi="Times New Roman" w:eastAsia="宋体" w:cs="Times New Roman"/>
                <w:b w:val="0"/>
                <w:bCs w:val="0"/>
                <w:kern w:val="0"/>
                <w:sz w:val="24"/>
                <w:szCs w:val="24"/>
                <w:lang w:eastAsia="zh-CN"/>
              </w:rPr>
              <w:t>，</w:t>
            </w:r>
            <w:r>
              <w:rPr>
                <w:rFonts w:hint="default" w:ascii="Times New Roman" w:hAnsi="Times New Roman" w:eastAsia="宋体" w:cs="Times New Roman"/>
                <w:b w:val="0"/>
                <w:bCs w:val="0"/>
                <w:kern w:val="0"/>
                <w:sz w:val="24"/>
                <w:szCs w:val="24"/>
              </w:rPr>
              <w:t>见表 3.1.1-1。</w:t>
            </w:r>
          </w:p>
          <w:p w14:paraId="3FCA4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表3.1-1</w:t>
            </w:r>
            <w:r>
              <w:rPr>
                <w:rFonts w:hint="eastAsia" w:ascii="Times New Roman" w:hAnsi="Times New Roman" w:cs="Times New Roman"/>
                <w:b w:val="0"/>
                <w:bCs w:val="0"/>
                <w:kern w:val="0"/>
                <w:sz w:val="24"/>
                <w:szCs w:val="24"/>
                <w:lang w:val="en-US" w:eastAsia="zh-CN"/>
              </w:rPr>
              <w:t>璧山区</w:t>
            </w:r>
            <w:r>
              <w:rPr>
                <w:rFonts w:hint="default" w:ascii="Times New Roman" w:hAnsi="Times New Roman" w:cs="Times New Roman"/>
                <w:b w:val="0"/>
                <w:bCs w:val="0"/>
                <w:kern w:val="0"/>
                <w:sz w:val="24"/>
                <w:szCs w:val="24"/>
              </w:rPr>
              <w:t>202</w:t>
            </w:r>
            <w:r>
              <w:rPr>
                <w:rFonts w:hint="eastAsia" w:cs="Times New Roman"/>
                <w:b w:val="0"/>
                <w:bCs w:val="0"/>
                <w:kern w:val="0"/>
                <w:sz w:val="24"/>
                <w:szCs w:val="24"/>
                <w:lang w:val="en-US" w:eastAsia="zh-CN"/>
              </w:rPr>
              <w:t>4</w:t>
            </w:r>
            <w:r>
              <w:rPr>
                <w:rFonts w:hint="default" w:ascii="Times New Roman" w:hAnsi="Times New Roman" w:cs="Times New Roman"/>
                <w:b w:val="0"/>
                <w:bCs w:val="0"/>
                <w:kern w:val="0"/>
                <w:sz w:val="24"/>
                <w:szCs w:val="24"/>
              </w:rPr>
              <w:t>年环境质量状况</w:t>
            </w:r>
          </w:p>
          <w:tbl>
            <w:tblPr>
              <w:tblStyle w:val="4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93"/>
              <w:gridCol w:w="2930"/>
              <w:gridCol w:w="1382"/>
              <w:gridCol w:w="1257"/>
              <w:gridCol w:w="993"/>
              <w:gridCol w:w="996"/>
            </w:tblGrid>
            <w:tr w14:paraId="5D7EC7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2DC5AF4F">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污染</w:t>
                  </w:r>
                  <w:r>
                    <w:rPr>
                      <w:rFonts w:hint="default" w:ascii="Times New Roman" w:hAnsi="Times New Roman" w:eastAsia="宋体" w:cs="Times New Roman"/>
                      <w:sz w:val="21"/>
                      <w:szCs w:val="21"/>
                    </w:rPr>
                    <w:t>物</w:t>
                  </w:r>
                </w:p>
              </w:tc>
              <w:tc>
                <w:tcPr>
                  <w:tcW w:w="1753" w:type="pct"/>
                  <w:tcBorders>
                    <w:tl2br w:val="nil"/>
                    <w:tr2bl w:val="nil"/>
                  </w:tcBorders>
                  <w:noWrap w:val="0"/>
                  <w:vAlign w:val="center"/>
                </w:tcPr>
                <w:p w14:paraId="0BE7C486">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年评价指标</w:t>
                  </w:r>
                </w:p>
              </w:tc>
              <w:tc>
                <w:tcPr>
                  <w:tcW w:w="827" w:type="pct"/>
                  <w:tcBorders>
                    <w:tl2br w:val="nil"/>
                    <w:tr2bl w:val="nil"/>
                  </w:tcBorders>
                  <w:noWrap w:val="0"/>
                  <w:vAlign w:val="center"/>
                </w:tcPr>
                <w:p w14:paraId="2FA1180B">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现状浓度</w:t>
                  </w:r>
                  <w:r>
                    <w:rPr>
                      <w:rFonts w:hint="default" w:ascii="Times New Roman" w:hAnsi="Times New Roman" w:eastAsia="宋体" w:cs="Times New Roman"/>
                      <w:spacing w:val="1"/>
                      <w:sz w:val="21"/>
                      <w:szCs w:val="21"/>
                    </w:rPr>
                    <w:t xml:space="preserve">  </w:t>
                  </w:r>
                  <w:r>
                    <w:rPr>
                      <w:rFonts w:hint="default" w:ascii="Times New Roman" w:hAnsi="Times New Roman" w:eastAsia="宋体" w:cs="Times New Roman"/>
                      <w:spacing w:val="-11"/>
                      <w:sz w:val="21"/>
                      <w:szCs w:val="21"/>
                    </w:rPr>
                    <w:t>( μg/m</w:t>
                  </w:r>
                  <w:r>
                    <w:rPr>
                      <w:rFonts w:hint="default" w:ascii="Times New Roman" w:hAnsi="Times New Roman" w:eastAsia="宋体" w:cs="Times New Roman"/>
                      <w:spacing w:val="-11"/>
                      <w:sz w:val="21"/>
                      <w:szCs w:val="21"/>
                      <w:vertAlign w:val="superscript"/>
                    </w:rPr>
                    <w:t>3</w:t>
                  </w:r>
                  <w:r>
                    <w:rPr>
                      <w:rFonts w:hint="default" w:ascii="Times New Roman" w:hAnsi="Times New Roman" w:eastAsia="宋体" w:cs="Times New Roman"/>
                      <w:spacing w:val="-11"/>
                      <w:sz w:val="21"/>
                      <w:szCs w:val="21"/>
                    </w:rPr>
                    <w:t>）</w:t>
                  </w:r>
                </w:p>
              </w:tc>
              <w:tc>
                <w:tcPr>
                  <w:tcW w:w="752" w:type="pct"/>
                  <w:tcBorders>
                    <w:tl2br w:val="nil"/>
                    <w:tr2bl w:val="nil"/>
                  </w:tcBorders>
                  <w:noWrap w:val="0"/>
                  <w:vAlign w:val="center"/>
                </w:tcPr>
                <w:p w14:paraId="5619B8DA">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标准值</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4"/>
                      <w:sz w:val="21"/>
                      <w:szCs w:val="21"/>
                    </w:rPr>
                    <w:t>( μg/m</w:t>
                  </w:r>
                  <w:r>
                    <w:rPr>
                      <w:rFonts w:hint="eastAsia" w:ascii="Times New Roman" w:hAnsi="Times New Roman" w:cs="Times New Roman"/>
                      <w:spacing w:val="-14"/>
                      <w:sz w:val="21"/>
                      <w:szCs w:val="21"/>
                      <w:vertAlign w:val="superscript"/>
                      <w:lang w:val="en-US" w:eastAsia="zh-CN"/>
                    </w:rPr>
                    <w:t>3</w:t>
                  </w:r>
                  <w:r>
                    <w:rPr>
                      <w:rFonts w:hint="default" w:ascii="Times New Roman" w:hAnsi="Times New Roman" w:eastAsia="宋体" w:cs="Times New Roman"/>
                      <w:spacing w:val="-4"/>
                      <w:sz w:val="21"/>
                      <w:szCs w:val="21"/>
                    </w:rPr>
                    <w:t>）</w:t>
                  </w:r>
                </w:p>
              </w:tc>
              <w:tc>
                <w:tcPr>
                  <w:tcW w:w="594" w:type="pct"/>
                  <w:tcBorders>
                    <w:tl2br w:val="nil"/>
                    <w:tr2bl w:val="nil"/>
                  </w:tcBorders>
                  <w:noWrap w:val="0"/>
                  <w:vAlign w:val="center"/>
                </w:tcPr>
                <w:p w14:paraId="3B518593">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占标率</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w:t>
                  </w:r>
                </w:p>
              </w:tc>
              <w:tc>
                <w:tcPr>
                  <w:tcW w:w="596" w:type="pct"/>
                  <w:tcBorders>
                    <w:tl2br w:val="nil"/>
                    <w:tr2bl w:val="nil"/>
                  </w:tcBorders>
                  <w:noWrap w:val="0"/>
                  <w:vAlign w:val="center"/>
                </w:tcPr>
                <w:p w14:paraId="09C23EB8">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情况</w:t>
                  </w:r>
                </w:p>
              </w:tc>
            </w:tr>
            <w:tr w14:paraId="06EF86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2CBB14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b w:val="0"/>
                      <w:bCs w:val="0"/>
                      <w:kern w:val="0"/>
                      <w:sz w:val="21"/>
                      <w:szCs w:val="21"/>
                    </w:rPr>
                    <w:t>SO</w:t>
                  </w:r>
                  <w:r>
                    <w:rPr>
                      <w:rFonts w:hint="default" w:ascii="Times New Roman" w:hAnsi="Times New Roman" w:cs="Times New Roman"/>
                      <w:b w:val="0"/>
                      <w:bCs w:val="0"/>
                      <w:kern w:val="0"/>
                      <w:sz w:val="21"/>
                      <w:szCs w:val="21"/>
                      <w:vertAlign w:val="subscript"/>
                    </w:rPr>
                    <w:t>2</w:t>
                  </w:r>
                </w:p>
              </w:tc>
              <w:tc>
                <w:tcPr>
                  <w:tcW w:w="1753" w:type="pct"/>
                  <w:vMerge w:val="restart"/>
                  <w:tcBorders>
                    <w:tl2br w:val="nil"/>
                    <w:tr2bl w:val="nil"/>
                  </w:tcBorders>
                  <w:noWrap w:val="0"/>
                  <w:vAlign w:val="center"/>
                </w:tcPr>
                <w:p w14:paraId="6BF6182C">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年评价质量浓度</w:t>
                  </w:r>
                </w:p>
              </w:tc>
              <w:tc>
                <w:tcPr>
                  <w:tcW w:w="827" w:type="pct"/>
                  <w:tcBorders>
                    <w:tl2br w:val="nil"/>
                    <w:tr2bl w:val="nil"/>
                  </w:tcBorders>
                  <w:shd w:val="clear" w:color="auto" w:fill="auto"/>
                  <w:noWrap w:val="0"/>
                  <w:vAlign w:val="center"/>
                </w:tcPr>
                <w:p w14:paraId="3730F0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8</w:t>
                  </w:r>
                </w:p>
              </w:tc>
              <w:tc>
                <w:tcPr>
                  <w:tcW w:w="752" w:type="pct"/>
                  <w:tcBorders>
                    <w:tl2br w:val="nil"/>
                    <w:tr2bl w:val="nil"/>
                  </w:tcBorders>
                  <w:shd w:val="clear" w:color="auto" w:fill="auto"/>
                  <w:noWrap w:val="0"/>
                  <w:vAlign w:val="center"/>
                </w:tcPr>
                <w:p w14:paraId="5DF869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60</w:t>
                  </w:r>
                </w:p>
              </w:tc>
              <w:tc>
                <w:tcPr>
                  <w:tcW w:w="594" w:type="pct"/>
                  <w:tcBorders>
                    <w:tl2br w:val="nil"/>
                    <w:tr2bl w:val="nil"/>
                  </w:tcBorders>
                  <w:shd w:val="clear" w:color="auto" w:fill="auto"/>
                  <w:noWrap w:val="0"/>
                  <w:vAlign w:val="center"/>
                </w:tcPr>
                <w:p w14:paraId="48FD3D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13.3</w:t>
                  </w:r>
                </w:p>
              </w:tc>
              <w:tc>
                <w:tcPr>
                  <w:tcW w:w="596" w:type="pct"/>
                  <w:tcBorders>
                    <w:tl2br w:val="nil"/>
                    <w:tr2bl w:val="nil"/>
                  </w:tcBorders>
                  <w:noWrap w:val="0"/>
                  <w:vAlign w:val="center"/>
                </w:tcPr>
                <w:p w14:paraId="7964F4B8">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tc>
            </w:tr>
            <w:tr w14:paraId="373A4F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09492F3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eastAsia="zh-CN"/>
                    </w:rPr>
                  </w:pPr>
                  <w:r>
                    <w:rPr>
                      <w:rFonts w:hint="default" w:ascii="Times New Roman" w:hAnsi="Times New Roman" w:cs="Times New Roman"/>
                      <w:b w:val="0"/>
                      <w:bCs w:val="0"/>
                      <w:kern w:val="0"/>
                      <w:sz w:val="21"/>
                      <w:szCs w:val="21"/>
                    </w:rPr>
                    <w:t>NO</w:t>
                  </w:r>
                  <w:r>
                    <w:rPr>
                      <w:rFonts w:hint="default" w:ascii="Times New Roman" w:hAnsi="Times New Roman" w:cs="Times New Roman"/>
                      <w:b w:val="0"/>
                      <w:bCs w:val="0"/>
                      <w:kern w:val="0"/>
                      <w:sz w:val="21"/>
                      <w:szCs w:val="21"/>
                      <w:vertAlign w:val="subscript"/>
                    </w:rPr>
                    <w:t>2</w:t>
                  </w:r>
                </w:p>
              </w:tc>
              <w:tc>
                <w:tcPr>
                  <w:tcW w:w="1753" w:type="pct"/>
                  <w:vMerge w:val="continue"/>
                  <w:tcBorders>
                    <w:tl2br w:val="nil"/>
                    <w:tr2bl w:val="nil"/>
                  </w:tcBorders>
                  <w:noWrap w:val="0"/>
                  <w:vAlign w:val="center"/>
                </w:tcPr>
                <w:p w14:paraId="66908B5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827" w:type="pct"/>
                  <w:tcBorders>
                    <w:tl2br w:val="nil"/>
                    <w:tr2bl w:val="nil"/>
                  </w:tcBorders>
                  <w:shd w:val="clear" w:color="auto" w:fill="auto"/>
                  <w:noWrap w:val="0"/>
                  <w:vAlign w:val="center"/>
                </w:tcPr>
                <w:p w14:paraId="4B063C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21</w:t>
                  </w:r>
                </w:p>
              </w:tc>
              <w:tc>
                <w:tcPr>
                  <w:tcW w:w="752" w:type="pct"/>
                  <w:tcBorders>
                    <w:tl2br w:val="nil"/>
                    <w:tr2bl w:val="nil"/>
                  </w:tcBorders>
                  <w:shd w:val="clear" w:color="auto" w:fill="auto"/>
                  <w:noWrap w:val="0"/>
                  <w:vAlign w:val="center"/>
                </w:tcPr>
                <w:p w14:paraId="2E4D0A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40</w:t>
                  </w:r>
                </w:p>
              </w:tc>
              <w:tc>
                <w:tcPr>
                  <w:tcW w:w="594" w:type="pct"/>
                  <w:tcBorders>
                    <w:tl2br w:val="nil"/>
                    <w:tr2bl w:val="nil"/>
                  </w:tcBorders>
                  <w:shd w:val="clear" w:color="auto" w:fill="auto"/>
                  <w:noWrap w:val="0"/>
                  <w:vAlign w:val="center"/>
                </w:tcPr>
                <w:p w14:paraId="69F284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52.5</w:t>
                  </w:r>
                </w:p>
              </w:tc>
              <w:tc>
                <w:tcPr>
                  <w:tcW w:w="596" w:type="pct"/>
                  <w:tcBorders>
                    <w:tl2br w:val="nil"/>
                    <w:tr2bl w:val="nil"/>
                  </w:tcBorders>
                  <w:noWrap w:val="0"/>
                  <w:vAlign w:val="center"/>
                </w:tcPr>
                <w:p w14:paraId="23F5AA4E">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tc>
            </w:tr>
            <w:tr w14:paraId="399C2A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012160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val="0"/>
                      <w:kern w:val="0"/>
                      <w:sz w:val="21"/>
                      <w:szCs w:val="21"/>
                    </w:rPr>
                    <w:t>PM</w:t>
                  </w:r>
                  <w:r>
                    <w:rPr>
                      <w:rFonts w:hint="eastAsia" w:ascii="Times New Roman" w:hAnsi="Times New Roman" w:cs="Times New Roman"/>
                      <w:b w:val="0"/>
                      <w:bCs w:val="0"/>
                      <w:kern w:val="0"/>
                      <w:sz w:val="21"/>
                      <w:szCs w:val="21"/>
                      <w:vertAlign w:val="subscript"/>
                      <w:lang w:val="en-US" w:eastAsia="zh-CN"/>
                    </w:rPr>
                    <w:t>10</w:t>
                  </w:r>
                </w:p>
              </w:tc>
              <w:tc>
                <w:tcPr>
                  <w:tcW w:w="1753" w:type="pct"/>
                  <w:vMerge w:val="continue"/>
                  <w:tcBorders>
                    <w:tl2br w:val="nil"/>
                    <w:tr2bl w:val="nil"/>
                  </w:tcBorders>
                  <w:noWrap w:val="0"/>
                  <w:vAlign w:val="center"/>
                </w:tcPr>
                <w:p w14:paraId="33736FB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827" w:type="pct"/>
                  <w:tcBorders>
                    <w:tl2br w:val="nil"/>
                    <w:tr2bl w:val="nil"/>
                  </w:tcBorders>
                  <w:shd w:val="clear" w:color="auto" w:fill="auto"/>
                  <w:noWrap w:val="0"/>
                  <w:vAlign w:val="center"/>
                </w:tcPr>
                <w:p w14:paraId="2D463F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53</w:t>
                  </w:r>
                </w:p>
              </w:tc>
              <w:tc>
                <w:tcPr>
                  <w:tcW w:w="752" w:type="pct"/>
                  <w:tcBorders>
                    <w:tl2br w:val="nil"/>
                    <w:tr2bl w:val="nil"/>
                  </w:tcBorders>
                  <w:shd w:val="clear" w:color="auto" w:fill="auto"/>
                  <w:noWrap w:val="0"/>
                  <w:vAlign w:val="center"/>
                </w:tcPr>
                <w:p w14:paraId="2D65D3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
                      <w:sz w:val="21"/>
                      <w:szCs w:val="21"/>
                    </w:rPr>
                    <w:t>70</w:t>
                  </w:r>
                </w:p>
              </w:tc>
              <w:tc>
                <w:tcPr>
                  <w:tcW w:w="594" w:type="pct"/>
                  <w:tcBorders>
                    <w:tl2br w:val="nil"/>
                    <w:tr2bl w:val="nil"/>
                  </w:tcBorders>
                  <w:shd w:val="clear" w:color="auto" w:fill="auto"/>
                  <w:noWrap w:val="0"/>
                  <w:vAlign w:val="center"/>
                </w:tcPr>
                <w:p w14:paraId="3AD049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75.71</w:t>
                  </w:r>
                </w:p>
              </w:tc>
              <w:tc>
                <w:tcPr>
                  <w:tcW w:w="596" w:type="pct"/>
                  <w:tcBorders>
                    <w:tl2br w:val="nil"/>
                    <w:tr2bl w:val="nil"/>
                  </w:tcBorders>
                  <w:noWrap w:val="0"/>
                  <w:vAlign w:val="center"/>
                </w:tcPr>
                <w:p w14:paraId="1E6C8E03">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tc>
            </w:tr>
            <w:tr w14:paraId="397B55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1E3BDD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val="0"/>
                      <w:kern w:val="0"/>
                      <w:sz w:val="21"/>
                      <w:szCs w:val="21"/>
                    </w:rPr>
                    <w:t>PM</w:t>
                  </w:r>
                  <w:r>
                    <w:rPr>
                      <w:rFonts w:hint="eastAsia" w:ascii="Times New Roman" w:hAnsi="Times New Roman" w:cs="Times New Roman"/>
                      <w:b w:val="0"/>
                      <w:bCs w:val="0"/>
                      <w:kern w:val="0"/>
                      <w:sz w:val="21"/>
                      <w:szCs w:val="21"/>
                      <w:vertAlign w:val="subscript"/>
                      <w:lang w:val="en-US" w:eastAsia="zh-CN"/>
                    </w:rPr>
                    <w:t>2.5</w:t>
                  </w:r>
                </w:p>
              </w:tc>
              <w:tc>
                <w:tcPr>
                  <w:tcW w:w="1753" w:type="pct"/>
                  <w:vMerge w:val="continue"/>
                  <w:tcBorders>
                    <w:tl2br w:val="nil"/>
                    <w:tr2bl w:val="nil"/>
                  </w:tcBorders>
                  <w:noWrap w:val="0"/>
                  <w:vAlign w:val="center"/>
                </w:tcPr>
                <w:p w14:paraId="2625ACA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p>
              </w:tc>
              <w:tc>
                <w:tcPr>
                  <w:tcW w:w="827" w:type="pct"/>
                  <w:tcBorders>
                    <w:tl2br w:val="nil"/>
                    <w:tr2bl w:val="nil"/>
                  </w:tcBorders>
                  <w:shd w:val="clear" w:color="auto" w:fill="auto"/>
                  <w:noWrap w:val="0"/>
                  <w:vAlign w:val="center"/>
                </w:tcPr>
                <w:p w14:paraId="19AFC5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31.6</w:t>
                  </w:r>
                </w:p>
              </w:tc>
              <w:tc>
                <w:tcPr>
                  <w:tcW w:w="752" w:type="pct"/>
                  <w:tcBorders>
                    <w:tl2br w:val="nil"/>
                    <w:tr2bl w:val="nil"/>
                  </w:tcBorders>
                  <w:shd w:val="clear" w:color="auto" w:fill="auto"/>
                  <w:noWrap w:val="0"/>
                  <w:vAlign w:val="center"/>
                </w:tcPr>
                <w:p w14:paraId="39DD5B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35</w:t>
                  </w:r>
                </w:p>
              </w:tc>
              <w:tc>
                <w:tcPr>
                  <w:tcW w:w="594" w:type="pct"/>
                  <w:tcBorders>
                    <w:tl2br w:val="nil"/>
                    <w:tr2bl w:val="nil"/>
                  </w:tcBorders>
                  <w:shd w:val="clear" w:color="auto" w:fill="auto"/>
                  <w:noWrap w:val="0"/>
                  <w:vAlign w:val="center"/>
                </w:tcPr>
                <w:p w14:paraId="0202F8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90.29</w:t>
                  </w:r>
                </w:p>
              </w:tc>
              <w:tc>
                <w:tcPr>
                  <w:tcW w:w="596" w:type="pct"/>
                  <w:tcBorders>
                    <w:tl2br w:val="nil"/>
                    <w:tr2bl w:val="nil"/>
                  </w:tcBorders>
                  <w:noWrap w:val="0"/>
                  <w:vAlign w:val="center"/>
                </w:tcPr>
                <w:p w14:paraId="3E092498">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tc>
            </w:tr>
            <w:tr w14:paraId="23F374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60EB564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cs="Times New Roman"/>
                      <w:b w:val="0"/>
                      <w:bCs w:val="0"/>
                      <w:kern w:val="0"/>
                      <w:sz w:val="21"/>
                      <w:szCs w:val="21"/>
                    </w:rPr>
                    <w:t>CO</w:t>
                  </w:r>
                </w:p>
              </w:tc>
              <w:tc>
                <w:tcPr>
                  <w:tcW w:w="1753" w:type="pct"/>
                  <w:tcBorders>
                    <w:tl2br w:val="nil"/>
                    <w:tr2bl w:val="nil"/>
                  </w:tcBorders>
                  <w:noWrap w:val="0"/>
                  <w:vAlign w:val="center"/>
                </w:tcPr>
                <w:p w14:paraId="418EACC8">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日均浓度的第95百分位数</w:t>
                  </w:r>
                </w:p>
              </w:tc>
              <w:tc>
                <w:tcPr>
                  <w:tcW w:w="827" w:type="pct"/>
                  <w:tcBorders>
                    <w:tl2br w:val="nil"/>
                    <w:tr2bl w:val="nil"/>
                  </w:tcBorders>
                  <w:shd w:val="clear" w:color="auto" w:fill="auto"/>
                  <w:noWrap w:val="0"/>
                  <w:vAlign w:val="center"/>
                </w:tcPr>
                <w:p w14:paraId="51B91C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w:t>
                  </w:r>
                  <w:r>
                    <w:rPr>
                      <w:rFonts w:hint="eastAsia" w:cs="Times New Roman"/>
                      <w:sz w:val="21"/>
                      <w:szCs w:val="21"/>
                      <w:lang w:val="en-US" w:eastAsia="zh-CN"/>
                    </w:rPr>
                    <w:t>0</w:t>
                  </w:r>
                  <w:r>
                    <w:rPr>
                      <w:rFonts w:hint="eastAsia" w:ascii="Times New Roman" w:hAnsi="Times New Roman" w:eastAsia="宋体" w:cs="Times New Roman"/>
                      <w:sz w:val="21"/>
                      <w:szCs w:val="21"/>
                      <w:lang w:val="en-US" w:eastAsia="zh-CN"/>
                    </w:rPr>
                    <w:t>mg/m</w:t>
                  </w:r>
                  <w:r>
                    <w:rPr>
                      <w:rFonts w:hint="eastAsia" w:ascii="Times New Roman" w:hAnsi="Times New Roman" w:eastAsia="宋体" w:cs="Times New Roman"/>
                      <w:sz w:val="21"/>
                      <w:szCs w:val="21"/>
                      <w:vertAlign w:val="superscript"/>
                      <w:lang w:val="en-US" w:eastAsia="zh-CN"/>
                    </w:rPr>
                    <w:t>3</w:t>
                  </w:r>
                </w:p>
              </w:tc>
              <w:tc>
                <w:tcPr>
                  <w:tcW w:w="752" w:type="pct"/>
                  <w:tcBorders>
                    <w:tl2br w:val="nil"/>
                    <w:tr2bl w:val="nil"/>
                  </w:tcBorders>
                  <w:shd w:val="clear" w:color="auto" w:fill="auto"/>
                  <w:noWrap w:val="0"/>
                  <w:vAlign w:val="center"/>
                </w:tcPr>
                <w:p w14:paraId="224988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4mg/m</w:t>
                  </w:r>
                  <w:r>
                    <w:rPr>
                      <w:rFonts w:hint="eastAsia" w:ascii="Times New Roman" w:hAnsi="Times New Roman" w:eastAsia="宋体" w:cs="Times New Roman"/>
                      <w:sz w:val="21"/>
                      <w:szCs w:val="21"/>
                      <w:vertAlign w:val="superscript"/>
                      <w:lang w:val="en-US" w:eastAsia="zh-CN"/>
                    </w:rPr>
                    <w:t>3</w:t>
                  </w:r>
                </w:p>
              </w:tc>
              <w:tc>
                <w:tcPr>
                  <w:tcW w:w="594" w:type="pct"/>
                  <w:tcBorders>
                    <w:tl2br w:val="nil"/>
                    <w:tr2bl w:val="nil"/>
                  </w:tcBorders>
                  <w:shd w:val="clear" w:color="auto" w:fill="auto"/>
                  <w:noWrap w:val="0"/>
                  <w:vAlign w:val="center"/>
                </w:tcPr>
                <w:p w14:paraId="3102AA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25</w:t>
                  </w:r>
                </w:p>
              </w:tc>
              <w:tc>
                <w:tcPr>
                  <w:tcW w:w="596" w:type="pct"/>
                  <w:tcBorders>
                    <w:tl2br w:val="nil"/>
                    <w:tr2bl w:val="nil"/>
                  </w:tcBorders>
                  <w:noWrap w:val="0"/>
                  <w:vAlign w:val="center"/>
                </w:tcPr>
                <w:p w14:paraId="44FB500B">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tc>
            </w:tr>
            <w:tr w14:paraId="7420B9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75" w:type="pct"/>
                  <w:tcBorders>
                    <w:tl2br w:val="nil"/>
                    <w:tr2bl w:val="nil"/>
                  </w:tcBorders>
                  <w:noWrap w:val="0"/>
                  <w:vAlign w:val="center"/>
                </w:tcPr>
                <w:p w14:paraId="6DD166C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b w:val="0"/>
                      <w:bCs w:val="0"/>
                      <w:kern w:val="0"/>
                      <w:sz w:val="21"/>
                      <w:szCs w:val="21"/>
                      <w:lang w:val="en-US" w:eastAsia="zh-CN"/>
                    </w:rPr>
                    <w:t>O</w:t>
                  </w:r>
                  <w:r>
                    <w:rPr>
                      <w:rFonts w:hint="eastAsia" w:ascii="Times New Roman" w:hAnsi="Times New Roman" w:cs="Times New Roman"/>
                      <w:b w:val="0"/>
                      <w:bCs w:val="0"/>
                      <w:kern w:val="0"/>
                      <w:sz w:val="21"/>
                      <w:szCs w:val="21"/>
                      <w:vertAlign w:val="subscript"/>
                      <w:lang w:val="en-US" w:eastAsia="zh-CN"/>
                    </w:rPr>
                    <w:t>3</w:t>
                  </w:r>
                </w:p>
              </w:tc>
              <w:tc>
                <w:tcPr>
                  <w:tcW w:w="1753" w:type="pct"/>
                  <w:tcBorders>
                    <w:tl2br w:val="nil"/>
                    <w:tr2bl w:val="nil"/>
                  </w:tcBorders>
                  <w:noWrap w:val="0"/>
                  <w:vAlign w:val="center"/>
                </w:tcPr>
                <w:p w14:paraId="62ACA1FA">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日最大</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3"/>
                      <w:sz w:val="21"/>
                      <w:szCs w:val="21"/>
                    </w:rPr>
                    <w:t>8小时平均浓度的第</w:t>
                  </w:r>
                  <w:r>
                    <w:rPr>
                      <w:rFonts w:hint="default" w:ascii="Times New Roman" w:hAnsi="Times New Roman" w:eastAsia="宋体" w:cs="Times New Roman"/>
                      <w:spacing w:val="-44"/>
                      <w:sz w:val="21"/>
                      <w:szCs w:val="21"/>
                    </w:rPr>
                    <w:t xml:space="preserve"> </w:t>
                  </w:r>
                  <w:r>
                    <w:rPr>
                      <w:rFonts w:hint="default" w:ascii="Times New Roman" w:hAnsi="Times New Roman" w:eastAsia="宋体" w:cs="Times New Roman"/>
                      <w:spacing w:val="3"/>
                      <w:sz w:val="21"/>
                      <w:szCs w:val="21"/>
                    </w:rPr>
                    <w:t>90</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百分位数</w:t>
                  </w:r>
                </w:p>
              </w:tc>
              <w:tc>
                <w:tcPr>
                  <w:tcW w:w="827" w:type="pct"/>
                  <w:tcBorders>
                    <w:tl2br w:val="nil"/>
                    <w:tr2bl w:val="nil"/>
                  </w:tcBorders>
                  <w:shd w:val="clear" w:color="auto" w:fill="auto"/>
                  <w:noWrap w:val="0"/>
                  <w:vAlign w:val="center"/>
                </w:tcPr>
                <w:p w14:paraId="7FB5B2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15</w:t>
                  </w:r>
                  <w:r>
                    <w:rPr>
                      <w:rFonts w:hint="eastAsia" w:cs="Times New Roman"/>
                      <w:sz w:val="21"/>
                      <w:szCs w:val="21"/>
                      <w:lang w:val="en-US" w:eastAsia="zh-CN"/>
                    </w:rPr>
                    <w:t>8</w:t>
                  </w:r>
                </w:p>
              </w:tc>
              <w:tc>
                <w:tcPr>
                  <w:tcW w:w="752" w:type="pct"/>
                  <w:tcBorders>
                    <w:tl2br w:val="nil"/>
                    <w:tr2bl w:val="nil"/>
                  </w:tcBorders>
                  <w:shd w:val="clear" w:color="auto" w:fill="auto"/>
                  <w:noWrap w:val="0"/>
                  <w:vAlign w:val="center"/>
                </w:tcPr>
                <w:p w14:paraId="54A939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3"/>
                      <w:sz w:val="21"/>
                      <w:szCs w:val="21"/>
                    </w:rPr>
                    <w:t>160</w:t>
                  </w:r>
                </w:p>
              </w:tc>
              <w:tc>
                <w:tcPr>
                  <w:tcW w:w="594" w:type="pct"/>
                  <w:tcBorders>
                    <w:tl2br w:val="nil"/>
                    <w:tr2bl w:val="nil"/>
                  </w:tcBorders>
                  <w:shd w:val="clear" w:color="auto" w:fill="auto"/>
                  <w:noWrap w:val="0"/>
                  <w:vAlign w:val="center"/>
                </w:tcPr>
                <w:p w14:paraId="1DC447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98.75</w:t>
                  </w:r>
                </w:p>
              </w:tc>
              <w:tc>
                <w:tcPr>
                  <w:tcW w:w="596" w:type="pct"/>
                  <w:tcBorders>
                    <w:tl2br w:val="nil"/>
                    <w:tr2bl w:val="nil"/>
                  </w:tcBorders>
                  <w:noWrap w:val="0"/>
                  <w:vAlign w:val="center"/>
                </w:tcPr>
                <w:p w14:paraId="7745DFA9">
                  <w:pPr>
                    <w:pStyle w:val="4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rPr>
                    <w:t>达标</w:t>
                  </w:r>
                </w:p>
              </w:tc>
            </w:tr>
          </w:tbl>
          <w:p w14:paraId="33FEE2B4">
            <w:pPr>
              <w:pStyle w:val="43"/>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jc w:val="both"/>
              <w:textAlignment w:val="auto"/>
              <w:rPr>
                <w:rFonts w:hint="default" w:ascii="Times New Roman" w:hAnsi="Times New Roman" w:cs="Times New Roman"/>
                <w:spacing w:val="-1"/>
                <w:sz w:val="24"/>
                <w:szCs w:val="24"/>
              </w:rPr>
            </w:pPr>
            <w:r>
              <w:rPr>
                <w:rFonts w:hint="default" w:ascii="Times New Roman" w:hAnsi="Times New Roman" w:cs="Times New Roman"/>
                <w:spacing w:val="-2"/>
                <w:sz w:val="24"/>
                <w:szCs w:val="24"/>
              </w:rPr>
              <w:t>由表</w:t>
            </w:r>
            <w:r>
              <w:rPr>
                <w:rFonts w:hint="default" w:ascii="Times New Roman" w:hAnsi="Times New Roman" w:eastAsia="Times New Roman" w:cs="Times New Roman"/>
                <w:spacing w:val="-2"/>
                <w:sz w:val="24"/>
                <w:szCs w:val="24"/>
              </w:rPr>
              <w:t>3.</w:t>
            </w:r>
            <w:r>
              <w:rPr>
                <w:rFonts w:hint="default" w:ascii="Times New Roman" w:hAnsi="Times New Roman" w:eastAsia="Times New Roman" w:cs="Times New Roman"/>
                <w:spacing w:val="-32"/>
                <w:sz w:val="24"/>
                <w:szCs w:val="24"/>
              </w:rPr>
              <w:t xml:space="preserve"> </w:t>
            </w:r>
            <w:r>
              <w:rPr>
                <w:rFonts w:hint="default" w:ascii="Times New Roman" w:hAnsi="Times New Roman" w:eastAsia="Times New Roman" w:cs="Times New Roman"/>
                <w:spacing w:val="-2"/>
                <w:sz w:val="24"/>
                <w:szCs w:val="24"/>
              </w:rPr>
              <w:t>1</w:t>
            </w:r>
            <w:r>
              <w:rPr>
                <w:rFonts w:hint="default" w:ascii="Times New Roman" w:hAnsi="Times New Roman" w:cs="Times New Roman"/>
                <w:spacing w:val="-2"/>
                <w:sz w:val="24"/>
                <w:szCs w:val="24"/>
              </w:rPr>
              <w:t>可知：</w:t>
            </w:r>
            <w:r>
              <w:rPr>
                <w:rFonts w:hint="eastAsia" w:ascii="Times New Roman" w:hAnsi="Times New Roman" w:cs="Times New Roman"/>
                <w:spacing w:val="-2"/>
                <w:sz w:val="24"/>
                <w:szCs w:val="24"/>
                <w:lang w:val="en-US" w:eastAsia="zh-CN"/>
              </w:rPr>
              <w:t>璧山区</w:t>
            </w:r>
            <w:r>
              <w:rPr>
                <w:rFonts w:hint="default" w:ascii="Times New Roman" w:hAnsi="Times New Roman" w:cs="Times New Roman"/>
                <w:spacing w:val="-3"/>
                <w:sz w:val="24"/>
                <w:szCs w:val="24"/>
              </w:rPr>
              <w:t>基本污染物</w:t>
            </w:r>
            <w:r>
              <w:rPr>
                <w:rFonts w:hint="default" w:ascii="Times New Roman" w:hAnsi="Times New Roman" w:cs="Times New Roman"/>
                <w:sz w:val="24"/>
                <w:szCs w:val="24"/>
              </w:rPr>
              <w:t>满足《环境空气质量标准》</w:t>
            </w:r>
            <w:r>
              <w:rPr>
                <w:rFonts w:hint="eastAsia" w:ascii="Times New Roman" w:hAnsi="Times New Roman" w:cs="Times New Roman"/>
                <w:sz w:val="24"/>
                <w:szCs w:val="24"/>
                <w:lang w:eastAsia="zh-CN"/>
              </w:rPr>
              <w:t>（</w:t>
            </w:r>
            <w:r>
              <w:rPr>
                <w:rFonts w:hint="default" w:ascii="Times New Roman" w:hAnsi="Times New Roman" w:eastAsia="Times New Roman" w:cs="Times New Roman"/>
                <w:sz w:val="24"/>
                <w:szCs w:val="24"/>
              </w:rPr>
              <w:t>GB3095-2012</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二级标准要求，因此</w:t>
            </w:r>
            <w:r>
              <w:rPr>
                <w:rFonts w:hint="default" w:ascii="Times New Roman" w:hAnsi="Times New Roman" w:cs="Times New Roman"/>
                <w:spacing w:val="-1"/>
                <w:sz w:val="24"/>
                <w:szCs w:val="24"/>
              </w:rPr>
              <w:t>，本项目所在区域为环境空气质量达标区。</w:t>
            </w:r>
          </w:p>
          <w:p w14:paraId="5B0035D0">
            <w:pPr>
              <w:adjustRightInd w:val="0"/>
              <w:snapToGrid w:val="0"/>
              <w:spacing w:line="336" w:lineRule="auto"/>
              <w:ind w:firstLine="480" w:firstLineChars="200"/>
              <w:jc w:val="left"/>
              <w:rPr>
                <w:sz w:val="24"/>
                <w:szCs w:val="24"/>
              </w:rPr>
            </w:pPr>
            <w:r>
              <w:rPr>
                <w:sz w:val="24"/>
                <w:szCs w:val="24"/>
              </w:rPr>
              <w:t>目前，璧山区已发布《璧山区大气环境质量限期达标规划（2017—2028年）》（璧山生态办发〔2019〕103号），该达标规划中</w:t>
            </w:r>
            <w:r>
              <w:rPr>
                <w:rFonts w:hint="eastAsia"/>
                <w:sz w:val="24"/>
                <w:szCs w:val="24"/>
                <w:lang w:eastAsia="zh-CN"/>
              </w:rPr>
              <w:t>“</w:t>
            </w:r>
            <w:r>
              <w:rPr>
                <w:sz w:val="24"/>
                <w:szCs w:val="24"/>
              </w:rPr>
              <w:t>措施与行动</w:t>
            </w:r>
            <w:r>
              <w:rPr>
                <w:rFonts w:hint="eastAsia"/>
                <w:sz w:val="24"/>
                <w:szCs w:val="24"/>
                <w:lang w:eastAsia="zh-CN"/>
              </w:rPr>
              <w:t>”</w:t>
            </w:r>
            <w:r>
              <w:rPr>
                <w:sz w:val="24"/>
                <w:szCs w:val="24"/>
              </w:rPr>
              <w:t>方案中明确减缓的方案如下：</w:t>
            </w:r>
          </w:p>
          <w:p w14:paraId="323417BB">
            <w:pPr>
              <w:adjustRightInd w:val="0"/>
              <w:snapToGrid w:val="0"/>
              <w:spacing w:line="336" w:lineRule="auto"/>
              <w:ind w:firstLine="480" w:firstLineChars="200"/>
              <w:jc w:val="left"/>
              <w:rPr>
                <w:sz w:val="24"/>
                <w:szCs w:val="24"/>
              </w:rPr>
            </w:pPr>
            <w:r>
              <w:rPr>
                <w:sz w:val="24"/>
                <w:szCs w:val="24"/>
              </w:rPr>
              <w:t>①优化能源结构，发展清洁能源：实施煤炭消费总量控制，大力淘汰燃煤锅炉，推广清洁能源使用，推进建筑节能和绿色建筑；</w:t>
            </w:r>
          </w:p>
          <w:p w14:paraId="05F35DE3">
            <w:pPr>
              <w:adjustRightInd w:val="0"/>
              <w:snapToGrid w:val="0"/>
              <w:spacing w:line="336" w:lineRule="auto"/>
              <w:ind w:firstLine="480" w:firstLineChars="200"/>
              <w:jc w:val="left"/>
              <w:rPr>
                <w:sz w:val="24"/>
                <w:szCs w:val="24"/>
              </w:rPr>
            </w:pPr>
            <w:r>
              <w:rPr>
                <w:sz w:val="24"/>
                <w:szCs w:val="24"/>
              </w:rPr>
              <w:t>②严格环境准入，完善产业布局：严格环境准入管理，优化产业布局，推进淘汰过剩产能，推进清洁生产技术；</w:t>
            </w:r>
          </w:p>
          <w:p w14:paraId="04DC2F7A">
            <w:pPr>
              <w:adjustRightInd w:val="0"/>
              <w:snapToGrid w:val="0"/>
              <w:spacing w:line="336" w:lineRule="auto"/>
              <w:ind w:firstLine="480" w:firstLineChars="200"/>
              <w:rPr>
                <w:sz w:val="24"/>
                <w:szCs w:val="24"/>
              </w:rPr>
            </w:pPr>
            <w:r>
              <w:rPr>
                <w:sz w:val="24"/>
                <w:szCs w:val="24"/>
              </w:rPr>
              <w:t>③加大防治力度，减少工业排放：强化工业废气综合治理，全面开展挥发性有机物治理，“散乱污”企业综合整治，实施企业错峰生产，加强污染源监督监测；</w:t>
            </w:r>
          </w:p>
          <w:p w14:paraId="2443A8FE">
            <w:pPr>
              <w:adjustRightInd w:val="0"/>
              <w:snapToGrid w:val="0"/>
              <w:spacing w:line="336" w:lineRule="auto"/>
              <w:ind w:firstLine="480" w:firstLineChars="200"/>
              <w:jc w:val="left"/>
              <w:rPr>
                <w:sz w:val="24"/>
                <w:szCs w:val="24"/>
              </w:rPr>
            </w:pPr>
            <w:r>
              <w:rPr>
                <w:sz w:val="24"/>
                <w:szCs w:val="24"/>
              </w:rPr>
              <w:t>④实施全面控制，遏制交通污染：加强在用车排气污染控制，加快老旧车淘汰，提升油品质量及加强监管，加强道路抽检和遥测，发展新（清洁）能源汽车，加快推进公共交通；</w:t>
            </w:r>
          </w:p>
          <w:p w14:paraId="2B09E0A9">
            <w:pPr>
              <w:adjustRightInd w:val="0"/>
              <w:snapToGrid w:val="0"/>
              <w:spacing w:line="336" w:lineRule="auto"/>
              <w:ind w:firstLine="480" w:firstLineChars="200"/>
              <w:jc w:val="left"/>
              <w:rPr>
                <w:sz w:val="24"/>
                <w:szCs w:val="24"/>
              </w:rPr>
            </w:pPr>
            <w:r>
              <w:rPr>
                <w:sz w:val="24"/>
                <w:szCs w:val="24"/>
              </w:rPr>
              <w:t>⑤提升管理水平，严格控制扬尘：严格施工扬尘管理，加强道路扬尘控制，加强其他扬尘控制，开展扬尘污染源在线监控；</w:t>
            </w:r>
          </w:p>
          <w:p w14:paraId="3E05F3BA">
            <w:pPr>
              <w:adjustRightInd w:val="0"/>
              <w:snapToGrid w:val="0"/>
              <w:spacing w:line="336" w:lineRule="auto"/>
              <w:ind w:firstLine="480" w:firstLineChars="200"/>
              <w:jc w:val="left"/>
              <w:rPr>
                <w:sz w:val="24"/>
                <w:szCs w:val="24"/>
              </w:rPr>
            </w:pPr>
            <w:r>
              <w:rPr>
                <w:sz w:val="24"/>
                <w:szCs w:val="24"/>
              </w:rPr>
              <w:t>⑥强化油烟监管，控制生活污染：巩固并扩大高污染燃料禁燃区，加强餐饮油烟治理，露天焚烧综合防治；</w:t>
            </w:r>
          </w:p>
          <w:p w14:paraId="16ACB743">
            <w:pPr>
              <w:adjustRightInd w:val="0"/>
              <w:snapToGrid w:val="0"/>
              <w:spacing w:line="336" w:lineRule="auto"/>
              <w:ind w:firstLine="480" w:firstLineChars="200"/>
              <w:rPr>
                <w:sz w:val="24"/>
                <w:szCs w:val="24"/>
              </w:rPr>
            </w:pPr>
            <w:r>
              <w:rPr>
                <w:sz w:val="24"/>
                <w:szCs w:val="24"/>
              </w:rPr>
              <w:t>⑦控制农业氨源，加强秸秆管理：提高化肥施用效率，加强生物质燃烧监管和治理，控制畜禽养殖氨污染；</w:t>
            </w:r>
          </w:p>
          <w:p w14:paraId="58C8EA0E">
            <w:pPr>
              <w:adjustRightInd w:val="0"/>
              <w:snapToGrid w:val="0"/>
              <w:spacing w:line="336" w:lineRule="auto"/>
              <w:ind w:firstLine="480" w:firstLineChars="200"/>
              <w:jc w:val="left"/>
              <w:rPr>
                <w:sz w:val="24"/>
                <w:szCs w:val="24"/>
              </w:rPr>
            </w:pPr>
            <w:r>
              <w:rPr>
                <w:sz w:val="24"/>
                <w:szCs w:val="24"/>
              </w:rPr>
              <w:t>⑧完善法规制度，增强监管能力：加强执法监管，加强大气污染应急监测，优化空气质量常规监测网络，完善物联网体系建设，建立市场化资源要素交易机制，加强重污染天气应对工作；</w:t>
            </w:r>
          </w:p>
          <w:p w14:paraId="425B1810">
            <w:pPr>
              <w:adjustRightInd w:val="0"/>
              <w:snapToGrid w:val="0"/>
              <w:spacing w:line="336" w:lineRule="auto"/>
              <w:ind w:firstLine="480" w:firstLineChars="200"/>
              <w:jc w:val="left"/>
              <w:rPr>
                <w:rFonts w:hint="default" w:ascii="Times New Roman" w:hAnsi="Times New Roman" w:cs="Times New Roman"/>
                <w:spacing w:val="-1"/>
                <w:sz w:val="24"/>
                <w:szCs w:val="24"/>
              </w:rPr>
            </w:pPr>
            <w:r>
              <w:rPr>
                <w:sz w:val="24"/>
                <w:szCs w:val="24"/>
              </w:rPr>
              <w:t>⑨加强宣传教育，推动公众参与：加强普法宣传教育，加强环境信息公开，推动公众参与。</w:t>
            </w:r>
          </w:p>
          <w:p w14:paraId="7FB2767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3.1.2地表水环境质量现状</w:t>
            </w:r>
          </w:p>
          <w:p w14:paraId="2511E1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kern w:val="0"/>
                <w:sz w:val="24"/>
                <w:szCs w:val="24"/>
              </w:rPr>
            </w:pPr>
            <w:r>
              <w:rPr>
                <w:rFonts w:hint="eastAsia"/>
                <w:kern w:val="0"/>
                <w:sz w:val="24"/>
                <w:szCs w:val="24"/>
              </w:rPr>
              <w:t>拟建项目受纳观音塘污水处理厂尾水排入壁南河。根据《重庆市人民政府批转重庆市地表水环境功能类别调整方案的通知》（渝府发〔2012〕4号）。壁南河评价段属于Ⅳ类水域，执行《地表水环境质量标准》（GB 3838-2002）标准中Ⅳ类水域标准。根据重庆市璧山区生态环境局2024年1</w:t>
            </w:r>
            <w:r>
              <w:rPr>
                <w:kern w:val="0"/>
                <w:sz w:val="24"/>
                <w:szCs w:val="24"/>
              </w:rPr>
              <w:t>0</w:t>
            </w:r>
            <w:r>
              <w:rPr>
                <w:rFonts w:hint="eastAsia"/>
                <w:kern w:val="0"/>
                <w:sz w:val="24"/>
                <w:szCs w:val="24"/>
              </w:rPr>
              <w:t>月0</w:t>
            </w:r>
            <w:r>
              <w:rPr>
                <w:kern w:val="0"/>
                <w:sz w:val="24"/>
                <w:szCs w:val="24"/>
              </w:rPr>
              <w:t>9</w:t>
            </w:r>
            <w:r>
              <w:rPr>
                <w:rFonts w:hint="eastAsia"/>
                <w:kern w:val="0"/>
                <w:sz w:val="24"/>
                <w:szCs w:val="24"/>
              </w:rPr>
              <w:t>日发布的2024年01月~0</w:t>
            </w:r>
            <w:r>
              <w:rPr>
                <w:kern w:val="0"/>
                <w:sz w:val="24"/>
                <w:szCs w:val="24"/>
              </w:rPr>
              <w:t>9</w:t>
            </w:r>
            <w:r>
              <w:rPr>
                <w:rFonts w:hint="eastAsia"/>
                <w:kern w:val="0"/>
                <w:sz w:val="24"/>
                <w:szCs w:val="24"/>
              </w:rPr>
              <w:t>月两河口国控断面水质状况，该断面水质达地表水Ⅲ类，满足Ⅳ类水域功能要求。本次评价对壁南河评价段按Ⅳ类水域功能进行了评价。能满足《地表水环境质量标准》（GB 3838-2002）Ⅳ类水域功能区要求。</w:t>
            </w:r>
          </w:p>
          <w:p w14:paraId="79DA891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kern w:val="0"/>
                <w:sz w:val="26"/>
                <w:szCs w:val="26"/>
              </w:rPr>
            </w:pPr>
            <w:r>
              <w:drawing>
                <wp:inline distT="0" distB="0" distL="114300" distR="114300">
                  <wp:extent cx="5061585" cy="2945765"/>
                  <wp:effectExtent l="0" t="0" r="5715" b="698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5061585" cy="2945765"/>
                          </a:xfrm>
                          <a:prstGeom prst="rect">
                            <a:avLst/>
                          </a:prstGeom>
                          <a:noFill/>
                          <a:ln>
                            <a:noFill/>
                          </a:ln>
                        </pic:spPr>
                      </pic:pic>
                    </a:graphicData>
                  </a:graphic>
                </wp:inline>
              </w:drawing>
            </w:r>
          </w:p>
          <w:p w14:paraId="1FCC929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3.1.3 声环境质量现状</w:t>
            </w:r>
          </w:p>
          <w:p w14:paraId="20294498">
            <w:pPr>
              <w:spacing w:line="360" w:lineRule="auto"/>
              <w:ind w:firstLine="480" w:firstLineChars="200"/>
              <w:rPr>
                <w:rFonts w:hint="default" w:cs="Times New Roman"/>
                <w:sz w:val="24"/>
                <w:lang w:val="en-US" w:eastAsia="zh-CN"/>
              </w:rPr>
            </w:pPr>
            <w:r>
              <w:rPr>
                <w:rFonts w:hint="default" w:ascii="Times New Roman" w:hAnsi="Times New Roman" w:eastAsia="宋体" w:cs="Times New Roman"/>
                <w:sz w:val="24"/>
              </w:rPr>
              <w:t>项目位于</w:t>
            </w:r>
            <w:r>
              <w:rPr>
                <w:rFonts w:hint="eastAsia" w:cs="Times New Roman"/>
                <w:color w:val="000000" w:themeColor="text1"/>
                <w:sz w:val="24"/>
                <w:szCs w:val="24"/>
                <w:lang w:val="en-US" w:eastAsia="zh-CN"/>
                <w14:textFill>
                  <w14:solidFill>
                    <w14:schemeClr w14:val="tx1"/>
                  </w14:solidFill>
                </w14:textFill>
              </w:rPr>
              <w:t>重庆市璧山区璧泉街道东林大道67号4幢附37号</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根据《重庆市璧山区声环境功能区划分调整方案》可知，</w:t>
            </w:r>
            <w:r>
              <w:rPr>
                <w:rFonts w:hint="eastAsia" w:cs="Times New Roman"/>
                <w:sz w:val="24"/>
                <w:lang w:val="en-US" w:eastAsia="zh-CN"/>
              </w:rPr>
              <w:t>项目所在区域</w:t>
            </w:r>
            <w:r>
              <w:rPr>
                <w:rFonts w:hint="default" w:ascii="Times New Roman" w:hAnsi="Times New Roman" w:eastAsia="宋体" w:cs="Times New Roman"/>
                <w:sz w:val="24"/>
              </w:rPr>
              <w:t>属于</w:t>
            </w:r>
            <w:r>
              <w:rPr>
                <w:rFonts w:hint="eastAsia" w:cs="Times New Roman"/>
                <w:sz w:val="24"/>
                <w:lang w:val="en-US" w:eastAsia="zh-CN"/>
              </w:rPr>
              <w:t>4a</w:t>
            </w:r>
            <w:r>
              <w:rPr>
                <w:rFonts w:hint="default" w:ascii="Times New Roman" w:hAnsi="Times New Roman" w:eastAsia="宋体" w:cs="Times New Roman"/>
                <w:sz w:val="24"/>
              </w:rPr>
              <w:t>类声功能区</w:t>
            </w:r>
            <w:r>
              <w:rPr>
                <w:rFonts w:hint="eastAsia" w:cs="Times New Roman"/>
                <w:sz w:val="24"/>
                <w:lang w:val="en-US" w:eastAsia="zh-CN"/>
              </w:rPr>
              <w:t>。</w:t>
            </w:r>
          </w:p>
          <w:p w14:paraId="4D06808E">
            <w:pPr>
              <w:spacing w:line="360" w:lineRule="auto"/>
              <w:ind w:firstLine="240" w:firstLineChars="100"/>
              <w:rPr>
                <w:rFonts w:hint="default"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监测方案</w:t>
            </w:r>
          </w:p>
          <w:p w14:paraId="7FE549D3">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rPr>
              <w:t>监测点位</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共1个监测点，</w:t>
            </w:r>
            <w:r>
              <w:rPr>
                <w:rFonts w:hint="eastAsia" w:cs="Times New Roman"/>
                <w:sz w:val="24"/>
                <w:highlight w:val="none"/>
                <w:lang w:val="en-US" w:eastAsia="zh-CN"/>
              </w:rPr>
              <w:t>N</w:t>
            </w:r>
            <w:r>
              <w:rPr>
                <w:rFonts w:hint="default" w:ascii="Times New Roman" w:hAnsi="Times New Roman" w:eastAsia="宋体" w:cs="Times New Roman"/>
                <w:sz w:val="24"/>
                <w:highlight w:val="none"/>
              </w:rPr>
              <w:t>1点位于</w:t>
            </w:r>
            <w:r>
              <w:rPr>
                <w:rFonts w:hint="eastAsia" w:cs="Times New Roman"/>
                <w:sz w:val="24"/>
                <w:highlight w:val="none"/>
                <w:lang w:val="en-US" w:eastAsia="zh-CN"/>
              </w:rPr>
              <w:t>恒大绿岛新城B区4栋商业裙楼</w:t>
            </w:r>
            <w:r>
              <w:rPr>
                <w:rFonts w:hint="default" w:ascii="Times New Roman" w:hAnsi="Times New Roman" w:eastAsia="宋体" w:cs="Times New Roman"/>
                <w:sz w:val="24"/>
                <w:highlight w:val="none"/>
              </w:rPr>
              <w:t>。</w:t>
            </w:r>
          </w:p>
          <w:p w14:paraId="28A926C7">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监测内容</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等效A声级。</w:t>
            </w:r>
          </w:p>
          <w:p w14:paraId="4643D6A8">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监测时间与频率</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监测时间为202</w:t>
            </w:r>
            <w:r>
              <w:rPr>
                <w:rFonts w:hint="eastAsia" w:cs="Times New Roman"/>
                <w:sz w:val="24"/>
                <w:highlight w:val="none"/>
                <w:lang w:val="en-US" w:eastAsia="zh-CN"/>
              </w:rPr>
              <w:t>5</w:t>
            </w:r>
            <w:r>
              <w:rPr>
                <w:rFonts w:hint="default" w:ascii="Times New Roman" w:hAnsi="Times New Roman" w:eastAsia="宋体" w:cs="Times New Roman"/>
                <w:sz w:val="24"/>
                <w:highlight w:val="none"/>
              </w:rPr>
              <w:t>年</w:t>
            </w:r>
            <w:r>
              <w:rPr>
                <w:rFonts w:hint="eastAsia" w:cs="Times New Roman"/>
                <w:sz w:val="24"/>
                <w:highlight w:val="none"/>
                <w:lang w:val="en-US" w:eastAsia="zh-CN"/>
              </w:rPr>
              <w:t>3</w:t>
            </w:r>
            <w:r>
              <w:rPr>
                <w:rFonts w:hint="default" w:ascii="Times New Roman" w:hAnsi="Times New Roman" w:eastAsia="宋体" w:cs="Times New Roman"/>
                <w:sz w:val="24"/>
                <w:highlight w:val="none"/>
              </w:rPr>
              <w:t>月</w:t>
            </w:r>
            <w:r>
              <w:rPr>
                <w:rFonts w:hint="eastAsia" w:cs="Times New Roman"/>
                <w:sz w:val="24"/>
                <w:highlight w:val="none"/>
                <w:lang w:val="en-US" w:eastAsia="zh-CN"/>
              </w:rPr>
              <w:t>13</w:t>
            </w:r>
            <w:r>
              <w:rPr>
                <w:rFonts w:hint="default" w:ascii="Times New Roman" w:hAnsi="Times New Roman" w:eastAsia="宋体" w:cs="Times New Roman"/>
                <w:sz w:val="24"/>
                <w:highlight w:val="none"/>
              </w:rPr>
              <w:t>日，监测一天，每天昼夜各监测一次。</w:t>
            </w:r>
          </w:p>
          <w:p w14:paraId="1AB782E3">
            <w:pPr>
              <w:spacing w:line="360" w:lineRule="auto"/>
              <w:ind w:firstLine="480" w:firstLineChars="200"/>
              <w:rPr>
                <w:rFonts w:hint="default" w:ascii="Times New Roman" w:hAnsi="Times New Roman" w:eastAsia="宋体" w:cs="Times New Roman"/>
                <w:sz w:val="24"/>
                <w:highlight w:val="none"/>
              </w:rPr>
            </w:pPr>
            <w:r>
              <w:rPr>
                <w:rFonts w:hint="eastAsia"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2</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评价方法与标准</w:t>
            </w:r>
          </w:p>
          <w:p w14:paraId="6636EB4D">
            <w:pPr>
              <w:spacing w:line="360" w:lineRule="auto"/>
              <w:ind w:firstLine="480" w:firstLineChars="200"/>
              <w:rPr>
                <w:rFonts w:hint="default" w:ascii="Times New Roman" w:hAnsi="Times New Roman" w:eastAsia="宋体" w:cs="Times New Roman"/>
                <w:sz w:val="24"/>
                <w:highlight w:val="none"/>
              </w:rPr>
            </w:pPr>
            <w:r>
              <w:rPr>
                <w:rFonts w:hint="eastAsia" w:cs="Times New Roman"/>
                <w:sz w:val="24"/>
                <w:highlight w:val="none"/>
                <w:lang w:val="en-US" w:eastAsia="zh-CN"/>
              </w:rPr>
              <w:t>N</w:t>
            </w:r>
            <w:r>
              <w:rPr>
                <w:rFonts w:hint="eastAsia" w:ascii="Times New Roman" w:hAnsi="Times New Roman" w:eastAsia="宋体" w:cs="Times New Roman"/>
                <w:sz w:val="24"/>
                <w:highlight w:val="none"/>
                <w:lang w:val="en-US" w:eastAsia="zh-CN"/>
              </w:rPr>
              <w:t>1</w:t>
            </w:r>
            <w:r>
              <w:rPr>
                <w:rFonts w:hint="default" w:ascii="Times New Roman" w:hAnsi="Times New Roman" w:eastAsia="宋体" w:cs="Times New Roman"/>
                <w:sz w:val="24"/>
                <w:highlight w:val="none"/>
              </w:rPr>
              <w:t>环境噪声执行《声环境质量标准》</w:t>
            </w:r>
            <w:r>
              <w:rPr>
                <w:rFonts w:hint="eastAsia"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rPr>
              <w:t>GB3096-2008</w:t>
            </w:r>
            <w:r>
              <w:rPr>
                <w:rFonts w:hint="eastAsia" w:ascii="Times New Roman" w:hAnsi="Times New Roman" w:eastAsia="宋体" w:cs="Times New Roman"/>
                <w:sz w:val="24"/>
                <w:highlight w:val="none"/>
                <w:lang w:eastAsia="zh-CN"/>
              </w:rPr>
              <w:t>）</w:t>
            </w:r>
            <w:r>
              <w:rPr>
                <w:rFonts w:hint="eastAsia" w:cs="Times New Roman"/>
                <w:sz w:val="24"/>
                <w:highlight w:val="none"/>
                <w:lang w:val="en-US" w:eastAsia="zh-CN"/>
              </w:rPr>
              <w:t>4a类</w:t>
            </w:r>
            <w:r>
              <w:rPr>
                <w:rFonts w:hint="default" w:ascii="Times New Roman" w:hAnsi="Times New Roman" w:eastAsia="宋体" w:cs="Times New Roman"/>
                <w:sz w:val="24"/>
                <w:highlight w:val="none"/>
              </w:rPr>
              <w:t>标准。</w:t>
            </w:r>
          </w:p>
          <w:p w14:paraId="1ACA6AAF">
            <w:pPr>
              <w:spacing w:line="360" w:lineRule="auto"/>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监测评价结果</w:t>
            </w:r>
          </w:p>
          <w:p w14:paraId="5DAE9D65">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监测数据及评价结果见表3.3-1。</w:t>
            </w:r>
          </w:p>
          <w:p w14:paraId="4F106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kern w:val="0"/>
                <w:sz w:val="24"/>
                <w:szCs w:val="24"/>
                <w:vertAlign w:val="baseline"/>
                <w:lang w:val="en-US"/>
              </w:rPr>
            </w:pPr>
            <w:r>
              <w:rPr>
                <w:rFonts w:hint="default" w:ascii="Times New Roman" w:hAnsi="Times New Roman" w:cs="Times New Roman"/>
                <w:b w:val="0"/>
                <w:bCs w:val="0"/>
                <w:kern w:val="0"/>
                <w:sz w:val="24"/>
                <w:szCs w:val="24"/>
              </w:rPr>
              <w:t>表3.3-1声环境监测统计结果</w:t>
            </w:r>
            <w:r>
              <w:rPr>
                <w:rFonts w:hint="eastAsia" w:ascii="Times New Roman" w:hAnsi="Times New Roman" w:cs="Times New Roman"/>
                <w:b w:val="0"/>
                <w:bCs w:val="0"/>
                <w:kern w:val="0"/>
                <w:sz w:val="24"/>
                <w:szCs w:val="24"/>
                <w:lang w:val="en-US" w:eastAsia="zh-CN"/>
              </w:rPr>
              <w:t xml:space="preserve"> </w:t>
            </w:r>
            <w:r>
              <w:rPr>
                <w:rFonts w:hint="default" w:ascii="Times New Roman" w:hAnsi="Times New Roman" w:cs="Times New Roman"/>
                <w:b w:val="0"/>
                <w:bCs w:val="0"/>
                <w:kern w:val="0"/>
                <w:sz w:val="24"/>
                <w:szCs w:val="24"/>
              </w:rPr>
              <w:t>单位</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dB</w:t>
            </w:r>
            <w:r>
              <w:rPr>
                <w:rFonts w:hint="eastAsia" w:ascii="Times New Roman" w:hAnsi="Times New Roman" w:cs="Times New Roman"/>
                <w:b w:val="0"/>
                <w:bCs w:val="0"/>
                <w:kern w:val="0"/>
                <w:sz w:val="24"/>
                <w:szCs w:val="24"/>
                <w:lang w:eastAsia="zh-CN"/>
              </w:rPr>
              <w:t>（</w:t>
            </w:r>
            <w:r>
              <w:rPr>
                <w:rFonts w:hint="eastAsia" w:ascii="Times New Roman" w:hAnsi="Times New Roman" w:cs="Times New Roman"/>
                <w:b w:val="0"/>
                <w:bCs w:val="0"/>
                <w:kern w:val="0"/>
                <w:sz w:val="24"/>
                <w:szCs w:val="24"/>
                <w:lang w:val="en-US" w:eastAsia="zh-CN"/>
              </w:rPr>
              <w:t>A）</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056"/>
              <w:gridCol w:w="1041"/>
              <w:gridCol w:w="1043"/>
              <w:gridCol w:w="1041"/>
              <w:gridCol w:w="1043"/>
              <w:gridCol w:w="1043"/>
              <w:gridCol w:w="1046"/>
            </w:tblGrid>
            <w:tr w14:paraId="01A41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622" w:type="pct"/>
                  <w:vMerge w:val="restart"/>
                  <w:tcBorders>
                    <w:tl2br w:val="nil"/>
                    <w:tr2bl w:val="nil"/>
                  </w:tcBorders>
                  <w:vAlign w:val="center"/>
                </w:tcPr>
                <w:p w14:paraId="6E5698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监测点位</w:t>
                  </w:r>
                </w:p>
              </w:tc>
              <w:tc>
                <w:tcPr>
                  <w:tcW w:w="632" w:type="pct"/>
                  <w:vMerge w:val="restart"/>
                  <w:tcBorders>
                    <w:tl2br w:val="nil"/>
                    <w:tr2bl w:val="nil"/>
                  </w:tcBorders>
                  <w:vAlign w:val="center"/>
                </w:tcPr>
                <w:p w14:paraId="26CC7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监测日期</w:t>
                  </w:r>
                </w:p>
              </w:tc>
              <w:tc>
                <w:tcPr>
                  <w:tcW w:w="1247" w:type="pct"/>
                  <w:gridSpan w:val="2"/>
                  <w:tcBorders>
                    <w:tl2br w:val="nil"/>
                    <w:tr2bl w:val="nil"/>
                  </w:tcBorders>
                  <w:vAlign w:val="center"/>
                </w:tcPr>
                <w:p w14:paraId="7DA3BB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rPr>
                  </w:pPr>
                  <w:r>
                    <w:rPr>
                      <w:rFonts w:hint="eastAsia" w:ascii="Times New Roman" w:hAnsi="Times New Roman" w:cs="Times New Roman"/>
                      <w:b w:val="0"/>
                      <w:bCs w:val="0"/>
                      <w:kern w:val="0"/>
                      <w:sz w:val="21"/>
                      <w:szCs w:val="21"/>
                      <w:vertAlign w:val="baseline"/>
                      <w:lang w:val="en-US" w:eastAsia="zh-CN"/>
                    </w:rPr>
                    <w:t>监测结果</w:t>
                  </w:r>
                  <w:r>
                    <w:rPr>
                      <w:rFonts w:hint="default" w:ascii="Times New Roman" w:hAnsi="Times New Roman" w:cs="Times New Roman"/>
                      <w:b w:val="0"/>
                      <w:bCs w:val="0"/>
                      <w:kern w:val="0"/>
                      <w:sz w:val="21"/>
                      <w:szCs w:val="21"/>
                    </w:rPr>
                    <w:t>dB</w:t>
                  </w:r>
                  <w:r>
                    <w:rPr>
                      <w:rFonts w:hint="eastAsia" w:ascii="Times New Roman" w:hAnsi="Times New Roman" w:cs="Times New Roman"/>
                      <w:b w:val="0"/>
                      <w:bCs w:val="0"/>
                      <w:kern w:val="0"/>
                      <w:sz w:val="21"/>
                      <w:szCs w:val="21"/>
                      <w:lang w:eastAsia="zh-CN"/>
                    </w:rPr>
                    <w:t>（</w:t>
                  </w:r>
                  <w:r>
                    <w:rPr>
                      <w:rFonts w:hint="eastAsia" w:ascii="Times New Roman" w:hAnsi="Times New Roman" w:cs="Times New Roman"/>
                      <w:b w:val="0"/>
                      <w:bCs w:val="0"/>
                      <w:kern w:val="0"/>
                      <w:sz w:val="21"/>
                      <w:szCs w:val="21"/>
                      <w:lang w:val="en-US" w:eastAsia="zh-CN"/>
                    </w:rPr>
                    <w:t>A）</w:t>
                  </w:r>
                </w:p>
              </w:tc>
              <w:tc>
                <w:tcPr>
                  <w:tcW w:w="1247" w:type="pct"/>
                  <w:gridSpan w:val="2"/>
                  <w:tcBorders>
                    <w:tl2br w:val="nil"/>
                    <w:tr2bl w:val="nil"/>
                  </w:tcBorders>
                  <w:vAlign w:val="center"/>
                </w:tcPr>
                <w:p w14:paraId="56F0A3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标准限值</w:t>
                  </w:r>
                </w:p>
              </w:tc>
              <w:tc>
                <w:tcPr>
                  <w:tcW w:w="1250" w:type="pct"/>
                  <w:gridSpan w:val="2"/>
                  <w:tcBorders>
                    <w:tl2br w:val="nil"/>
                    <w:tr2bl w:val="nil"/>
                  </w:tcBorders>
                  <w:vAlign w:val="center"/>
                </w:tcPr>
                <w:p w14:paraId="48A58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达标分析</w:t>
                  </w:r>
                </w:p>
              </w:tc>
            </w:tr>
            <w:tr w14:paraId="7B7BF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vMerge w:val="continue"/>
                  <w:tcBorders>
                    <w:tl2br w:val="nil"/>
                    <w:tr2bl w:val="nil"/>
                  </w:tcBorders>
                  <w:vAlign w:val="center"/>
                </w:tcPr>
                <w:p w14:paraId="7F86D2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rPr>
                  </w:pPr>
                </w:p>
              </w:tc>
              <w:tc>
                <w:tcPr>
                  <w:tcW w:w="632" w:type="pct"/>
                  <w:vMerge w:val="continue"/>
                  <w:tcBorders>
                    <w:tl2br w:val="nil"/>
                    <w:tr2bl w:val="nil"/>
                  </w:tcBorders>
                  <w:vAlign w:val="center"/>
                </w:tcPr>
                <w:p w14:paraId="29E9EE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rPr>
                  </w:pPr>
                </w:p>
              </w:tc>
              <w:tc>
                <w:tcPr>
                  <w:tcW w:w="623" w:type="pct"/>
                  <w:tcBorders>
                    <w:tl2br w:val="nil"/>
                    <w:tr2bl w:val="nil"/>
                  </w:tcBorders>
                  <w:vAlign w:val="center"/>
                </w:tcPr>
                <w:p w14:paraId="2F12DE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昼间</w:t>
                  </w:r>
                </w:p>
              </w:tc>
              <w:tc>
                <w:tcPr>
                  <w:tcW w:w="623" w:type="pct"/>
                  <w:tcBorders>
                    <w:tl2br w:val="nil"/>
                    <w:tr2bl w:val="nil"/>
                  </w:tcBorders>
                  <w:vAlign w:val="center"/>
                </w:tcPr>
                <w:p w14:paraId="68BD00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夜间</w:t>
                  </w:r>
                </w:p>
              </w:tc>
              <w:tc>
                <w:tcPr>
                  <w:tcW w:w="623" w:type="pct"/>
                  <w:tcBorders>
                    <w:tl2br w:val="nil"/>
                    <w:tr2bl w:val="nil"/>
                  </w:tcBorders>
                  <w:shd w:val="clear" w:color="auto" w:fill="auto"/>
                  <w:vAlign w:val="center"/>
                </w:tcPr>
                <w:p w14:paraId="4788CF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rPr>
                    <w:t>昼间</w:t>
                  </w:r>
                </w:p>
              </w:tc>
              <w:tc>
                <w:tcPr>
                  <w:tcW w:w="623" w:type="pct"/>
                  <w:tcBorders>
                    <w:tl2br w:val="nil"/>
                    <w:tr2bl w:val="nil"/>
                  </w:tcBorders>
                  <w:shd w:val="clear" w:color="auto" w:fill="auto"/>
                  <w:vAlign w:val="center"/>
                </w:tcPr>
                <w:p w14:paraId="0320C2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rPr>
                    <w:t>夜间</w:t>
                  </w:r>
                </w:p>
              </w:tc>
              <w:tc>
                <w:tcPr>
                  <w:tcW w:w="624" w:type="pct"/>
                  <w:tcBorders>
                    <w:tl2br w:val="nil"/>
                    <w:tr2bl w:val="nil"/>
                  </w:tcBorders>
                  <w:shd w:val="clear" w:color="auto" w:fill="auto"/>
                  <w:vAlign w:val="center"/>
                </w:tcPr>
                <w:p w14:paraId="27DC1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rPr>
                    <w:t>昼间</w:t>
                  </w:r>
                </w:p>
              </w:tc>
              <w:tc>
                <w:tcPr>
                  <w:tcW w:w="625" w:type="pct"/>
                  <w:tcBorders>
                    <w:tl2br w:val="nil"/>
                    <w:tr2bl w:val="nil"/>
                  </w:tcBorders>
                  <w:shd w:val="clear" w:color="auto" w:fill="auto"/>
                  <w:vAlign w:val="center"/>
                </w:tcPr>
                <w:p w14:paraId="7CAD64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ascii="Times New Roman" w:hAnsi="Times New Roman" w:cs="Times New Roman"/>
                      <w:b w:val="0"/>
                      <w:bCs w:val="0"/>
                      <w:kern w:val="0"/>
                      <w:sz w:val="21"/>
                      <w:szCs w:val="21"/>
                      <w:vertAlign w:val="baseline"/>
                      <w:lang w:val="en-US" w:eastAsia="zh-CN"/>
                    </w:rPr>
                    <w:t>夜间</w:t>
                  </w:r>
                </w:p>
              </w:tc>
            </w:tr>
            <w:tr w14:paraId="7990F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tcBorders>
                    <w:tl2br w:val="nil"/>
                    <w:tr2bl w:val="nil"/>
                  </w:tcBorders>
                  <w:vAlign w:val="center"/>
                </w:tcPr>
                <w:p w14:paraId="29648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N1</w:t>
                  </w:r>
                </w:p>
              </w:tc>
              <w:tc>
                <w:tcPr>
                  <w:tcW w:w="632" w:type="pct"/>
                  <w:tcBorders>
                    <w:tl2br w:val="nil"/>
                    <w:tr2bl w:val="nil"/>
                  </w:tcBorders>
                  <w:vAlign w:val="center"/>
                </w:tcPr>
                <w:p w14:paraId="1DF63F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2025.3.13</w:t>
                  </w:r>
                </w:p>
              </w:tc>
              <w:tc>
                <w:tcPr>
                  <w:tcW w:w="623" w:type="pct"/>
                  <w:tcBorders>
                    <w:tl2br w:val="nil"/>
                    <w:tr2bl w:val="nil"/>
                  </w:tcBorders>
                  <w:vAlign w:val="center"/>
                </w:tcPr>
                <w:p w14:paraId="17A24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64</w:t>
                  </w:r>
                </w:p>
              </w:tc>
              <w:tc>
                <w:tcPr>
                  <w:tcW w:w="623" w:type="pct"/>
                  <w:tcBorders>
                    <w:tl2br w:val="nil"/>
                    <w:tr2bl w:val="nil"/>
                  </w:tcBorders>
                  <w:vAlign w:val="center"/>
                </w:tcPr>
                <w:p w14:paraId="417C85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53</w:t>
                  </w:r>
                </w:p>
              </w:tc>
              <w:tc>
                <w:tcPr>
                  <w:tcW w:w="1041" w:type="dxa"/>
                  <w:tcBorders>
                    <w:tl2br w:val="nil"/>
                    <w:tr2bl w:val="nil"/>
                  </w:tcBorders>
                  <w:vAlign w:val="center"/>
                </w:tcPr>
                <w:p w14:paraId="47A17E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70</w:t>
                  </w:r>
                </w:p>
              </w:tc>
              <w:tc>
                <w:tcPr>
                  <w:tcW w:w="1043" w:type="dxa"/>
                  <w:tcBorders>
                    <w:tl2br w:val="nil"/>
                    <w:tr2bl w:val="nil"/>
                  </w:tcBorders>
                  <w:vAlign w:val="center"/>
                </w:tcPr>
                <w:p w14:paraId="57AA33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55</w:t>
                  </w:r>
                </w:p>
              </w:tc>
              <w:tc>
                <w:tcPr>
                  <w:tcW w:w="624" w:type="pct"/>
                  <w:tcBorders>
                    <w:tl2br w:val="nil"/>
                    <w:tr2bl w:val="nil"/>
                  </w:tcBorders>
                  <w:vAlign w:val="center"/>
                </w:tcPr>
                <w:p w14:paraId="6008A8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达标</w:t>
                  </w:r>
                </w:p>
              </w:tc>
              <w:tc>
                <w:tcPr>
                  <w:tcW w:w="625" w:type="pct"/>
                  <w:tcBorders>
                    <w:tl2br w:val="nil"/>
                    <w:tr2bl w:val="nil"/>
                  </w:tcBorders>
                  <w:vAlign w:val="center"/>
                </w:tcPr>
                <w:p w14:paraId="7BBB6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rPr>
                  </w:pPr>
                  <w:r>
                    <w:rPr>
                      <w:rFonts w:hint="eastAsia" w:cs="Times New Roman"/>
                      <w:b w:val="0"/>
                      <w:bCs w:val="0"/>
                      <w:kern w:val="0"/>
                      <w:sz w:val="21"/>
                      <w:szCs w:val="21"/>
                      <w:vertAlign w:val="baseline"/>
                      <w:lang w:val="en-US" w:eastAsia="zh-CN"/>
                    </w:rPr>
                    <w:t>达标</w:t>
                  </w:r>
                </w:p>
              </w:tc>
            </w:tr>
          </w:tbl>
          <w:p w14:paraId="4FF0273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kern w:val="0"/>
                <w:sz w:val="24"/>
                <w:szCs w:val="24"/>
                <w:highlight w:val="none"/>
                <w:lang w:val="en-US"/>
              </w:rPr>
            </w:pPr>
            <w:r>
              <w:rPr>
                <w:rFonts w:hint="default" w:ascii="Times New Roman" w:hAnsi="Times New Roman" w:cs="Times New Roman"/>
                <w:b w:val="0"/>
                <w:bCs w:val="0"/>
                <w:kern w:val="0"/>
                <w:sz w:val="24"/>
                <w:szCs w:val="24"/>
                <w:highlight w:val="none"/>
                <w:lang w:val="en-US"/>
              </w:rPr>
              <w:t>监测结果表明，</w:t>
            </w:r>
            <w:r>
              <w:rPr>
                <w:rFonts w:hint="eastAsia" w:cs="Times New Roman"/>
                <w:b w:val="0"/>
                <w:bCs w:val="0"/>
                <w:kern w:val="0"/>
                <w:sz w:val="24"/>
                <w:szCs w:val="24"/>
                <w:highlight w:val="none"/>
                <w:lang w:val="en-US" w:eastAsia="zh-CN"/>
              </w:rPr>
              <w:t>N</w:t>
            </w:r>
            <w:r>
              <w:rPr>
                <w:rFonts w:hint="eastAsia" w:ascii="Times New Roman" w:hAnsi="Times New Roman" w:cs="Times New Roman"/>
                <w:b w:val="0"/>
                <w:bCs w:val="0"/>
                <w:kern w:val="0"/>
                <w:sz w:val="24"/>
                <w:szCs w:val="24"/>
                <w:highlight w:val="none"/>
                <w:lang w:val="en-US" w:eastAsia="zh-CN"/>
              </w:rPr>
              <w:t>1</w:t>
            </w:r>
            <w:r>
              <w:rPr>
                <w:rFonts w:hint="default" w:ascii="Times New Roman" w:hAnsi="Times New Roman" w:cs="Times New Roman"/>
                <w:b w:val="0"/>
                <w:bCs w:val="0"/>
                <w:kern w:val="0"/>
                <w:sz w:val="24"/>
                <w:szCs w:val="24"/>
                <w:highlight w:val="none"/>
                <w:lang w:val="en-US"/>
              </w:rPr>
              <w:t>昼间</w:t>
            </w:r>
            <w:r>
              <w:rPr>
                <w:rFonts w:hint="eastAsia" w:cs="Times New Roman"/>
                <w:b w:val="0"/>
                <w:bCs w:val="0"/>
                <w:kern w:val="0"/>
                <w:sz w:val="24"/>
                <w:szCs w:val="24"/>
                <w:highlight w:val="none"/>
                <w:lang w:val="en-US" w:eastAsia="zh-CN"/>
              </w:rPr>
              <w:t>和夜间</w:t>
            </w:r>
            <w:r>
              <w:rPr>
                <w:rFonts w:hint="default" w:ascii="Times New Roman" w:hAnsi="Times New Roman" w:cs="Times New Roman"/>
                <w:b w:val="0"/>
                <w:bCs w:val="0"/>
                <w:kern w:val="0"/>
                <w:sz w:val="24"/>
                <w:szCs w:val="24"/>
                <w:highlight w:val="none"/>
                <w:lang w:val="en-US"/>
              </w:rPr>
              <w:t>噪声满足《声环境质量标准》</w:t>
            </w:r>
            <w:r>
              <w:rPr>
                <w:rFonts w:hint="eastAsia" w:ascii="Times New Roman" w:hAnsi="Times New Roman" w:cs="Times New Roman"/>
                <w:b w:val="0"/>
                <w:bCs w:val="0"/>
                <w:kern w:val="0"/>
                <w:sz w:val="24"/>
                <w:szCs w:val="24"/>
                <w:highlight w:val="none"/>
                <w:lang w:val="en-US" w:eastAsia="zh-CN"/>
              </w:rPr>
              <w:t>（</w:t>
            </w:r>
            <w:r>
              <w:rPr>
                <w:rFonts w:hint="default" w:ascii="Times New Roman" w:hAnsi="Times New Roman" w:cs="Times New Roman"/>
                <w:b w:val="0"/>
                <w:bCs w:val="0"/>
                <w:kern w:val="0"/>
                <w:sz w:val="24"/>
                <w:szCs w:val="24"/>
                <w:highlight w:val="none"/>
                <w:lang w:val="en-US"/>
              </w:rPr>
              <w:t>GB3096-2008</w:t>
            </w:r>
            <w:r>
              <w:rPr>
                <w:rFonts w:hint="eastAsia" w:ascii="Times New Roman" w:hAnsi="Times New Roman" w:cs="Times New Roman"/>
                <w:b w:val="0"/>
                <w:bCs w:val="0"/>
                <w:kern w:val="0"/>
                <w:sz w:val="24"/>
                <w:szCs w:val="24"/>
                <w:highlight w:val="none"/>
                <w:lang w:val="en-US" w:eastAsia="zh-CN"/>
              </w:rPr>
              <w:t>）</w:t>
            </w:r>
            <w:r>
              <w:rPr>
                <w:rFonts w:hint="default" w:ascii="Times New Roman" w:hAnsi="Times New Roman" w:cs="Times New Roman"/>
                <w:b w:val="0"/>
                <w:bCs w:val="0"/>
                <w:kern w:val="0"/>
                <w:sz w:val="24"/>
                <w:szCs w:val="24"/>
                <w:highlight w:val="none"/>
                <w:lang w:val="en-US"/>
              </w:rPr>
              <w:t>中</w:t>
            </w:r>
            <w:r>
              <w:rPr>
                <w:rFonts w:hint="eastAsia" w:cs="Times New Roman"/>
                <w:sz w:val="24"/>
                <w:highlight w:val="none"/>
                <w:lang w:val="en-US" w:eastAsia="zh-CN"/>
              </w:rPr>
              <w:t>4a</w:t>
            </w:r>
            <w:r>
              <w:rPr>
                <w:rFonts w:hint="default" w:ascii="Times New Roman" w:hAnsi="Times New Roman" w:cs="Times New Roman"/>
                <w:b w:val="0"/>
                <w:bCs w:val="0"/>
                <w:kern w:val="0"/>
                <w:sz w:val="24"/>
                <w:szCs w:val="24"/>
                <w:highlight w:val="none"/>
                <w:lang w:val="en-US"/>
              </w:rPr>
              <w:t>类标准。</w:t>
            </w:r>
          </w:p>
          <w:p w14:paraId="5A0A468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rPr>
              <w:t>3.1.4 生态环境</w:t>
            </w:r>
          </w:p>
          <w:p w14:paraId="25200A5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kern w:val="0"/>
                <w:sz w:val="24"/>
                <w:szCs w:val="24"/>
                <w:highlight w:val="none"/>
                <w:lang w:val="en-US"/>
              </w:rPr>
            </w:pPr>
            <w:r>
              <w:rPr>
                <w:rFonts w:hint="default" w:ascii="Times New Roman" w:hAnsi="Times New Roman" w:cs="Times New Roman"/>
                <w:b w:val="0"/>
                <w:bCs w:val="0"/>
                <w:kern w:val="0"/>
                <w:sz w:val="24"/>
                <w:szCs w:val="24"/>
                <w:highlight w:val="none"/>
                <w:lang w:val="en-US"/>
              </w:rPr>
              <w:t>项目位于</w:t>
            </w:r>
            <w:r>
              <w:rPr>
                <w:rFonts w:hint="eastAsia" w:cs="Times New Roman"/>
                <w:color w:val="000000" w:themeColor="text1"/>
                <w:sz w:val="24"/>
                <w:szCs w:val="24"/>
                <w:lang w:val="en-US" w:eastAsia="zh-CN"/>
                <w14:textFill>
                  <w14:solidFill>
                    <w14:schemeClr w14:val="tx1"/>
                  </w14:solidFill>
                </w14:textFill>
              </w:rPr>
              <w:t>重庆市璧山区璧泉街道东林大道67号4幢附37号</w:t>
            </w:r>
            <w:r>
              <w:rPr>
                <w:rFonts w:hint="default" w:ascii="Times New Roman" w:hAnsi="Times New Roman" w:cs="Times New Roman"/>
                <w:b w:val="0"/>
                <w:bCs w:val="0"/>
                <w:kern w:val="0"/>
                <w:sz w:val="24"/>
                <w:szCs w:val="24"/>
                <w:highlight w:val="none"/>
                <w:lang w:val="en-US"/>
              </w:rPr>
              <w:t>，租用商业用房开展经营活动，不新增占地。周边已建设住宅区、商业区和道路。周围无生态环境保护目标，不涉及生态红线范围，对生态环境的影响较小。所以无需对生态环境进行评价。</w:t>
            </w:r>
          </w:p>
          <w:p w14:paraId="7A3E968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eastAsia="宋体" w:cs="Times New Roman"/>
                <w:b/>
                <w:bCs/>
                <w:kern w:val="0"/>
                <w:sz w:val="24"/>
                <w:szCs w:val="24"/>
                <w:lang w:val="en-US"/>
              </w:rPr>
            </w:pPr>
            <w:r>
              <w:rPr>
                <w:rFonts w:hint="default" w:ascii="Times New Roman" w:hAnsi="Times New Roman" w:eastAsia="宋体" w:cs="Times New Roman"/>
                <w:b/>
                <w:bCs/>
                <w:kern w:val="0"/>
                <w:sz w:val="24"/>
                <w:szCs w:val="24"/>
                <w:lang w:val="en-US"/>
              </w:rPr>
              <w:t>3.1.5 地下水、土壤环境质量</w:t>
            </w:r>
          </w:p>
          <w:p w14:paraId="72E246F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rPr>
            </w:pPr>
            <w:r>
              <w:rPr>
                <w:rFonts w:hint="default" w:ascii="Times New Roman" w:hAnsi="Times New Roman" w:eastAsia="宋体" w:cs="Times New Roman"/>
                <w:b w:val="0"/>
                <w:bCs w:val="0"/>
                <w:kern w:val="0"/>
                <w:sz w:val="24"/>
                <w:szCs w:val="24"/>
                <w:lang w:val="en-US"/>
              </w:rPr>
              <w:t>依据《建设项目环境影响报告表编制技术指南</w:t>
            </w:r>
            <w:r>
              <w:rPr>
                <w:rFonts w:hint="eastAsia"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rPr>
              <w:t>污染影响类</w:t>
            </w:r>
            <w:r>
              <w:rPr>
                <w:rFonts w:hint="eastAsia"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rPr>
              <w:t>试行</w:t>
            </w:r>
            <w:r>
              <w:rPr>
                <w:rFonts w:hint="eastAsia" w:cs="Times New Roman"/>
                <w:b w:val="0"/>
                <w:bCs w:val="0"/>
                <w:kern w:val="0"/>
                <w:sz w:val="24"/>
                <w:szCs w:val="24"/>
                <w:lang w:val="en-US" w:eastAsia="zh-CN"/>
              </w:rPr>
              <w:t>）</w:t>
            </w:r>
            <w:r>
              <w:rPr>
                <w:rFonts w:hint="default" w:ascii="Times New Roman" w:hAnsi="Times New Roman" w:eastAsia="宋体" w:cs="Times New Roman"/>
                <w:b w:val="0"/>
                <w:bCs w:val="0"/>
                <w:kern w:val="0"/>
                <w:sz w:val="24"/>
                <w:szCs w:val="24"/>
                <w:lang w:val="en-US"/>
              </w:rPr>
              <w:t>》原则上不开展环境质量现状调查。建设项目存在土壤、地下水环境污染途径的应结合污染源、保护目标分布情况开展现状调查以留作背景值。项目</w:t>
            </w:r>
            <w:r>
              <w:rPr>
                <w:rFonts w:hint="eastAsia"/>
                <w:color w:val="auto"/>
                <w:sz w:val="24"/>
                <w:szCs w:val="24"/>
                <w:highlight w:val="none"/>
                <w:lang w:val="en-US" w:eastAsia="zh-CN"/>
              </w:rPr>
              <w:t>场界</w:t>
            </w:r>
            <w:r>
              <w:rPr>
                <w:rFonts w:hint="default" w:ascii="Times New Roman" w:hAnsi="Times New Roman" w:eastAsia="宋体" w:cs="Times New Roman"/>
                <w:b w:val="0"/>
                <w:bCs w:val="0"/>
                <w:kern w:val="0"/>
                <w:sz w:val="24"/>
                <w:szCs w:val="24"/>
                <w:lang w:val="en-US"/>
              </w:rPr>
              <w:t>外500米范围内无地下水集中式饮用水水源和热水、矿泉水、温泉等特殊地下水资源。医废</w:t>
            </w:r>
            <w:r>
              <w:rPr>
                <w:rFonts w:hint="eastAsia" w:cs="Times New Roman"/>
                <w:b w:val="0"/>
                <w:bCs w:val="0"/>
                <w:kern w:val="0"/>
                <w:sz w:val="24"/>
                <w:szCs w:val="24"/>
                <w:lang w:val="en-US" w:eastAsia="zh-CN"/>
              </w:rPr>
              <w:t>点和消毒设施按</w:t>
            </w:r>
            <w:r>
              <w:rPr>
                <w:rFonts w:hint="default" w:ascii="Times New Roman" w:hAnsi="Times New Roman" w:eastAsia="宋体" w:cs="Times New Roman"/>
                <w:b w:val="0"/>
                <w:bCs w:val="0"/>
                <w:kern w:val="0"/>
                <w:sz w:val="24"/>
                <w:szCs w:val="24"/>
                <w:lang w:val="en-US"/>
              </w:rPr>
              <w:t>要求采取措施</w:t>
            </w:r>
            <w:r>
              <w:rPr>
                <w:rFonts w:hint="eastAsia" w:cs="Times New Roman"/>
                <w:b w:val="0"/>
                <w:bCs w:val="0"/>
                <w:kern w:val="0"/>
                <w:sz w:val="24"/>
                <w:szCs w:val="24"/>
                <w:highlight w:val="none"/>
                <w:lang w:val="en-US" w:eastAsia="zh-CN"/>
              </w:rPr>
              <w:t>，</w:t>
            </w:r>
            <w:r>
              <w:rPr>
                <w:rFonts w:hint="default" w:ascii="Times New Roman" w:hAnsi="Times New Roman" w:eastAsia="宋体" w:cs="Times New Roman"/>
                <w:b w:val="0"/>
                <w:bCs w:val="0"/>
                <w:kern w:val="0"/>
                <w:sz w:val="24"/>
                <w:szCs w:val="24"/>
                <w:lang w:val="en-US"/>
              </w:rPr>
              <w:t>不存在土壤、地下水环境污染途径。故无需开展地下水、土壤调查。</w:t>
            </w:r>
          </w:p>
          <w:p w14:paraId="2196EB8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b/>
                <w:bCs/>
                <w:kern w:val="0"/>
                <w:sz w:val="24"/>
                <w:szCs w:val="24"/>
              </w:rPr>
            </w:pPr>
            <w:r>
              <w:rPr>
                <w:rFonts w:hint="eastAsia"/>
                <w:b/>
                <w:bCs/>
                <w:kern w:val="0"/>
                <w:sz w:val="24"/>
                <w:szCs w:val="24"/>
              </w:rPr>
              <w:t>3</w:t>
            </w:r>
            <w:r>
              <w:rPr>
                <w:b/>
                <w:bCs/>
                <w:kern w:val="0"/>
                <w:sz w:val="24"/>
                <w:szCs w:val="24"/>
              </w:rPr>
              <w:t>.1.6</w:t>
            </w:r>
            <w:r>
              <w:rPr>
                <w:rFonts w:hint="eastAsia"/>
                <w:b/>
                <w:bCs/>
                <w:kern w:val="0"/>
                <w:sz w:val="24"/>
                <w:szCs w:val="24"/>
              </w:rPr>
              <w:t>、电磁辐射</w:t>
            </w:r>
          </w:p>
          <w:p w14:paraId="5E082F9D">
            <w:pPr>
              <w:pStyle w:val="4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val="0"/>
                <w:kern w:val="0"/>
                <w:sz w:val="24"/>
                <w:szCs w:val="24"/>
                <w:lang w:val="en-US" w:eastAsia="zh-CN"/>
              </w:rPr>
            </w:pPr>
            <w:r>
              <w:rPr>
                <w:rFonts w:hint="default" w:ascii="Times New Roman" w:hAnsi="Times New Roman" w:eastAsia="宋体" w:cs="Times New Roman"/>
                <w:lang w:val="en-US" w:eastAsia="zh-CN"/>
              </w:rPr>
              <w:t>本项目</w:t>
            </w:r>
            <w:r>
              <w:rPr>
                <w:rFonts w:hint="eastAsia" w:ascii="Times New Roman" w:eastAsia="宋体" w:cs="Times New Roman"/>
                <w:lang w:val="en-US" w:eastAsia="zh-CN"/>
              </w:rPr>
              <w:t>DR</w:t>
            </w:r>
            <w:r>
              <w:rPr>
                <w:rFonts w:hint="default" w:ascii="Times New Roman" w:hAnsi="Times New Roman" w:eastAsia="宋体" w:cs="Times New Roman"/>
                <w:lang w:val="en-US" w:eastAsia="zh-CN"/>
              </w:rPr>
              <w:t>室配备1台DR机，属于</w:t>
            </w:r>
            <w:r>
              <w:rPr>
                <w:rFonts w:hint="eastAsia" w:ascii="Times New Roman" w:eastAsia="宋体" w:cs="Times New Roman"/>
                <w:lang w:val="en-US" w:eastAsia="zh-CN"/>
              </w:rPr>
              <w:t>Ⅲ类</w:t>
            </w:r>
            <w:r>
              <w:rPr>
                <w:rFonts w:hint="default" w:ascii="Times New Roman" w:hAnsi="Times New Roman" w:eastAsia="宋体" w:cs="Times New Roman"/>
                <w:lang w:val="en-US" w:eastAsia="zh-CN"/>
              </w:rPr>
              <w:t>射线装置，已取得辐射安全许可证，证书编号为渝环辐证[</w:t>
            </w:r>
            <w:r>
              <w:rPr>
                <w:rFonts w:hint="eastAsia" w:ascii="Times New Roman" w:eastAsia="宋体" w:cs="Times New Roman"/>
                <w:lang w:val="en-US" w:eastAsia="zh-CN"/>
              </w:rPr>
              <w:t>24078</w:t>
            </w:r>
            <w:r>
              <w:rPr>
                <w:rFonts w:hint="default" w:ascii="Times New Roman" w:hAnsi="Times New Roman" w:eastAsia="宋体" w:cs="Times New Roman"/>
                <w:lang w:val="en-US" w:eastAsia="zh-CN"/>
              </w:rPr>
              <w:t>]，已取得建设项目环境影响登记表。本次环评不包含辐射相关评价内容。</w:t>
            </w:r>
          </w:p>
        </w:tc>
      </w:tr>
      <w:tr w14:paraId="0B783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1" w:hRule="atLeast"/>
          <w:jc w:val="center"/>
        </w:trPr>
        <w:tc>
          <w:tcPr>
            <w:tcW w:w="426" w:type="dxa"/>
            <w:noWrap w:val="0"/>
            <w:vAlign w:val="center"/>
          </w:tcPr>
          <w:p w14:paraId="5F91E5B1">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48E924B1">
            <w:pPr>
              <w:adjustRightInd w:val="0"/>
              <w:snapToGrid w:val="0"/>
              <w:jc w:val="center"/>
              <w:rPr>
                <w:rFonts w:hint="eastAsia" w:ascii="宋体" w:hAnsi="宋体" w:cs="宋体"/>
                <w:kern w:val="0"/>
                <w:szCs w:val="21"/>
              </w:rPr>
            </w:pPr>
            <w:r>
              <w:rPr>
                <w:rFonts w:hint="eastAsia" w:ascii="宋体" w:hAnsi="宋体" w:cs="宋体"/>
                <w:kern w:val="0"/>
                <w:szCs w:val="21"/>
              </w:rPr>
              <w:t>保护</w:t>
            </w:r>
          </w:p>
          <w:p w14:paraId="35CDF1D3">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600" w:type="dxa"/>
            <w:noWrap w:val="0"/>
            <w:vAlign w:val="center"/>
          </w:tcPr>
          <w:p w14:paraId="5F62A62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3.2 环境保护目标</w:t>
            </w:r>
          </w:p>
          <w:p w14:paraId="476A174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3.2.1 周边环境关系</w:t>
            </w:r>
          </w:p>
          <w:p w14:paraId="167B7D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项目位于</w:t>
            </w:r>
            <w:r>
              <w:rPr>
                <w:rFonts w:hint="eastAsia" w:cs="Times New Roman"/>
                <w:color w:val="000000" w:themeColor="text1"/>
                <w:sz w:val="24"/>
                <w:szCs w:val="24"/>
                <w:lang w:val="en-US" w:eastAsia="zh-CN"/>
                <w14:textFill>
                  <w14:solidFill>
                    <w14:schemeClr w14:val="tx1"/>
                  </w14:solidFill>
                </w14:textFill>
              </w:rPr>
              <w:t>重庆市璧山区璧泉街道东林大道67号4幢附37号</w:t>
            </w:r>
            <w:r>
              <w:rPr>
                <w:rFonts w:hint="default" w:ascii="Times New Roman" w:hAnsi="Times New Roman" w:cs="Times New Roman"/>
                <w:b w:val="0"/>
                <w:bCs w:val="0"/>
                <w:kern w:val="0"/>
                <w:sz w:val="24"/>
                <w:szCs w:val="24"/>
              </w:rPr>
              <w:t>，该栋楼为</w:t>
            </w:r>
            <w:r>
              <w:rPr>
                <w:rFonts w:hint="eastAsia" w:cs="Times New Roman"/>
                <w:b w:val="0"/>
                <w:bCs w:val="0"/>
                <w:kern w:val="0"/>
                <w:sz w:val="24"/>
                <w:szCs w:val="24"/>
                <w:lang w:eastAsia="zh-CN"/>
              </w:rPr>
              <w:t>商业裙楼</w:t>
            </w:r>
            <w:r>
              <w:rPr>
                <w:rFonts w:hint="default" w:ascii="Times New Roman" w:hAnsi="Times New Roman" w:cs="Times New Roman"/>
                <w:b w:val="0"/>
                <w:bCs w:val="0"/>
                <w:kern w:val="0"/>
                <w:sz w:val="24"/>
                <w:szCs w:val="24"/>
              </w:rPr>
              <w:t>。项目外环境关系情况见表 3.2-1。</w:t>
            </w:r>
          </w:p>
          <w:p w14:paraId="46D2A0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0"/>
                <w:sz w:val="24"/>
                <w:szCs w:val="24"/>
                <w:vertAlign w:val="baseline"/>
                <w:lang w:val="en-US" w:eastAsia="zh-CN"/>
              </w:rPr>
            </w:pPr>
            <w:r>
              <w:rPr>
                <w:rFonts w:hint="eastAsia" w:ascii="Times New Roman" w:hAnsi="Times New Roman" w:cs="Times New Roman"/>
                <w:b w:val="0"/>
                <w:bCs w:val="0"/>
                <w:kern w:val="0"/>
                <w:sz w:val="24"/>
                <w:szCs w:val="24"/>
                <w:lang w:val="en-US" w:eastAsia="zh-CN"/>
              </w:rPr>
              <w:t>表3.2-1项目外环境关系一览表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827"/>
              <w:gridCol w:w="1419"/>
              <w:gridCol w:w="1629"/>
              <w:gridCol w:w="1629"/>
            </w:tblGrid>
            <w:tr w14:paraId="19088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vAlign w:val="center"/>
                </w:tcPr>
                <w:p w14:paraId="774BC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序号</w:t>
                  </w:r>
                </w:p>
              </w:tc>
              <w:tc>
                <w:tcPr>
                  <w:tcW w:w="1692" w:type="pct"/>
                  <w:tcBorders>
                    <w:tl2br w:val="nil"/>
                    <w:tr2bl w:val="nil"/>
                  </w:tcBorders>
                  <w:vAlign w:val="center"/>
                </w:tcPr>
                <w:p w14:paraId="654758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名称</w:t>
                  </w:r>
                </w:p>
              </w:tc>
              <w:tc>
                <w:tcPr>
                  <w:tcW w:w="849" w:type="pct"/>
                  <w:tcBorders>
                    <w:tl2br w:val="nil"/>
                    <w:tr2bl w:val="nil"/>
                  </w:tcBorders>
                  <w:vAlign w:val="center"/>
                </w:tcPr>
                <w:p w14:paraId="7F2BB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方位</w:t>
                  </w:r>
                </w:p>
              </w:tc>
              <w:tc>
                <w:tcPr>
                  <w:tcW w:w="975" w:type="pct"/>
                  <w:tcBorders>
                    <w:tl2br w:val="nil"/>
                    <w:tr2bl w:val="nil"/>
                  </w:tcBorders>
                  <w:vAlign w:val="center"/>
                </w:tcPr>
                <w:p w14:paraId="6D9E8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最近距离</w:t>
                  </w:r>
                </w:p>
              </w:tc>
              <w:tc>
                <w:tcPr>
                  <w:tcW w:w="975" w:type="pct"/>
                  <w:tcBorders>
                    <w:tl2br w:val="nil"/>
                    <w:tr2bl w:val="nil"/>
                  </w:tcBorders>
                  <w:vAlign w:val="center"/>
                </w:tcPr>
                <w:p w14:paraId="1B254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备注</w:t>
                  </w:r>
                </w:p>
              </w:tc>
            </w:tr>
            <w:tr w14:paraId="0B2E4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vAlign w:val="center"/>
                </w:tcPr>
                <w:p w14:paraId="048367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w:t>
                  </w:r>
                </w:p>
              </w:tc>
              <w:tc>
                <w:tcPr>
                  <w:tcW w:w="1692" w:type="pct"/>
                  <w:tcBorders>
                    <w:tl2br w:val="nil"/>
                    <w:tr2bl w:val="nil"/>
                  </w:tcBorders>
                  <w:vAlign w:val="center"/>
                </w:tcPr>
                <w:p w14:paraId="7F4B6A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连天红养生汤</w:t>
                  </w:r>
                </w:p>
              </w:tc>
              <w:tc>
                <w:tcPr>
                  <w:tcW w:w="849" w:type="pct"/>
                  <w:tcBorders>
                    <w:tl2br w:val="nil"/>
                    <w:tr2bl w:val="nil"/>
                  </w:tcBorders>
                  <w:vAlign w:val="center"/>
                </w:tcPr>
                <w:p w14:paraId="5C58A1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西侧</w:t>
                  </w:r>
                </w:p>
              </w:tc>
              <w:tc>
                <w:tcPr>
                  <w:tcW w:w="975" w:type="pct"/>
                  <w:tcBorders>
                    <w:tl2br w:val="nil"/>
                    <w:tr2bl w:val="nil"/>
                  </w:tcBorders>
                  <w:vAlign w:val="center"/>
                </w:tcPr>
                <w:p w14:paraId="6B423E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紧邻</w:t>
                  </w:r>
                </w:p>
              </w:tc>
              <w:tc>
                <w:tcPr>
                  <w:tcW w:w="975" w:type="pct"/>
                  <w:tcBorders>
                    <w:tl2br w:val="nil"/>
                    <w:tr2bl w:val="nil"/>
                  </w:tcBorders>
                  <w:vAlign w:val="center"/>
                </w:tcPr>
                <w:p w14:paraId="522571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1F、2F</w:t>
                  </w:r>
                </w:p>
              </w:tc>
            </w:tr>
            <w:tr w14:paraId="02A34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shd w:val="clear" w:color="auto" w:fill="auto"/>
                  <w:vAlign w:val="center"/>
                </w:tcPr>
                <w:p w14:paraId="5B1600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2</w:t>
                  </w:r>
                </w:p>
              </w:tc>
              <w:tc>
                <w:tcPr>
                  <w:tcW w:w="1692" w:type="pct"/>
                  <w:tcBorders>
                    <w:tl2br w:val="nil"/>
                    <w:tr2bl w:val="nil"/>
                  </w:tcBorders>
                  <w:vAlign w:val="center"/>
                </w:tcPr>
                <w:p w14:paraId="33E60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凝山路</w:t>
                  </w:r>
                </w:p>
              </w:tc>
              <w:tc>
                <w:tcPr>
                  <w:tcW w:w="849" w:type="pct"/>
                  <w:tcBorders>
                    <w:tl2br w:val="nil"/>
                    <w:tr2bl w:val="nil"/>
                  </w:tcBorders>
                  <w:vAlign w:val="center"/>
                </w:tcPr>
                <w:p w14:paraId="4BD95A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北侧</w:t>
                  </w:r>
                </w:p>
              </w:tc>
              <w:tc>
                <w:tcPr>
                  <w:tcW w:w="975" w:type="pct"/>
                  <w:tcBorders>
                    <w:tl2br w:val="nil"/>
                    <w:tr2bl w:val="nil"/>
                  </w:tcBorders>
                  <w:vAlign w:val="center"/>
                </w:tcPr>
                <w:p w14:paraId="023481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20m</w:t>
                  </w:r>
                </w:p>
              </w:tc>
              <w:tc>
                <w:tcPr>
                  <w:tcW w:w="975" w:type="pct"/>
                  <w:tcBorders>
                    <w:tl2br w:val="nil"/>
                    <w:tr2bl w:val="nil"/>
                  </w:tcBorders>
                  <w:vAlign w:val="center"/>
                </w:tcPr>
                <w:p w14:paraId="36023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城市次干道</w:t>
                  </w:r>
                </w:p>
              </w:tc>
            </w:tr>
            <w:tr w14:paraId="4C79F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shd w:val="clear" w:color="auto" w:fill="auto"/>
                  <w:vAlign w:val="center"/>
                </w:tcPr>
                <w:p w14:paraId="2AB24D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3</w:t>
                  </w:r>
                </w:p>
              </w:tc>
              <w:tc>
                <w:tcPr>
                  <w:tcW w:w="1692" w:type="pct"/>
                  <w:tcBorders>
                    <w:tl2br w:val="nil"/>
                    <w:tr2bl w:val="nil"/>
                  </w:tcBorders>
                  <w:vAlign w:val="center"/>
                </w:tcPr>
                <w:p w14:paraId="12162A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莱山路</w:t>
                  </w:r>
                </w:p>
              </w:tc>
              <w:tc>
                <w:tcPr>
                  <w:tcW w:w="849" w:type="pct"/>
                  <w:tcBorders>
                    <w:tl2br w:val="nil"/>
                    <w:tr2bl w:val="nil"/>
                  </w:tcBorders>
                  <w:vAlign w:val="center"/>
                </w:tcPr>
                <w:p w14:paraId="6B5FA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东侧</w:t>
                  </w:r>
                </w:p>
              </w:tc>
              <w:tc>
                <w:tcPr>
                  <w:tcW w:w="975" w:type="pct"/>
                  <w:tcBorders>
                    <w:tl2br w:val="nil"/>
                    <w:tr2bl w:val="nil"/>
                  </w:tcBorders>
                  <w:vAlign w:val="center"/>
                </w:tcPr>
                <w:p w14:paraId="521843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15m</w:t>
                  </w:r>
                </w:p>
              </w:tc>
              <w:tc>
                <w:tcPr>
                  <w:tcW w:w="975" w:type="pct"/>
                  <w:tcBorders>
                    <w:tl2br w:val="nil"/>
                    <w:tr2bl w:val="nil"/>
                  </w:tcBorders>
                  <w:vAlign w:val="center"/>
                </w:tcPr>
                <w:p w14:paraId="74D7FA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城市次干道</w:t>
                  </w:r>
                </w:p>
              </w:tc>
            </w:tr>
            <w:tr w14:paraId="5DF74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shd w:val="clear" w:color="auto" w:fill="auto"/>
                  <w:vAlign w:val="center"/>
                </w:tcPr>
                <w:p w14:paraId="39FBD5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4</w:t>
                  </w:r>
                </w:p>
              </w:tc>
              <w:tc>
                <w:tcPr>
                  <w:tcW w:w="1692" w:type="pct"/>
                  <w:tcBorders>
                    <w:tl2br w:val="nil"/>
                    <w:tr2bl w:val="nil"/>
                  </w:tcBorders>
                  <w:vAlign w:val="center"/>
                </w:tcPr>
                <w:p w14:paraId="7190C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恒大绿岛新城B区</w:t>
                  </w:r>
                </w:p>
              </w:tc>
              <w:tc>
                <w:tcPr>
                  <w:tcW w:w="849" w:type="pct"/>
                  <w:tcBorders>
                    <w:tl2br w:val="nil"/>
                    <w:tr2bl w:val="nil"/>
                  </w:tcBorders>
                  <w:vAlign w:val="center"/>
                </w:tcPr>
                <w:p w14:paraId="55DB61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西南</w:t>
                  </w:r>
                </w:p>
              </w:tc>
              <w:tc>
                <w:tcPr>
                  <w:tcW w:w="975" w:type="pct"/>
                  <w:tcBorders>
                    <w:tl2br w:val="nil"/>
                    <w:tr2bl w:val="nil"/>
                  </w:tcBorders>
                  <w:vAlign w:val="center"/>
                </w:tcPr>
                <w:p w14:paraId="67C198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5m</w:t>
                  </w:r>
                </w:p>
              </w:tc>
              <w:tc>
                <w:tcPr>
                  <w:tcW w:w="975" w:type="pct"/>
                  <w:tcBorders>
                    <w:tl2br w:val="nil"/>
                    <w:tr2bl w:val="nil"/>
                  </w:tcBorders>
                  <w:vAlign w:val="center"/>
                </w:tcPr>
                <w:p w14:paraId="7070DD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居民住宅区</w:t>
                  </w:r>
                </w:p>
              </w:tc>
            </w:tr>
            <w:tr w14:paraId="505ACC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shd w:val="clear" w:color="auto" w:fill="auto"/>
                  <w:vAlign w:val="center"/>
                </w:tcPr>
                <w:p w14:paraId="32BC89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5</w:t>
                  </w:r>
                </w:p>
              </w:tc>
              <w:tc>
                <w:tcPr>
                  <w:tcW w:w="1692" w:type="pct"/>
                  <w:tcBorders>
                    <w:tl2br w:val="nil"/>
                    <w:tr2bl w:val="nil"/>
                  </w:tcBorders>
                  <w:vAlign w:val="center"/>
                </w:tcPr>
                <w:p w14:paraId="5E37B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锦春绿岛新区</w:t>
                  </w:r>
                </w:p>
              </w:tc>
              <w:tc>
                <w:tcPr>
                  <w:tcW w:w="849" w:type="pct"/>
                  <w:tcBorders>
                    <w:tl2br w:val="nil"/>
                    <w:tr2bl w:val="nil"/>
                  </w:tcBorders>
                  <w:vAlign w:val="center"/>
                </w:tcPr>
                <w:p w14:paraId="48A561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w:t>
                  </w:r>
                </w:p>
              </w:tc>
              <w:tc>
                <w:tcPr>
                  <w:tcW w:w="975" w:type="pct"/>
                  <w:tcBorders>
                    <w:tl2br w:val="nil"/>
                    <w:tr2bl w:val="nil"/>
                  </w:tcBorders>
                  <w:vAlign w:val="center"/>
                </w:tcPr>
                <w:p w14:paraId="4EFDA7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40m</w:t>
                  </w:r>
                </w:p>
              </w:tc>
              <w:tc>
                <w:tcPr>
                  <w:tcW w:w="975" w:type="pct"/>
                  <w:tcBorders>
                    <w:tl2br w:val="nil"/>
                    <w:tr2bl w:val="nil"/>
                  </w:tcBorders>
                  <w:vAlign w:val="center"/>
                </w:tcPr>
                <w:p w14:paraId="1A26D8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居民住宅区</w:t>
                  </w:r>
                </w:p>
              </w:tc>
            </w:tr>
            <w:tr w14:paraId="728C1C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7" w:type="pct"/>
                  <w:tcBorders>
                    <w:tl2br w:val="nil"/>
                    <w:tr2bl w:val="nil"/>
                  </w:tcBorders>
                  <w:shd w:val="clear" w:color="auto" w:fill="auto"/>
                  <w:vAlign w:val="center"/>
                </w:tcPr>
                <w:p w14:paraId="6BC468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6</w:t>
                  </w:r>
                </w:p>
              </w:tc>
              <w:tc>
                <w:tcPr>
                  <w:tcW w:w="1692" w:type="pct"/>
                  <w:tcBorders>
                    <w:tl2br w:val="nil"/>
                    <w:tr2bl w:val="nil"/>
                  </w:tcBorders>
                  <w:vAlign w:val="center"/>
                </w:tcPr>
                <w:p w14:paraId="3A5F62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恒大绿岛新城G区</w:t>
                  </w:r>
                </w:p>
              </w:tc>
              <w:tc>
                <w:tcPr>
                  <w:tcW w:w="849" w:type="pct"/>
                  <w:tcBorders>
                    <w:tl2br w:val="nil"/>
                    <w:tr2bl w:val="nil"/>
                  </w:tcBorders>
                  <w:shd w:val="clear" w:color="auto" w:fill="auto"/>
                  <w:vAlign w:val="center"/>
                </w:tcPr>
                <w:p w14:paraId="60A94C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北</w:t>
                  </w:r>
                </w:p>
              </w:tc>
              <w:tc>
                <w:tcPr>
                  <w:tcW w:w="975" w:type="pct"/>
                  <w:tcBorders>
                    <w:tl2br w:val="nil"/>
                    <w:tr2bl w:val="nil"/>
                  </w:tcBorders>
                  <w:shd w:val="clear" w:color="auto" w:fill="auto"/>
                  <w:vAlign w:val="center"/>
                </w:tcPr>
                <w:p w14:paraId="4050B2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50m</w:t>
                  </w:r>
                </w:p>
              </w:tc>
              <w:tc>
                <w:tcPr>
                  <w:tcW w:w="975" w:type="pct"/>
                  <w:tcBorders>
                    <w:tl2br w:val="nil"/>
                    <w:tr2bl w:val="nil"/>
                  </w:tcBorders>
                  <w:shd w:val="clear" w:color="auto" w:fill="auto"/>
                  <w:vAlign w:val="center"/>
                </w:tcPr>
                <w:p w14:paraId="6911A8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居民住宅区</w:t>
                  </w:r>
                </w:p>
              </w:tc>
            </w:tr>
          </w:tbl>
          <w:p w14:paraId="4B570FA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kern w:val="0"/>
                <w:sz w:val="24"/>
                <w:szCs w:val="24"/>
                <w:lang w:val="en-US" w:eastAsia="zh-CN"/>
              </w:rPr>
            </w:pPr>
            <w:r>
              <w:rPr>
                <w:rFonts w:hint="default" w:ascii="Times New Roman" w:hAnsi="Times New Roman" w:cs="Times New Roman"/>
                <w:b/>
                <w:bCs/>
                <w:kern w:val="0"/>
                <w:sz w:val="24"/>
                <w:szCs w:val="24"/>
              </w:rPr>
              <w:t>3.2.</w:t>
            </w:r>
            <w:r>
              <w:rPr>
                <w:rFonts w:hint="eastAsia" w:cs="Times New Roman"/>
                <w:b/>
                <w:bCs/>
                <w:kern w:val="0"/>
                <w:sz w:val="24"/>
                <w:szCs w:val="24"/>
                <w:lang w:val="en-US" w:eastAsia="zh-CN"/>
              </w:rPr>
              <w:t>2</w:t>
            </w:r>
            <w:r>
              <w:rPr>
                <w:rFonts w:hint="default" w:ascii="Times New Roman" w:hAnsi="Times New Roman" w:cs="Times New Roman"/>
                <w:b/>
                <w:bCs/>
                <w:kern w:val="0"/>
                <w:sz w:val="24"/>
                <w:szCs w:val="24"/>
              </w:rPr>
              <w:t xml:space="preserve"> </w:t>
            </w:r>
            <w:r>
              <w:rPr>
                <w:rFonts w:hint="eastAsia" w:cs="Times New Roman"/>
                <w:b/>
                <w:bCs/>
                <w:kern w:val="0"/>
                <w:sz w:val="24"/>
                <w:szCs w:val="24"/>
                <w:lang w:val="en-US" w:eastAsia="zh-CN"/>
              </w:rPr>
              <w:t>环境保护目标</w:t>
            </w:r>
          </w:p>
          <w:p w14:paraId="057584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（1）</w:t>
            </w:r>
            <w:r>
              <w:rPr>
                <w:rFonts w:hint="eastAsia" w:ascii="Times New Roman" w:hAnsi="Times New Roman" w:eastAsia="宋体" w:cs="Times New Roman"/>
                <w:b w:val="0"/>
                <w:bCs w:val="0"/>
                <w:kern w:val="0"/>
                <w:sz w:val="24"/>
                <w:szCs w:val="24"/>
                <w:lang w:val="en-US" w:eastAsia="zh-CN"/>
              </w:rPr>
              <w:t>大气环境保护目标</w:t>
            </w:r>
            <w:r>
              <w:rPr>
                <w:rFonts w:hint="eastAsia" w:cs="Times New Roman"/>
                <w:b w:val="0"/>
                <w:bCs w:val="0"/>
                <w:kern w:val="0"/>
                <w:sz w:val="24"/>
                <w:szCs w:val="24"/>
                <w:lang w:val="en-US" w:eastAsia="zh-CN"/>
              </w:rPr>
              <w:t>和声环境保护目标</w:t>
            </w:r>
          </w:p>
          <w:p w14:paraId="409C36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根据现场调查，项目</w:t>
            </w:r>
            <w:r>
              <w:rPr>
                <w:rFonts w:hint="eastAsia"/>
                <w:color w:val="auto"/>
                <w:sz w:val="24"/>
                <w:szCs w:val="24"/>
                <w:highlight w:val="none"/>
                <w:lang w:val="en-US" w:eastAsia="zh-CN"/>
              </w:rPr>
              <w:t>场界</w:t>
            </w:r>
            <w:r>
              <w:rPr>
                <w:rFonts w:hint="eastAsia" w:ascii="Times New Roman" w:hAnsi="Times New Roman" w:eastAsia="宋体" w:cs="Times New Roman"/>
                <w:b w:val="0"/>
                <w:bCs w:val="0"/>
                <w:kern w:val="0"/>
                <w:sz w:val="24"/>
                <w:szCs w:val="24"/>
                <w:lang w:val="en-US" w:eastAsia="zh-CN"/>
              </w:rPr>
              <w:t>外500m范围内，无自然保护区、风景名胜区等大气保护目标。主要环境保护目标为居住区、学校、医院等。项目大气环境保护目标一览表详见表3.2-2。</w:t>
            </w:r>
          </w:p>
          <w:p w14:paraId="08C79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kern w:val="0"/>
                <w:sz w:val="24"/>
                <w:szCs w:val="24"/>
                <w:vertAlign w:val="baseline"/>
                <w:lang w:val="en-US" w:eastAsia="zh-CN"/>
              </w:rPr>
            </w:pPr>
            <w:r>
              <w:rPr>
                <w:rFonts w:hint="eastAsia" w:ascii="Times New Roman" w:hAnsi="Times New Roman" w:eastAsia="宋体" w:cs="Times New Roman"/>
                <w:b w:val="0"/>
                <w:bCs w:val="0"/>
                <w:kern w:val="0"/>
                <w:sz w:val="24"/>
                <w:szCs w:val="24"/>
                <w:lang w:val="en-US" w:eastAsia="zh-CN"/>
              </w:rPr>
              <w:t>表3.2-2 项目大气环境保护目标一览表</w:t>
            </w:r>
          </w:p>
          <w:tbl>
            <w:tblPr>
              <w:tblStyle w:val="2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502"/>
              <w:gridCol w:w="1045"/>
              <w:gridCol w:w="1045"/>
              <w:gridCol w:w="1045"/>
              <w:gridCol w:w="1045"/>
              <w:gridCol w:w="1045"/>
              <w:gridCol w:w="1045"/>
            </w:tblGrid>
            <w:tr w14:paraId="51926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tcBorders>
                    <w:tl2br w:val="nil"/>
                    <w:tr2bl w:val="nil"/>
                  </w:tcBorders>
                  <w:vAlign w:val="center"/>
                </w:tcPr>
                <w:p w14:paraId="26646A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序号</w:t>
                  </w:r>
                </w:p>
              </w:tc>
              <w:tc>
                <w:tcPr>
                  <w:tcW w:w="898" w:type="pct"/>
                  <w:vMerge w:val="restart"/>
                  <w:tcBorders>
                    <w:tl2br w:val="nil"/>
                    <w:tr2bl w:val="nil"/>
                  </w:tcBorders>
                  <w:vAlign w:val="center"/>
                </w:tcPr>
                <w:p w14:paraId="5D3D1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名称</w:t>
                  </w:r>
                </w:p>
              </w:tc>
              <w:tc>
                <w:tcPr>
                  <w:tcW w:w="1250" w:type="pct"/>
                  <w:gridSpan w:val="2"/>
                  <w:tcBorders>
                    <w:tl2br w:val="nil"/>
                    <w:tr2bl w:val="nil"/>
                  </w:tcBorders>
                  <w:vAlign w:val="center"/>
                </w:tcPr>
                <w:p w14:paraId="322A36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坐标/m</w:t>
                  </w:r>
                </w:p>
              </w:tc>
              <w:tc>
                <w:tcPr>
                  <w:tcW w:w="625" w:type="pct"/>
                  <w:vMerge w:val="restart"/>
                  <w:tcBorders>
                    <w:tl2br w:val="nil"/>
                    <w:tr2bl w:val="nil"/>
                  </w:tcBorders>
                  <w:vAlign w:val="center"/>
                </w:tcPr>
                <w:p w14:paraId="03FE5B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环境功能区</w:t>
                  </w:r>
                </w:p>
              </w:tc>
              <w:tc>
                <w:tcPr>
                  <w:tcW w:w="625" w:type="pct"/>
                  <w:vMerge w:val="restart"/>
                  <w:tcBorders>
                    <w:tl2br w:val="nil"/>
                    <w:tr2bl w:val="nil"/>
                  </w:tcBorders>
                  <w:vAlign w:val="center"/>
                </w:tcPr>
                <w:p w14:paraId="5BF67F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相对厂址方位</w:t>
                  </w:r>
                </w:p>
              </w:tc>
              <w:tc>
                <w:tcPr>
                  <w:tcW w:w="625" w:type="pct"/>
                  <w:vMerge w:val="restart"/>
                  <w:tcBorders>
                    <w:tl2br w:val="nil"/>
                    <w:tr2bl w:val="nil"/>
                  </w:tcBorders>
                  <w:vAlign w:val="center"/>
                </w:tcPr>
                <w:p w14:paraId="3B62C0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相对</w:t>
                  </w:r>
                  <w:r>
                    <w:rPr>
                      <w:rFonts w:hint="eastAsia"/>
                      <w:color w:val="auto"/>
                      <w:sz w:val="21"/>
                      <w:szCs w:val="21"/>
                      <w:highlight w:val="none"/>
                      <w:lang w:val="en-US" w:eastAsia="zh-CN"/>
                    </w:rPr>
                    <w:t>场界</w:t>
                  </w:r>
                  <w:r>
                    <w:rPr>
                      <w:rFonts w:hint="eastAsia" w:ascii="Times New Roman" w:hAnsi="Times New Roman" w:cs="Times New Roman"/>
                      <w:b w:val="0"/>
                      <w:bCs w:val="0"/>
                      <w:kern w:val="0"/>
                      <w:sz w:val="21"/>
                      <w:szCs w:val="21"/>
                      <w:vertAlign w:val="baseline"/>
                      <w:lang w:val="en-US" w:eastAsia="zh-CN"/>
                    </w:rPr>
                    <w:t>距离</w:t>
                  </w:r>
                  <w:r>
                    <w:rPr>
                      <w:rFonts w:hint="eastAsia" w:cs="Times New Roman"/>
                      <w:b w:val="0"/>
                      <w:bCs w:val="0"/>
                      <w:kern w:val="0"/>
                      <w:sz w:val="21"/>
                      <w:szCs w:val="21"/>
                      <w:vertAlign w:val="baseline"/>
                      <w:lang w:val="en-US" w:eastAsia="zh-CN"/>
                    </w:rPr>
                    <w:t>/m</w:t>
                  </w:r>
                </w:p>
              </w:tc>
              <w:tc>
                <w:tcPr>
                  <w:tcW w:w="625" w:type="pct"/>
                  <w:vMerge w:val="restart"/>
                  <w:tcBorders>
                    <w:tl2br w:val="nil"/>
                    <w:tr2bl w:val="nil"/>
                  </w:tcBorders>
                  <w:vAlign w:val="center"/>
                </w:tcPr>
                <w:p w14:paraId="13CC1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保护内容</w:t>
                  </w:r>
                </w:p>
              </w:tc>
            </w:tr>
            <w:tr w14:paraId="63055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14:paraId="120B95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898" w:type="pct"/>
                  <w:vMerge w:val="continue"/>
                  <w:tcBorders>
                    <w:tl2br w:val="nil"/>
                    <w:tr2bl w:val="nil"/>
                  </w:tcBorders>
                  <w:vAlign w:val="center"/>
                </w:tcPr>
                <w:p w14:paraId="7D0A5A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625" w:type="pct"/>
                  <w:tcBorders>
                    <w:tl2br w:val="nil"/>
                    <w:tr2bl w:val="nil"/>
                  </w:tcBorders>
                  <w:vAlign w:val="center"/>
                </w:tcPr>
                <w:p w14:paraId="3611F3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X</w:t>
                  </w:r>
                </w:p>
              </w:tc>
              <w:tc>
                <w:tcPr>
                  <w:tcW w:w="625" w:type="pct"/>
                  <w:tcBorders>
                    <w:tl2br w:val="nil"/>
                    <w:tr2bl w:val="nil"/>
                  </w:tcBorders>
                  <w:vAlign w:val="center"/>
                </w:tcPr>
                <w:p w14:paraId="20D09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Y</w:t>
                  </w:r>
                </w:p>
              </w:tc>
              <w:tc>
                <w:tcPr>
                  <w:tcW w:w="625" w:type="pct"/>
                  <w:vMerge w:val="continue"/>
                  <w:tcBorders>
                    <w:tl2br w:val="nil"/>
                    <w:tr2bl w:val="nil"/>
                  </w:tcBorders>
                  <w:vAlign w:val="center"/>
                </w:tcPr>
                <w:p w14:paraId="2A5B2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625" w:type="pct"/>
                  <w:vMerge w:val="continue"/>
                  <w:tcBorders>
                    <w:tl2br w:val="nil"/>
                    <w:tr2bl w:val="nil"/>
                  </w:tcBorders>
                  <w:vAlign w:val="center"/>
                </w:tcPr>
                <w:p w14:paraId="59D723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625" w:type="pct"/>
                  <w:vMerge w:val="continue"/>
                  <w:tcBorders>
                    <w:tl2br w:val="nil"/>
                    <w:tr2bl w:val="nil"/>
                  </w:tcBorders>
                  <w:vAlign w:val="center"/>
                </w:tcPr>
                <w:p w14:paraId="689DB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625" w:type="pct"/>
                  <w:vMerge w:val="continue"/>
                  <w:tcBorders>
                    <w:tl2br w:val="nil"/>
                    <w:tr2bl w:val="nil"/>
                  </w:tcBorders>
                  <w:vAlign w:val="center"/>
                </w:tcPr>
                <w:p w14:paraId="625A8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r>
            <w:tr w14:paraId="6F82B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24B10C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w:t>
                  </w:r>
                </w:p>
              </w:tc>
              <w:tc>
                <w:tcPr>
                  <w:tcW w:w="898" w:type="pct"/>
                  <w:tcBorders>
                    <w:tl2br w:val="nil"/>
                    <w:tr2bl w:val="nil"/>
                  </w:tcBorders>
                  <w:vAlign w:val="center"/>
                </w:tcPr>
                <w:p w14:paraId="1A3935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恒大绿岛新城B区</w:t>
                  </w:r>
                </w:p>
              </w:tc>
              <w:tc>
                <w:tcPr>
                  <w:tcW w:w="625" w:type="pct"/>
                  <w:tcBorders>
                    <w:tl2br w:val="nil"/>
                    <w:tr2bl w:val="nil"/>
                  </w:tcBorders>
                  <w:shd w:val="clear" w:color="auto" w:fill="auto"/>
                  <w:vAlign w:val="center"/>
                </w:tcPr>
                <w:p w14:paraId="436A39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-5</w:t>
                  </w:r>
                </w:p>
              </w:tc>
              <w:tc>
                <w:tcPr>
                  <w:tcW w:w="625" w:type="pct"/>
                  <w:tcBorders>
                    <w:tl2br w:val="nil"/>
                    <w:tr2bl w:val="nil"/>
                  </w:tcBorders>
                  <w:shd w:val="clear" w:color="auto" w:fill="auto"/>
                  <w:vAlign w:val="center"/>
                </w:tcPr>
                <w:p w14:paraId="08854A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-5</w:t>
                  </w:r>
                </w:p>
              </w:tc>
              <w:tc>
                <w:tcPr>
                  <w:tcW w:w="625" w:type="pct"/>
                  <w:vMerge w:val="restart"/>
                  <w:tcBorders>
                    <w:tl2br w:val="nil"/>
                    <w:tr2bl w:val="nil"/>
                  </w:tcBorders>
                  <w:vAlign w:val="center"/>
                </w:tcPr>
                <w:p w14:paraId="2A4097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大气环境功能二类区</w:t>
                  </w:r>
                </w:p>
              </w:tc>
              <w:tc>
                <w:tcPr>
                  <w:tcW w:w="625" w:type="pct"/>
                  <w:tcBorders>
                    <w:tl2br w:val="nil"/>
                    <w:tr2bl w:val="nil"/>
                  </w:tcBorders>
                  <w:vAlign w:val="center"/>
                </w:tcPr>
                <w:p w14:paraId="439BC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西南</w:t>
                  </w:r>
                </w:p>
              </w:tc>
              <w:tc>
                <w:tcPr>
                  <w:tcW w:w="625" w:type="pct"/>
                  <w:tcBorders>
                    <w:tl2br w:val="nil"/>
                    <w:tr2bl w:val="nil"/>
                  </w:tcBorders>
                  <w:vAlign w:val="center"/>
                </w:tcPr>
                <w:p w14:paraId="0BEC9F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w:t>
                  </w:r>
                </w:p>
              </w:tc>
              <w:tc>
                <w:tcPr>
                  <w:tcW w:w="625" w:type="pct"/>
                  <w:tcBorders>
                    <w:tl2br w:val="nil"/>
                    <w:tr2bl w:val="nil"/>
                  </w:tcBorders>
                  <w:vAlign w:val="center"/>
                </w:tcPr>
                <w:p w14:paraId="6FF68F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1336户，约4100人</w:t>
                  </w:r>
                </w:p>
              </w:tc>
            </w:tr>
            <w:tr w14:paraId="22D90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71B55C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w:t>
                  </w:r>
                </w:p>
              </w:tc>
              <w:tc>
                <w:tcPr>
                  <w:tcW w:w="898" w:type="pct"/>
                  <w:tcBorders>
                    <w:tl2br w:val="nil"/>
                    <w:tr2bl w:val="nil"/>
                  </w:tcBorders>
                  <w:vAlign w:val="center"/>
                </w:tcPr>
                <w:p w14:paraId="06C6E4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恒大绿岛新城C区</w:t>
                  </w:r>
                </w:p>
              </w:tc>
              <w:tc>
                <w:tcPr>
                  <w:tcW w:w="625" w:type="pct"/>
                  <w:tcBorders>
                    <w:tl2br w:val="nil"/>
                    <w:tr2bl w:val="nil"/>
                  </w:tcBorders>
                  <w:vAlign w:val="center"/>
                </w:tcPr>
                <w:p w14:paraId="657AB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-63</w:t>
                  </w:r>
                </w:p>
              </w:tc>
              <w:tc>
                <w:tcPr>
                  <w:tcW w:w="625" w:type="pct"/>
                  <w:tcBorders>
                    <w:tl2br w:val="nil"/>
                    <w:tr2bl w:val="nil"/>
                  </w:tcBorders>
                  <w:vAlign w:val="center"/>
                </w:tcPr>
                <w:p w14:paraId="61D336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52</w:t>
                  </w:r>
                </w:p>
              </w:tc>
              <w:tc>
                <w:tcPr>
                  <w:tcW w:w="625" w:type="pct"/>
                  <w:vMerge w:val="continue"/>
                  <w:tcBorders>
                    <w:tl2br w:val="nil"/>
                    <w:tr2bl w:val="nil"/>
                  </w:tcBorders>
                  <w:vAlign w:val="center"/>
                </w:tcPr>
                <w:p w14:paraId="4CCBFE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5D540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西北</w:t>
                  </w:r>
                </w:p>
              </w:tc>
              <w:tc>
                <w:tcPr>
                  <w:tcW w:w="625" w:type="pct"/>
                  <w:tcBorders>
                    <w:tl2br w:val="nil"/>
                    <w:tr2bl w:val="nil"/>
                  </w:tcBorders>
                  <w:vAlign w:val="center"/>
                </w:tcPr>
                <w:p w14:paraId="5DAC1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90</w:t>
                  </w:r>
                </w:p>
              </w:tc>
              <w:tc>
                <w:tcPr>
                  <w:tcW w:w="625" w:type="pct"/>
                  <w:tcBorders>
                    <w:tl2br w:val="nil"/>
                    <w:tr2bl w:val="nil"/>
                  </w:tcBorders>
                  <w:vAlign w:val="center"/>
                </w:tcPr>
                <w:p w14:paraId="6394C2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782户，约2400人</w:t>
                  </w:r>
                </w:p>
              </w:tc>
            </w:tr>
            <w:tr w14:paraId="13B0D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348" w:type="pct"/>
                  <w:tcBorders>
                    <w:tl2br w:val="nil"/>
                    <w:tr2bl w:val="nil"/>
                  </w:tcBorders>
                  <w:vAlign w:val="center"/>
                </w:tcPr>
                <w:p w14:paraId="259974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w:t>
                  </w:r>
                </w:p>
              </w:tc>
              <w:tc>
                <w:tcPr>
                  <w:tcW w:w="898" w:type="pct"/>
                  <w:tcBorders>
                    <w:tl2br w:val="nil"/>
                    <w:tr2bl w:val="nil"/>
                  </w:tcBorders>
                  <w:shd w:val="clear" w:color="auto" w:fill="auto"/>
                  <w:vAlign w:val="center"/>
                </w:tcPr>
                <w:p w14:paraId="422B9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锦春绿岛新区</w:t>
                  </w:r>
                </w:p>
              </w:tc>
              <w:tc>
                <w:tcPr>
                  <w:tcW w:w="625" w:type="pct"/>
                  <w:tcBorders>
                    <w:tl2br w:val="nil"/>
                    <w:tr2bl w:val="nil"/>
                  </w:tcBorders>
                  <w:shd w:val="clear" w:color="auto" w:fill="auto"/>
                  <w:vAlign w:val="center"/>
                </w:tcPr>
                <w:p w14:paraId="59BA9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40</w:t>
                  </w:r>
                </w:p>
              </w:tc>
              <w:tc>
                <w:tcPr>
                  <w:tcW w:w="625" w:type="pct"/>
                  <w:tcBorders>
                    <w:tl2br w:val="nil"/>
                    <w:tr2bl w:val="nil"/>
                  </w:tcBorders>
                  <w:shd w:val="clear" w:color="auto" w:fill="auto"/>
                  <w:vAlign w:val="center"/>
                </w:tcPr>
                <w:p w14:paraId="67D39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0</w:t>
                  </w:r>
                </w:p>
              </w:tc>
              <w:tc>
                <w:tcPr>
                  <w:tcW w:w="625" w:type="pct"/>
                  <w:vMerge w:val="continue"/>
                  <w:tcBorders>
                    <w:tl2br w:val="nil"/>
                    <w:tr2bl w:val="nil"/>
                  </w:tcBorders>
                  <w:shd w:val="clear" w:color="auto" w:fill="auto"/>
                  <w:vAlign w:val="center"/>
                </w:tcPr>
                <w:p w14:paraId="519B6A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0578A5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东</w:t>
                  </w:r>
                </w:p>
              </w:tc>
              <w:tc>
                <w:tcPr>
                  <w:tcW w:w="625" w:type="pct"/>
                  <w:tcBorders>
                    <w:tl2br w:val="nil"/>
                    <w:tr2bl w:val="nil"/>
                  </w:tcBorders>
                  <w:shd w:val="clear" w:color="auto" w:fill="auto"/>
                  <w:vAlign w:val="center"/>
                </w:tcPr>
                <w:p w14:paraId="01A7E2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40</w:t>
                  </w:r>
                </w:p>
              </w:tc>
              <w:tc>
                <w:tcPr>
                  <w:tcW w:w="625" w:type="pct"/>
                  <w:tcBorders>
                    <w:tl2br w:val="nil"/>
                    <w:tr2bl w:val="nil"/>
                  </w:tcBorders>
                  <w:shd w:val="clear" w:color="auto" w:fill="auto"/>
                  <w:vAlign w:val="center"/>
                </w:tcPr>
                <w:p w14:paraId="5B4A4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834户，约3400人</w:t>
                  </w:r>
                </w:p>
              </w:tc>
            </w:tr>
            <w:tr w14:paraId="71BB0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093B1A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w:t>
                  </w:r>
                </w:p>
              </w:tc>
              <w:tc>
                <w:tcPr>
                  <w:tcW w:w="898" w:type="pct"/>
                  <w:tcBorders>
                    <w:tl2br w:val="nil"/>
                    <w:tr2bl w:val="nil"/>
                  </w:tcBorders>
                  <w:vAlign w:val="center"/>
                </w:tcPr>
                <w:p w14:paraId="23B039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冀东家园</w:t>
                  </w:r>
                </w:p>
              </w:tc>
              <w:tc>
                <w:tcPr>
                  <w:tcW w:w="625" w:type="pct"/>
                  <w:tcBorders>
                    <w:tl2br w:val="nil"/>
                    <w:tr2bl w:val="nil"/>
                  </w:tcBorders>
                  <w:vAlign w:val="center"/>
                </w:tcPr>
                <w:p w14:paraId="6CBE4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58</w:t>
                  </w:r>
                </w:p>
              </w:tc>
              <w:tc>
                <w:tcPr>
                  <w:tcW w:w="625" w:type="pct"/>
                  <w:tcBorders>
                    <w:tl2br w:val="nil"/>
                    <w:tr2bl w:val="nil"/>
                  </w:tcBorders>
                  <w:vAlign w:val="center"/>
                </w:tcPr>
                <w:p w14:paraId="40DCA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44</w:t>
                  </w:r>
                </w:p>
              </w:tc>
              <w:tc>
                <w:tcPr>
                  <w:tcW w:w="625" w:type="pct"/>
                  <w:vMerge w:val="continue"/>
                  <w:tcBorders>
                    <w:tl2br w:val="nil"/>
                    <w:tr2bl w:val="nil"/>
                  </w:tcBorders>
                  <w:vAlign w:val="center"/>
                </w:tcPr>
                <w:p w14:paraId="5E3DD9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2285C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东北</w:t>
                  </w:r>
                </w:p>
              </w:tc>
              <w:tc>
                <w:tcPr>
                  <w:tcW w:w="625" w:type="pct"/>
                  <w:tcBorders>
                    <w:tl2br w:val="nil"/>
                    <w:tr2bl w:val="nil"/>
                  </w:tcBorders>
                  <w:vAlign w:val="center"/>
                </w:tcPr>
                <w:p w14:paraId="5EBA3E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70</w:t>
                  </w:r>
                </w:p>
              </w:tc>
              <w:tc>
                <w:tcPr>
                  <w:tcW w:w="625" w:type="pct"/>
                  <w:tcBorders>
                    <w:tl2br w:val="nil"/>
                    <w:tr2bl w:val="nil"/>
                  </w:tcBorders>
                  <w:vAlign w:val="center"/>
                </w:tcPr>
                <w:p w14:paraId="697A6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248户，约800人</w:t>
                  </w:r>
                </w:p>
              </w:tc>
            </w:tr>
            <w:tr w14:paraId="5B167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55DCA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w:t>
                  </w:r>
                </w:p>
              </w:tc>
              <w:tc>
                <w:tcPr>
                  <w:tcW w:w="898" w:type="pct"/>
                  <w:tcBorders>
                    <w:tl2br w:val="nil"/>
                    <w:tr2bl w:val="nil"/>
                  </w:tcBorders>
                  <w:vAlign w:val="center"/>
                </w:tcPr>
                <w:p w14:paraId="534181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中冶黛山壹品</w:t>
                  </w:r>
                </w:p>
              </w:tc>
              <w:tc>
                <w:tcPr>
                  <w:tcW w:w="625" w:type="pct"/>
                  <w:tcBorders>
                    <w:tl2br w:val="nil"/>
                    <w:tr2bl w:val="nil"/>
                  </w:tcBorders>
                  <w:vAlign w:val="center"/>
                </w:tcPr>
                <w:p w14:paraId="128021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56</w:t>
                  </w:r>
                </w:p>
              </w:tc>
              <w:tc>
                <w:tcPr>
                  <w:tcW w:w="625" w:type="pct"/>
                  <w:tcBorders>
                    <w:tl2br w:val="nil"/>
                    <w:tr2bl w:val="nil"/>
                  </w:tcBorders>
                  <w:vAlign w:val="center"/>
                </w:tcPr>
                <w:p w14:paraId="4CF603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140</w:t>
                  </w:r>
                </w:p>
              </w:tc>
              <w:tc>
                <w:tcPr>
                  <w:tcW w:w="625" w:type="pct"/>
                  <w:vMerge w:val="continue"/>
                  <w:tcBorders>
                    <w:tl2br w:val="nil"/>
                    <w:tr2bl w:val="nil"/>
                  </w:tcBorders>
                  <w:vAlign w:val="center"/>
                </w:tcPr>
                <w:p w14:paraId="7A2D00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392166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东北</w:t>
                  </w:r>
                </w:p>
              </w:tc>
              <w:tc>
                <w:tcPr>
                  <w:tcW w:w="625" w:type="pct"/>
                  <w:tcBorders>
                    <w:tl2br w:val="nil"/>
                    <w:tr2bl w:val="nil"/>
                  </w:tcBorders>
                  <w:vAlign w:val="center"/>
                </w:tcPr>
                <w:p w14:paraId="2200E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150</w:t>
                  </w:r>
                </w:p>
              </w:tc>
              <w:tc>
                <w:tcPr>
                  <w:tcW w:w="625" w:type="pct"/>
                  <w:tcBorders>
                    <w:tl2br w:val="nil"/>
                    <w:tr2bl w:val="nil"/>
                  </w:tcBorders>
                  <w:vAlign w:val="center"/>
                </w:tcPr>
                <w:p w14:paraId="3640CD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1500户，约4600人</w:t>
                  </w:r>
                </w:p>
              </w:tc>
            </w:tr>
            <w:tr w14:paraId="05DBD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 w:type="pct"/>
                  <w:tcBorders>
                    <w:tl2br w:val="nil"/>
                    <w:tr2bl w:val="nil"/>
                  </w:tcBorders>
                  <w:vAlign w:val="center"/>
                </w:tcPr>
                <w:p w14:paraId="032371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w:t>
                  </w:r>
                </w:p>
              </w:tc>
              <w:tc>
                <w:tcPr>
                  <w:tcW w:w="898" w:type="pct"/>
                  <w:tcBorders>
                    <w:tl2br w:val="nil"/>
                    <w:tr2bl w:val="nil"/>
                  </w:tcBorders>
                  <w:vAlign w:val="center"/>
                </w:tcPr>
                <w:p w14:paraId="5012D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恒大绿岛新城G区</w:t>
                  </w:r>
                </w:p>
              </w:tc>
              <w:tc>
                <w:tcPr>
                  <w:tcW w:w="625" w:type="pct"/>
                  <w:tcBorders>
                    <w:tl2br w:val="nil"/>
                    <w:tr2bl w:val="nil"/>
                  </w:tcBorders>
                  <w:vAlign w:val="center"/>
                </w:tcPr>
                <w:p w14:paraId="673399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tcBorders>
                    <w:tl2br w:val="nil"/>
                    <w:tr2bl w:val="nil"/>
                  </w:tcBorders>
                  <w:vAlign w:val="center"/>
                </w:tcPr>
                <w:p w14:paraId="14F7DE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w:t>
                  </w:r>
                </w:p>
              </w:tc>
              <w:tc>
                <w:tcPr>
                  <w:tcW w:w="625" w:type="pct"/>
                  <w:vMerge w:val="continue"/>
                  <w:tcBorders>
                    <w:tl2br w:val="nil"/>
                    <w:tr2bl w:val="nil"/>
                  </w:tcBorders>
                  <w:vAlign w:val="center"/>
                </w:tcPr>
                <w:p w14:paraId="535C5B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0E2225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北</w:t>
                  </w:r>
                </w:p>
              </w:tc>
              <w:tc>
                <w:tcPr>
                  <w:tcW w:w="625" w:type="pct"/>
                  <w:tcBorders>
                    <w:tl2br w:val="nil"/>
                    <w:tr2bl w:val="nil"/>
                  </w:tcBorders>
                  <w:vAlign w:val="center"/>
                </w:tcPr>
                <w:p w14:paraId="20998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w:t>
                  </w:r>
                </w:p>
              </w:tc>
              <w:tc>
                <w:tcPr>
                  <w:tcW w:w="625" w:type="pct"/>
                  <w:tcBorders>
                    <w:tl2br w:val="nil"/>
                    <w:tr2bl w:val="nil"/>
                  </w:tcBorders>
                  <w:vAlign w:val="center"/>
                </w:tcPr>
                <w:p w14:paraId="31E96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1179户，约3600人</w:t>
                  </w:r>
                </w:p>
              </w:tc>
            </w:tr>
            <w:tr w14:paraId="58078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01D76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w:t>
                  </w:r>
                </w:p>
              </w:tc>
              <w:tc>
                <w:tcPr>
                  <w:tcW w:w="898" w:type="pct"/>
                  <w:tcBorders>
                    <w:tl2br w:val="nil"/>
                    <w:tr2bl w:val="nil"/>
                  </w:tcBorders>
                  <w:vAlign w:val="center"/>
                </w:tcPr>
                <w:p w14:paraId="487F85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天润绿岛康城</w:t>
                  </w:r>
                </w:p>
              </w:tc>
              <w:tc>
                <w:tcPr>
                  <w:tcW w:w="625" w:type="pct"/>
                  <w:tcBorders>
                    <w:tl2br w:val="nil"/>
                    <w:tr2bl w:val="nil"/>
                  </w:tcBorders>
                  <w:vAlign w:val="center"/>
                </w:tcPr>
                <w:p w14:paraId="6D168B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w:t>
                  </w:r>
                </w:p>
              </w:tc>
              <w:tc>
                <w:tcPr>
                  <w:tcW w:w="625" w:type="pct"/>
                  <w:tcBorders>
                    <w:tl2br w:val="nil"/>
                    <w:tr2bl w:val="nil"/>
                  </w:tcBorders>
                  <w:vAlign w:val="center"/>
                </w:tcPr>
                <w:p w14:paraId="15188B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216</w:t>
                  </w:r>
                </w:p>
              </w:tc>
              <w:tc>
                <w:tcPr>
                  <w:tcW w:w="625" w:type="pct"/>
                  <w:vMerge w:val="continue"/>
                  <w:tcBorders>
                    <w:tl2br w:val="nil"/>
                    <w:tr2bl w:val="nil"/>
                  </w:tcBorders>
                  <w:vAlign w:val="center"/>
                </w:tcPr>
                <w:p w14:paraId="317CCE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4B896F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西北</w:t>
                  </w:r>
                </w:p>
              </w:tc>
              <w:tc>
                <w:tcPr>
                  <w:tcW w:w="625" w:type="pct"/>
                  <w:tcBorders>
                    <w:tl2br w:val="nil"/>
                    <w:tr2bl w:val="nil"/>
                  </w:tcBorders>
                  <w:vAlign w:val="center"/>
                </w:tcPr>
                <w:p w14:paraId="5C498B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235</w:t>
                  </w:r>
                </w:p>
              </w:tc>
              <w:tc>
                <w:tcPr>
                  <w:tcW w:w="625" w:type="pct"/>
                  <w:tcBorders>
                    <w:tl2br w:val="nil"/>
                    <w:tr2bl w:val="nil"/>
                  </w:tcBorders>
                  <w:vAlign w:val="center"/>
                </w:tcPr>
                <w:p w14:paraId="2659A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410户，约1300人</w:t>
                  </w:r>
                </w:p>
              </w:tc>
            </w:tr>
            <w:tr w14:paraId="36A2E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2A1F52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w:t>
                  </w:r>
                </w:p>
              </w:tc>
              <w:tc>
                <w:tcPr>
                  <w:tcW w:w="898" w:type="pct"/>
                  <w:tcBorders>
                    <w:tl2br w:val="nil"/>
                    <w:tr2bl w:val="nil"/>
                  </w:tcBorders>
                  <w:vAlign w:val="center"/>
                </w:tcPr>
                <w:p w14:paraId="52F33A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恒大绿岛新城A区</w:t>
                  </w:r>
                </w:p>
              </w:tc>
              <w:tc>
                <w:tcPr>
                  <w:tcW w:w="625" w:type="pct"/>
                  <w:tcBorders>
                    <w:tl2br w:val="nil"/>
                    <w:tr2bl w:val="nil"/>
                  </w:tcBorders>
                  <w:vAlign w:val="center"/>
                </w:tcPr>
                <w:p w14:paraId="52EFBE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tcBorders>
                    <w:tl2br w:val="nil"/>
                    <w:tr2bl w:val="nil"/>
                  </w:tcBorders>
                  <w:vAlign w:val="center"/>
                </w:tcPr>
                <w:p w14:paraId="7BD902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-170</w:t>
                  </w:r>
                </w:p>
              </w:tc>
              <w:tc>
                <w:tcPr>
                  <w:tcW w:w="625" w:type="pct"/>
                  <w:vMerge w:val="continue"/>
                  <w:tcBorders>
                    <w:tl2br w:val="nil"/>
                    <w:tr2bl w:val="nil"/>
                  </w:tcBorders>
                  <w:vAlign w:val="center"/>
                </w:tcPr>
                <w:p w14:paraId="2CA1B6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1FBE70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南</w:t>
                  </w:r>
                </w:p>
              </w:tc>
              <w:tc>
                <w:tcPr>
                  <w:tcW w:w="625" w:type="pct"/>
                  <w:tcBorders>
                    <w:tl2br w:val="nil"/>
                    <w:tr2bl w:val="nil"/>
                  </w:tcBorders>
                  <w:vAlign w:val="center"/>
                </w:tcPr>
                <w:p w14:paraId="4D477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170</w:t>
                  </w:r>
                </w:p>
              </w:tc>
              <w:tc>
                <w:tcPr>
                  <w:tcW w:w="625" w:type="pct"/>
                  <w:tcBorders>
                    <w:tl2br w:val="nil"/>
                    <w:tr2bl w:val="nil"/>
                  </w:tcBorders>
                  <w:vAlign w:val="center"/>
                </w:tcPr>
                <w:p w14:paraId="721E61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874户，约2700人</w:t>
                  </w:r>
                </w:p>
              </w:tc>
            </w:tr>
            <w:tr w14:paraId="11D4D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6945D4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9</w:t>
                  </w:r>
                </w:p>
              </w:tc>
              <w:tc>
                <w:tcPr>
                  <w:tcW w:w="898" w:type="pct"/>
                  <w:tcBorders>
                    <w:tl2br w:val="nil"/>
                    <w:tr2bl w:val="nil"/>
                  </w:tcBorders>
                  <w:vAlign w:val="center"/>
                </w:tcPr>
                <w:p w14:paraId="3B4EEC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璧山区妇幼保健院</w:t>
                  </w:r>
                </w:p>
              </w:tc>
              <w:tc>
                <w:tcPr>
                  <w:tcW w:w="625" w:type="pct"/>
                  <w:tcBorders>
                    <w:tl2br w:val="nil"/>
                    <w:tr2bl w:val="nil"/>
                  </w:tcBorders>
                  <w:vAlign w:val="center"/>
                </w:tcPr>
                <w:p w14:paraId="2492B6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73</w:t>
                  </w:r>
                </w:p>
              </w:tc>
              <w:tc>
                <w:tcPr>
                  <w:tcW w:w="625" w:type="pct"/>
                  <w:tcBorders>
                    <w:tl2br w:val="nil"/>
                    <w:tr2bl w:val="nil"/>
                  </w:tcBorders>
                  <w:vAlign w:val="center"/>
                </w:tcPr>
                <w:p w14:paraId="162BA8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-190</w:t>
                  </w:r>
                </w:p>
              </w:tc>
              <w:tc>
                <w:tcPr>
                  <w:tcW w:w="625" w:type="pct"/>
                  <w:vMerge w:val="continue"/>
                  <w:tcBorders>
                    <w:tl2br w:val="nil"/>
                    <w:tr2bl w:val="nil"/>
                  </w:tcBorders>
                  <w:vAlign w:val="center"/>
                </w:tcPr>
                <w:p w14:paraId="3E774A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1F3DD5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东南</w:t>
                  </w:r>
                </w:p>
              </w:tc>
              <w:tc>
                <w:tcPr>
                  <w:tcW w:w="625" w:type="pct"/>
                  <w:tcBorders>
                    <w:tl2br w:val="nil"/>
                    <w:tr2bl w:val="nil"/>
                  </w:tcBorders>
                  <w:vAlign w:val="center"/>
                </w:tcPr>
                <w:p w14:paraId="42B424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200</w:t>
                  </w:r>
                </w:p>
              </w:tc>
              <w:tc>
                <w:tcPr>
                  <w:tcW w:w="625" w:type="pct"/>
                  <w:tcBorders>
                    <w:tl2br w:val="nil"/>
                    <w:tr2bl w:val="nil"/>
                  </w:tcBorders>
                  <w:vAlign w:val="center"/>
                </w:tcPr>
                <w:p w14:paraId="6FCB5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床位300张，约1500人</w:t>
                  </w:r>
                </w:p>
              </w:tc>
            </w:tr>
            <w:tr w14:paraId="6DC3E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747E5D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w:t>
                  </w:r>
                </w:p>
              </w:tc>
              <w:tc>
                <w:tcPr>
                  <w:tcW w:w="898" w:type="pct"/>
                  <w:tcBorders>
                    <w:tl2br w:val="nil"/>
                    <w:tr2bl w:val="nil"/>
                  </w:tcBorders>
                  <w:vAlign w:val="center"/>
                </w:tcPr>
                <w:p w14:paraId="279843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俊豪中央大街</w:t>
                  </w:r>
                </w:p>
              </w:tc>
              <w:tc>
                <w:tcPr>
                  <w:tcW w:w="625" w:type="pct"/>
                  <w:tcBorders>
                    <w:tl2br w:val="nil"/>
                    <w:tr2bl w:val="nil"/>
                  </w:tcBorders>
                  <w:vAlign w:val="center"/>
                </w:tcPr>
                <w:p w14:paraId="19EFED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243</w:t>
                  </w:r>
                </w:p>
              </w:tc>
              <w:tc>
                <w:tcPr>
                  <w:tcW w:w="625" w:type="pct"/>
                  <w:tcBorders>
                    <w:tl2br w:val="nil"/>
                    <w:tr2bl w:val="nil"/>
                  </w:tcBorders>
                  <w:vAlign w:val="center"/>
                </w:tcPr>
                <w:p w14:paraId="26E16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45</w:t>
                  </w:r>
                </w:p>
              </w:tc>
              <w:tc>
                <w:tcPr>
                  <w:tcW w:w="625" w:type="pct"/>
                  <w:vMerge w:val="continue"/>
                  <w:tcBorders>
                    <w:tl2br w:val="nil"/>
                    <w:tr2bl w:val="nil"/>
                  </w:tcBorders>
                  <w:vAlign w:val="center"/>
                </w:tcPr>
                <w:p w14:paraId="69D5D1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69F87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东北</w:t>
                  </w:r>
                </w:p>
              </w:tc>
              <w:tc>
                <w:tcPr>
                  <w:tcW w:w="625" w:type="pct"/>
                  <w:tcBorders>
                    <w:tl2br w:val="nil"/>
                    <w:tr2bl w:val="nil"/>
                  </w:tcBorders>
                  <w:vAlign w:val="center"/>
                </w:tcPr>
                <w:p w14:paraId="6718EF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250</w:t>
                  </w:r>
                </w:p>
              </w:tc>
              <w:tc>
                <w:tcPr>
                  <w:tcW w:w="625" w:type="pct"/>
                  <w:tcBorders>
                    <w:tl2br w:val="nil"/>
                    <w:tr2bl w:val="nil"/>
                  </w:tcBorders>
                  <w:vAlign w:val="center"/>
                </w:tcPr>
                <w:p w14:paraId="5908D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1947户，约5900人</w:t>
                  </w:r>
                </w:p>
              </w:tc>
            </w:tr>
            <w:tr w14:paraId="240E4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550DD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11</w:t>
                  </w:r>
                </w:p>
              </w:tc>
              <w:tc>
                <w:tcPr>
                  <w:tcW w:w="898" w:type="pct"/>
                  <w:tcBorders>
                    <w:tl2br w:val="nil"/>
                    <w:tr2bl w:val="nil"/>
                  </w:tcBorders>
                  <w:vAlign w:val="center"/>
                </w:tcPr>
                <w:p w14:paraId="7DB728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璧南河</w:t>
                  </w:r>
                </w:p>
              </w:tc>
              <w:tc>
                <w:tcPr>
                  <w:tcW w:w="625" w:type="pct"/>
                  <w:tcBorders>
                    <w:tl2br w:val="nil"/>
                    <w:tr2bl w:val="nil"/>
                  </w:tcBorders>
                  <w:vAlign w:val="center"/>
                </w:tcPr>
                <w:p w14:paraId="03B063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382</w:t>
                  </w:r>
                </w:p>
              </w:tc>
              <w:tc>
                <w:tcPr>
                  <w:tcW w:w="625" w:type="pct"/>
                  <w:tcBorders>
                    <w:tl2br w:val="nil"/>
                    <w:tr2bl w:val="nil"/>
                  </w:tcBorders>
                  <w:vAlign w:val="center"/>
                </w:tcPr>
                <w:p w14:paraId="22B74D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vMerge w:val="continue"/>
                  <w:tcBorders>
                    <w:tl2br w:val="nil"/>
                    <w:tr2bl w:val="nil"/>
                  </w:tcBorders>
                  <w:vAlign w:val="center"/>
                </w:tcPr>
                <w:p w14:paraId="7476F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119B2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w:t>
                  </w:r>
                </w:p>
              </w:tc>
              <w:tc>
                <w:tcPr>
                  <w:tcW w:w="625" w:type="pct"/>
                  <w:tcBorders>
                    <w:tl2br w:val="nil"/>
                    <w:tr2bl w:val="nil"/>
                  </w:tcBorders>
                  <w:vAlign w:val="center"/>
                </w:tcPr>
                <w:p w14:paraId="7A3167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382</w:t>
                  </w:r>
                </w:p>
              </w:tc>
              <w:tc>
                <w:tcPr>
                  <w:tcW w:w="625" w:type="pct"/>
                  <w:tcBorders>
                    <w:tl2br w:val="nil"/>
                    <w:tr2bl w:val="nil"/>
                  </w:tcBorders>
                  <w:vAlign w:val="center"/>
                </w:tcPr>
                <w:p w14:paraId="14926E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水体</w:t>
                  </w:r>
                </w:p>
              </w:tc>
            </w:tr>
            <w:tr w14:paraId="656D6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348" w:type="pct"/>
                  <w:tcBorders>
                    <w:tl2br w:val="nil"/>
                    <w:tr2bl w:val="nil"/>
                  </w:tcBorders>
                  <w:vAlign w:val="center"/>
                </w:tcPr>
                <w:p w14:paraId="25BA7A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12</w:t>
                  </w:r>
                </w:p>
              </w:tc>
              <w:tc>
                <w:tcPr>
                  <w:tcW w:w="898" w:type="pct"/>
                  <w:tcBorders>
                    <w:tl2br w:val="nil"/>
                    <w:tr2bl w:val="nil"/>
                  </w:tcBorders>
                  <w:vAlign w:val="center"/>
                </w:tcPr>
                <w:p w14:paraId="51A904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绿岛新区鑫港湾</w:t>
                  </w:r>
                </w:p>
              </w:tc>
              <w:tc>
                <w:tcPr>
                  <w:tcW w:w="625" w:type="pct"/>
                  <w:tcBorders>
                    <w:tl2br w:val="nil"/>
                    <w:tr2bl w:val="nil"/>
                  </w:tcBorders>
                  <w:vAlign w:val="center"/>
                </w:tcPr>
                <w:p w14:paraId="4B1EF4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225</w:t>
                  </w:r>
                </w:p>
              </w:tc>
              <w:tc>
                <w:tcPr>
                  <w:tcW w:w="625" w:type="pct"/>
                  <w:tcBorders>
                    <w:tl2br w:val="nil"/>
                    <w:tr2bl w:val="nil"/>
                  </w:tcBorders>
                  <w:vAlign w:val="center"/>
                </w:tcPr>
                <w:p w14:paraId="20D70B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vMerge w:val="continue"/>
                  <w:tcBorders>
                    <w:tl2br w:val="nil"/>
                    <w:tr2bl w:val="nil"/>
                  </w:tcBorders>
                  <w:vAlign w:val="center"/>
                </w:tcPr>
                <w:p w14:paraId="2D08A4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16668D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w:t>
                  </w:r>
                </w:p>
              </w:tc>
              <w:tc>
                <w:tcPr>
                  <w:tcW w:w="625" w:type="pct"/>
                  <w:tcBorders>
                    <w:tl2br w:val="nil"/>
                    <w:tr2bl w:val="nil"/>
                  </w:tcBorders>
                  <w:vAlign w:val="center"/>
                </w:tcPr>
                <w:p w14:paraId="604C9C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225</w:t>
                  </w:r>
                </w:p>
              </w:tc>
              <w:tc>
                <w:tcPr>
                  <w:tcW w:w="625" w:type="pct"/>
                  <w:tcBorders>
                    <w:tl2br w:val="nil"/>
                    <w:tr2bl w:val="nil"/>
                  </w:tcBorders>
                  <w:vAlign w:val="center"/>
                </w:tcPr>
                <w:p w14:paraId="26F812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790户，约2400人</w:t>
                  </w:r>
                </w:p>
              </w:tc>
            </w:tr>
            <w:tr w14:paraId="7B57E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1DA9D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13</w:t>
                  </w:r>
                </w:p>
              </w:tc>
              <w:tc>
                <w:tcPr>
                  <w:tcW w:w="898" w:type="pct"/>
                  <w:tcBorders>
                    <w:tl2br w:val="nil"/>
                    <w:tr2bl w:val="nil"/>
                  </w:tcBorders>
                  <w:vAlign w:val="center"/>
                </w:tcPr>
                <w:p w14:paraId="27902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绿岛国际</w:t>
                  </w:r>
                </w:p>
              </w:tc>
              <w:tc>
                <w:tcPr>
                  <w:tcW w:w="625" w:type="pct"/>
                  <w:tcBorders>
                    <w:tl2br w:val="nil"/>
                    <w:tr2bl w:val="nil"/>
                  </w:tcBorders>
                  <w:vAlign w:val="center"/>
                </w:tcPr>
                <w:p w14:paraId="79E0D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255</w:t>
                  </w:r>
                </w:p>
              </w:tc>
              <w:tc>
                <w:tcPr>
                  <w:tcW w:w="625" w:type="pct"/>
                  <w:tcBorders>
                    <w:tl2br w:val="nil"/>
                    <w:tr2bl w:val="nil"/>
                  </w:tcBorders>
                  <w:vAlign w:val="center"/>
                </w:tcPr>
                <w:p w14:paraId="6575DF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-158</w:t>
                  </w:r>
                </w:p>
              </w:tc>
              <w:tc>
                <w:tcPr>
                  <w:tcW w:w="625" w:type="pct"/>
                  <w:vMerge w:val="continue"/>
                  <w:tcBorders>
                    <w:tl2br w:val="nil"/>
                    <w:tr2bl w:val="nil"/>
                  </w:tcBorders>
                  <w:vAlign w:val="center"/>
                </w:tcPr>
                <w:p w14:paraId="02A69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1B7B36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东南</w:t>
                  </w:r>
                </w:p>
              </w:tc>
              <w:tc>
                <w:tcPr>
                  <w:tcW w:w="625" w:type="pct"/>
                  <w:tcBorders>
                    <w:tl2br w:val="nil"/>
                    <w:tr2bl w:val="nil"/>
                  </w:tcBorders>
                  <w:vAlign w:val="center"/>
                </w:tcPr>
                <w:p w14:paraId="0D8BE7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300</w:t>
                  </w:r>
                </w:p>
              </w:tc>
              <w:tc>
                <w:tcPr>
                  <w:tcW w:w="625" w:type="pct"/>
                  <w:tcBorders>
                    <w:tl2br w:val="nil"/>
                    <w:tr2bl w:val="nil"/>
                  </w:tcBorders>
                  <w:vAlign w:val="center"/>
                </w:tcPr>
                <w:p w14:paraId="0D5AA6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354户，约1100人</w:t>
                  </w:r>
                </w:p>
              </w:tc>
            </w:tr>
            <w:tr w14:paraId="0EEA51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3D4D0C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14</w:t>
                  </w:r>
                </w:p>
              </w:tc>
              <w:tc>
                <w:tcPr>
                  <w:tcW w:w="898" w:type="pct"/>
                  <w:tcBorders>
                    <w:tl2br w:val="nil"/>
                    <w:tr2bl w:val="nil"/>
                  </w:tcBorders>
                  <w:vAlign w:val="center"/>
                </w:tcPr>
                <w:p w14:paraId="094177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金剑滨河印象</w:t>
                  </w:r>
                </w:p>
              </w:tc>
              <w:tc>
                <w:tcPr>
                  <w:tcW w:w="625" w:type="pct"/>
                  <w:tcBorders>
                    <w:tl2br w:val="nil"/>
                    <w:tr2bl w:val="nil"/>
                  </w:tcBorders>
                  <w:vAlign w:val="center"/>
                </w:tcPr>
                <w:p w14:paraId="24395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310</w:t>
                  </w:r>
                </w:p>
              </w:tc>
              <w:tc>
                <w:tcPr>
                  <w:tcW w:w="625" w:type="pct"/>
                  <w:tcBorders>
                    <w:tl2br w:val="nil"/>
                    <w:tr2bl w:val="nil"/>
                  </w:tcBorders>
                  <w:vAlign w:val="center"/>
                </w:tcPr>
                <w:p w14:paraId="5CAE6E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--290</w:t>
                  </w:r>
                </w:p>
              </w:tc>
              <w:tc>
                <w:tcPr>
                  <w:tcW w:w="625" w:type="pct"/>
                  <w:vMerge w:val="continue"/>
                  <w:tcBorders>
                    <w:tl2br w:val="nil"/>
                    <w:tr2bl w:val="nil"/>
                  </w:tcBorders>
                  <w:vAlign w:val="center"/>
                </w:tcPr>
                <w:p w14:paraId="6035B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4B65FA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东南</w:t>
                  </w:r>
                </w:p>
              </w:tc>
              <w:tc>
                <w:tcPr>
                  <w:tcW w:w="625" w:type="pct"/>
                  <w:tcBorders>
                    <w:tl2br w:val="nil"/>
                    <w:tr2bl w:val="nil"/>
                  </w:tcBorders>
                  <w:vAlign w:val="center"/>
                </w:tcPr>
                <w:p w14:paraId="73440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422</w:t>
                  </w:r>
                </w:p>
              </w:tc>
              <w:tc>
                <w:tcPr>
                  <w:tcW w:w="625" w:type="pct"/>
                  <w:tcBorders>
                    <w:tl2br w:val="nil"/>
                    <w:tr2bl w:val="nil"/>
                  </w:tcBorders>
                  <w:vAlign w:val="center"/>
                </w:tcPr>
                <w:p w14:paraId="279D0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836户，约2600人</w:t>
                  </w:r>
                </w:p>
              </w:tc>
            </w:tr>
            <w:tr w14:paraId="58126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52B1E5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w:t>
                  </w:r>
                </w:p>
              </w:tc>
              <w:tc>
                <w:tcPr>
                  <w:tcW w:w="898" w:type="pct"/>
                  <w:tcBorders>
                    <w:tl2br w:val="nil"/>
                    <w:tr2bl w:val="nil"/>
                  </w:tcBorders>
                  <w:vAlign w:val="center"/>
                </w:tcPr>
                <w:p w14:paraId="36C8F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欧鹏璧兰河1号</w:t>
                  </w:r>
                </w:p>
              </w:tc>
              <w:tc>
                <w:tcPr>
                  <w:tcW w:w="625" w:type="pct"/>
                  <w:tcBorders>
                    <w:tl2br w:val="nil"/>
                    <w:tr2bl w:val="nil"/>
                  </w:tcBorders>
                  <w:vAlign w:val="center"/>
                </w:tcPr>
                <w:p w14:paraId="516DC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314</w:t>
                  </w:r>
                </w:p>
              </w:tc>
              <w:tc>
                <w:tcPr>
                  <w:tcW w:w="625" w:type="pct"/>
                  <w:tcBorders>
                    <w:tl2br w:val="nil"/>
                    <w:tr2bl w:val="nil"/>
                  </w:tcBorders>
                  <w:vAlign w:val="center"/>
                </w:tcPr>
                <w:p w14:paraId="234871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-400</w:t>
                  </w:r>
                </w:p>
              </w:tc>
              <w:tc>
                <w:tcPr>
                  <w:tcW w:w="625" w:type="pct"/>
                  <w:vMerge w:val="continue"/>
                  <w:tcBorders>
                    <w:tl2br w:val="nil"/>
                    <w:tr2bl w:val="nil"/>
                  </w:tcBorders>
                  <w:vAlign w:val="center"/>
                </w:tcPr>
                <w:p w14:paraId="5BF515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2898BC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东南</w:t>
                  </w:r>
                </w:p>
              </w:tc>
              <w:tc>
                <w:tcPr>
                  <w:tcW w:w="625" w:type="pct"/>
                  <w:tcBorders>
                    <w:tl2br w:val="nil"/>
                    <w:tr2bl w:val="nil"/>
                  </w:tcBorders>
                  <w:vAlign w:val="center"/>
                </w:tcPr>
                <w:p w14:paraId="32244A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500</w:t>
                  </w:r>
                </w:p>
              </w:tc>
              <w:tc>
                <w:tcPr>
                  <w:tcW w:w="625" w:type="pct"/>
                  <w:tcBorders>
                    <w:tl2br w:val="nil"/>
                    <w:tr2bl w:val="nil"/>
                  </w:tcBorders>
                  <w:vAlign w:val="center"/>
                </w:tcPr>
                <w:p w14:paraId="7918A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1768户，约5400人</w:t>
                  </w:r>
                </w:p>
              </w:tc>
            </w:tr>
            <w:tr w14:paraId="3AECA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37B4EE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16</w:t>
                  </w:r>
                </w:p>
              </w:tc>
              <w:tc>
                <w:tcPr>
                  <w:tcW w:w="898" w:type="pct"/>
                  <w:tcBorders>
                    <w:tl2br w:val="nil"/>
                    <w:tr2bl w:val="nil"/>
                  </w:tcBorders>
                  <w:vAlign w:val="center"/>
                </w:tcPr>
                <w:p w14:paraId="6D66E9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新塔还建房</w:t>
                  </w:r>
                </w:p>
              </w:tc>
              <w:tc>
                <w:tcPr>
                  <w:tcW w:w="625" w:type="pct"/>
                  <w:tcBorders>
                    <w:tl2br w:val="nil"/>
                    <w:tr2bl w:val="nil"/>
                  </w:tcBorders>
                  <w:vAlign w:val="center"/>
                </w:tcPr>
                <w:p w14:paraId="4B641F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70</w:t>
                  </w:r>
                </w:p>
              </w:tc>
              <w:tc>
                <w:tcPr>
                  <w:tcW w:w="625" w:type="pct"/>
                  <w:tcBorders>
                    <w:tl2br w:val="nil"/>
                    <w:tr2bl w:val="nil"/>
                  </w:tcBorders>
                  <w:vAlign w:val="center"/>
                </w:tcPr>
                <w:p w14:paraId="6BF1E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-392</w:t>
                  </w:r>
                </w:p>
              </w:tc>
              <w:tc>
                <w:tcPr>
                  <w:tcW w:w="625" w:type="pct"/>
                  <w:vMerge w:val="continue"/>
                  <w:tcBorders>
                    <w:tl2br w:val="nil"/>
                    <w:tr2bl w:val="nil"/>
                  </w:tcBorders>
                  <w:vAlign w:val="center"/>
                </w:tcPr>
                <w:p w14:paraId="3E456C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6C0C9C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东南</w:t>
                  </w:r>
                </w:p>
              </w:tc>
              <w:tc>
                <w:tcPr>
                  <w:tcW w:w="625" w:type="pct"/>
                  <w:tcBorders>
                    <w:tl2br w:val="nil"/>
                    <w:tr2bl w:val="nil"/>
                  </w:tcBorders>
                  <w:vAlign w:val="center"/>
                </w:tcPr>
                <w:p w14:paraId="58110A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400</w:t>
                  </w:r>
                </w:p>
              </w:tc>
              <w:tc>
                <w:tcPr>
                  <w:tcW w:w="625" w:type="pct"/>
                  <w:tcBorders>
                    <w:tl2br w:val="nil"/>
                    <w:tr2bl w:val="nil"/>
                  </w:tcBorders>
                  <w:vAlign w:val="center"/>
                </w:tcPr>
                <w:p w14:paraId="16738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860户，约2600人</w:t>
                  </w:r>
                </w:p>
              </w:tc>
            </w:tr>
            <w:tr w14:paraId="4DF2F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4067A3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17</w:t>
                  </w:r>
                </w:p>
              </w:tc>
              <w:tc>
                <w:tcPr>
                  <w:tcW w:w="898" w:type="pct"/>
                  <w:tcBorders>
                    <w:tl2br w:val="nil"/>
                    <w:tr2bl w:val="nil"/>
                  </w:tcBorders>
                  <w:vAlign w:val="center"/>
                </w:tcPr>
                <w:p w14:paraId="52DAB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绿岛新区幼儿园</w:t>
                  </w:r>
                </w:p>
              </w:tc>
              <w:tc>
                <w:tcPr>
                  <w:tcW w:w="625" w:type="pct"/>
                  <w:tcBorders>
                    <w:tl2br w:val="nil"/>
                    <w:tr2bl w:val="nil"/>
                  </w:tcBorders>
                  <w:vAlign w:val="center"/>
                </w:tcPr>
                <w:p w14:paraId="72998F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-70</w:t>
                  </w:r>
                </w:p>
              </w:tc>
              <w:tc>
                <w:tcPr>
                  <w:tcW w:w="625" w:type="pct"/>
                  <w:tcBorders>
                    <w:tl2br w:val="nil"/>
                    <w:tr2bl w:val="nil"/>
                  </w:tcBorders>
                  <w:vAlign w:val="center"/>
                </w:tcPr>
                <w:p w14:paraId="35EFAA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-385</w:t>
                  </w:r>
                </w:p>
              </w:tc>
              <w:tc>
                <w:tcPr>
                  <w:tcW w:w="625" w:type="pct"/>
                  <w:vMerge w:val="continue"/>
                  <w:tcBorders>
                    <w:tl2br w:val="nil"/>
                    <w:tr2bl w:val="nil"/>
                  </w:tcBorders>
                  <w:vAlign w:val="center"/>
                </w:tcPr>
                <w:p w14:paraId="098526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7DD18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西南</w:t>
                  </w:r>
                </w:p>
              </w:tc>
              <w:tc>
                <w:tcPr>
                  <w:tcW w:w="625" w:type="pct"/>
                  <w:tcBorders>
                    <w:tl2br w:val="nil"/>
                    <w:tr2bl w:val="nil"/>
                  </w:tcBorders>
                  <w:vAlign w:val="center"/>
                </w:tcPr>
                <w:p w14:paraId="3275A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390</w:t>
                  </w:r>
                </w:p>
              </w:tc>
              <w:tc>
                <w:tcPr>
                  <w:tcW w:w="625" w:type="pct"/>
                  <w:tcBorders>
                    <w:tl2br w:val="nil"/>
                    <w:tr2bl w:val="nil"/>
                  </w:tcBorders>
                  <w:vAlign w:val="center"/>
                </w:tcPr>
                <w:p w14:paraId="6EE789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师生约150人</w:t>
                  </w:r>
                </w:p>
              </w:tc>
            </w:tr>
            <w:tr w14:paraId="3D46B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6F16BC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18</w:t>
                  </w:r>
                </w:p>
              </w:tc>
              <w:tc>
                <w:tcPr>
                  <w:tcW w:w="898" w:type="pct"/>
                  <w:tcBorders>
                    <w:tl2br w:val="nil"/>
                    <w:tr2bl w:val="nil"/>
                  </w:tcBorders>
                  <w:vAlign w:val="center"/>
                </w:tcPr>
                <w:p w14:paraId="4CE04D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南河丽景D区</w:t>
                  </w:r>
                </w:p>
              </w:tc>
              <w:tc>
                <w:tcPr>
                  <w:tcW w:w="625" w:type="pct"/>
                  <w:tcBorders>
                    <w:tl2br w:val="nil"/>
                    <w:tr2bl w:val="nil"/>
                  </w:tcBorders>
                  <w:vAlign w:val="center"/>
                </w:tcPr>
                <w:p w14:paraId="5CE30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-103</w:t>
                  </w:r>
                </w:p>
              </w:tc>
              <w:tc>
                <w:tcPr>
                  <w:tcW w:w="625" w:type="pct"/>
                  <w:tcBorders>
                    <w:tl2br w:val="nil"/>
                    <w:tr2bl w:val="nil"/>
                  </w:tcBorders>
                  <w:vAlign w:val="center"/>
                </w:tcPr>
                <w:p w14:paraId="265165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-387</w:t>
                  </w:r>
                </w:p>
              </w:tc>
              <w:tc>
                <w:tcPr>
                  <w:tcW w:w="625" w:type="pct"/>
                  <w:vMerge w:val="continue"/>
                  <w:tcBorders>
                    <w:tl2br w:val="nil"/>
                    <w:tr2bl w:val="nil"/>
                  </w:tcBorders>
                  <w:vAlign w:val="center"/>
                </w:tcPr>
                <w:p w14:paraId="057676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1EB69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西南</w:t>
                  </w:r>
                </w:p>
              </w:tc>
              <w:tc>
                <w:tcPr>
                  <w:tcW w:w="625" w:type="pct"/>
                  <w:tcBorders>
                    <w:tl2br w:val="nil"/>
                    <w:tr2bl w:val="nil"/>
                  </w:tcBorders>
                  <w:vAlign w:val="center"/>
                </w:tcPr>
                <w:p w14:paraId="434FA2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400</w:t>
                  </w:r>
                </w:p>
              </w:tc>
              <w:tc>
                <w:tcPr>
                  <w:tcW w:w="625" w:type="pct"/>
                  <w:tcBorders>
                    <w:tl2br w:val="nil"/>
                    <w:tr2bl w:val="nil"/>
                  </w:tcBorders>
                  <w:vAlign w:val="center"/>
                </w:tcPr>
                <w:p w14:paraId="038207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1981户，约6000人</w:t>
                  </w:r>
                </w:p>
              </w:tc>
            </w:tr>
            <w:tr w14:paraId="019A7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4E39D0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19</w:t>
                  </w:r>
                </w:p>
              </w:tc>
              <w:tc>
                <w:tcPr>
                  <w:tcW w:w="898" w:type="pct"/>
                  <w:tcBorders>
                    <w:tl2br w:val="nil"/>
                    <w:tr2bl w:val="nil"/>
                  </w:tcBorders>
                  <w:vAlign w:val="center"/>
                </w:tcPr>
                <w:p w14:paraId="2D040E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南河丽景E区</w:t>
                  </w:r>
                </w:p>
              </w:tc>
              <w:tc>
                <w:tcPr>
                  <w:tcW w:w="625" w:type="pct"/>
                  <w:tcBorders>
                    <w:tl2br w:val="nil"/>
                    <w:tr2bl w:val="nil"/>
                  </w:tcBorders>
                  <w:vAlign w:val="center"/>
                </w:tcPr>
                <w:p w14:paraId="76C03F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tcBorders>
                    <w:tl2br w:val="nil"/>
                    <w:tr2bl w:val="nil"/>
                  </w:tcBorders>
                  <w:vAlign w:val="center"/>
                </w:tcPr>
                <w:p w14:paraId="329631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-390</w:t>
                  </w:r>
                </w:p>
              </w:tc>
              <w:tc>
                <w:tcPr>
                  <w:tcW w:w="625" w:type="pct"/>
                  <w:vMerge w:val="continue"/>
                  <w:tcBorders>
                    <w:tl2br w:val="nil"/>
                    <w:tr2bl w:val="nil"/>
                  </w:tcBorders>
                  <w:vAlign w:val="center"/>
                </w:tcPr>
                <w:p w14:paraId="005699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30ACE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南</w:t>
                  </w:r>
                </w:p>
              </w:tc>
              <w:tc>
                <w:tcPr>
                  <w:tcW w:w="625" w:type="pct"/>
                  <w:tcBorders>
                    <w:tl2br w:val="nil"/>
                    <w:tr2bl w:val="nil"/>
                  </w:tcBorders>
                  <w:vAlign w:val="center"/>
                </w:tcPr>
                <w:p w14:paraId="6B302B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390</w:t>
                  </w:r>
                </w:p>
              </w:tc>
              <w:tc>
                <w:tcPr>
                  <w:tcW w:w="625" w:type="pct"/>
                  <w:tcBorders>
                    <w:tl2br w:val="nil"/>
                    <w:tr2bl w:val="nil"/>
                  </w:tcBorders>
                  <w:vAlign w:val="center"/>
                </w:tcPr>
                <w:p w14:paraId="3855B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491户，约1500人</w:t>
                  </w:r>
                </w:p>
              </w:tc>
            </w:tr>
            <w:tr w14:paraId="590AD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03BF75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w:t>
                  </w:r>
                </w:p>
              </w:tc>
              <w:tc>
                <w:tcPr>
                  <w:tcW w:w="898" w:type="pct"/>
                  <w:tcBorders>
                    <w:tl2br w:val="nil"/>
                    <w:tr2bl w:val="nil"/>
                  </w:tcBorders>
                  <w:vAlign w:val="center"/>
                </w:tcPr>
                <w:p w14:paraId="128DBA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璧山区人民医院</w:t>
                  </w:r>
                </w:p>
              </w:tc>
              <w:tc>
                <w:tcPr>
                  <w:tcW w:w="625" w:type="pct"/>
                  <w:tcBorders>
                    <w:tl2br w:val="nil"/>
                    <w:tr2bl w:val="nil"/>
                  </w:tcBorders>
                  <w:vAlign w:val="center"/>
                </w:tcPr>
                <w:p w14:paraId="230F7D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-290</w:t>
                  </w:r>
                </w:p>
              </w:tc>
              <w:tc>
                <w:tcPr>
                  <w:tcW w:w="625" w:type="pct"/>
                  <w:tcBorders>
                    <w:tl2br w:val="nil"/>
                    <w:tr2bl w:val="nil"/>
                  </w:tcBorders>
                  <w:vAlign w:val="center"/>
                </w:tcPr>
                <w:p w14:paraId="0AF7D5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-400</w:t>
                  </w:r>
                </w:p>
              </w:tc>
              <w:tc>
                <w:tcPr>
                  <w:tcW w:w="625" w:type="pct"/>
                  <w:vMerge w:val="continue"/>
                  <w:tcBorders>
                    <w:tl2br w:val="nil"/>
                    <w:tr2bl w:val="nil"/>
                  </w:tcBorders>
                  <w:vAlign w:val="center"/>
                </w:tcPr>
                <w:p w14:paraId="1D192F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3EDEA8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西南</w:t>
                  </w:r>
                </w:p>
              </w:tc>
              <w:tc>
                <w:tcPr>
                  <w:tcW w:w="625" w:type="pct"/>
                  <w:tcBorders>
                    <w:tl2br w:val="nil"/>
                    <w:tr2bl w:val="nil"/>
                  </w:tcBorders>
                  <w:vAlign w:val="center"/>
                </w:tcPr>
                <w:p w14:paraId="3DEB5C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470</w:t>
                  </w:r>
                </w:p>
              </w:tc>
              <w:tc>
                <w:tcPr>
                  <w:tcW w:w="625" w:type="pct"/>
                  <w:tcBorders>
                    <w:tl2br w:val="nil"/>
                    <w:tr2bl w:val="nil"/>
                  </w:tcBorders>
                  <w:vAlign w:val="center"/>
                </w:tcPr>
                <w:p w14:paraId="37C3F9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床位1290张，约6000人</w:t>
                  </w:r>
                </w:p>
              </w:tc>
            </w:tr>
            <w:tr w14:paraId="03387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7382D8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21</w:t>
                  </w:r>
                </w:p>
              </w:tc>
              <w:tc>
                <w:tcPr>
                  <w:tcW w:w="898" w:type="pct"/>
                  <w:tcBorders>
                    <w:tl2br w:val="nil"/>
                    <w:tr2bl w:val="nil"/>
                  </w:tcBorders>
                  <w:vAlign w:val="center"/>
                </w:tcPr>
                <w:p w14:paraId="34367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恒大绿岛新城D区</w:t>
                  </w:r>
                </w:p>
              </w:tc>
              <w:tc>
                <w:tcPr>
                  <w:tcW w:w="625" w:type="pct"/>
                  <w:tcBorders>
                    <w:tl2br w:val="nil"/>
                    <w:tr2bl w:val="nil"/>
                  </w:tcBorders>
                  <w:vAlign w:val="center"/>
                </w:tcPr>
                <w:p w14:paraId="7721D4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-320</w:t>
                  </w:r>
                </w:p>
              </w:tc>
              <w:tc>
                <w:tcPr>
                  <w:tcW w:w="625" w:type="pct"/>
                  <w:tcBorders>
                    <w:tl2br w:val="nil"/>
                    <w:tr2bl w:val="nil"/>
                  </w:tcBorders>
                  <w:vAlign w:val="center"/>
                </w:tcPr>
                <w:p w14:paraId="227418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-190</w:t>
                  </w:r>
                </w:p>
              </w:tc>
              <w:tc>
                <w:tcPr>
                  <w:tcW w:w="625" w:type="pct"/>
                  <w:vMerge w:val="continue"/>
                  <w:tcBorders>
                    <w:tl2br w:val="nil"/>
                    <w:tr2bl w:val="nil"/>
                  </w:tcBorders>
                  <w:vAlign w:val="center"/>
                </w:tcPr>
                <w:p w14:paraId="668A0F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val="0"/>
                      <w:kern w:val="0"/>
                      <w:sz w:val="21"/>
                      <w:szCs w:val="21"/>
                      <w:vertAlign w:val="baseline"/>
                      <w:lang w:val="en-US" w:eastAsia="zh-CN"/>
                    </w:rPr>
                  </w:pPr>
                </w:p>
              </w:tc>
              <w:tc>
                <w:tcPr>
                  <w:tcW w:w="625" w:type="pct"/>
                  <w:tcBorders>
                    <w:tl2br w:val="nil"/>
                    <w:tr2bl w:val="nil"/>
                  </w:tcBorders>
                  <w:vAlign w:val="center"/>
                </w:tcPr>
                <w:p w14:paraId="61E1A9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西南</w:t>
                  </w:r>
                </w:p>
              </w:tc>
              <w:tc>
                <w:tcPr>
                  <w:tcW w:w="625" w:type="pct"/>
                  <w:tcBorders>
                    <w:tl2br w:val="nil"/>
                    <w:tr2bl w:val="nil"/>
                  </w:tcBorders>
                  <w:vAlign w:val="center"/>
                </w:tcPr>
                <w:p w14:paraId="53B870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380</w:t>
                  </w:r>
                </w:p>
              </w:tc>
              <w:tc>
                <w:tcPr>
                  <w:tcW w:w="625" w:type="pct"/>
                  <w:tcBorders>
                    <w:tl2br w:val="nil"/>
                    <w:tr2bl w:val="nil"/>
                  </w:tcBorders>
                  <w:vAlign w:val="center"/>
                </w:tcPr>
                <w:p w14:paraId="43FB7D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930户，约2800人</w:t>
                  </w:r>
                </w:p>
              </w:tc>
            </w:tr>
            <w:tr w14:paraId="5C556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348" w:type="pct"/>
                  <w:tcBorders>
                    <w:tl2br w:val="nil"/>
                    <w:tr2bl w:val="nil"/>
                  </w:tcBorders>
                  <w:vAlign w:val="center"/>
                </w:tcPr>
                <w:p w14:paraId="6C9849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22</w:t>
                  </w:r>
                </w:p>
              </w:tc>
              <w:tc>
                <w:tcPr>
                  <w:tcW w:w="898" w:type="pct"/>
                  <w:tcBorders>
                    <w:tl2br w:val="nil"/>
                    <w:tr2bl w:val="nil"/>
                  </w:tcBorders>
                  <w:vAlign w:val="center"/>
                </w:tcPr>
                <w:p w14:paraId="37DB7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恒大绿岛新城E区</w:t>
                  </w:r>
                </w:p>
              </w:tc>
              <w:tc>
                <w:tcPr>
                  <w:tcW w:w="625" w:type="pct"/>
                  <w:tcBorders>
                    <w:tl2br w:val="nil"/>
                    <w:tr2bl w:val="nil"/>
                  </w:tcBorders>
                  <w:shd w:val="clear" w:color="auto" w:fill="auto"/>
                  <w:vAlign w:val="center"/>
                </w:tcPr>
                <w:p w14:paraId="49095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-290</w:t>
                  </w:r>
                </w:p>
              </w:tc>
              <w:tc>
                <w:tcPr>
                  <w:tcW w:w="625" w:type="pct"/>
                  <w:tcBorders>
                    <w:tl2br w:val="nil"/>
                    <w:tr2bl w:val="nil"/>
                  </w:tcBorders>
                  <w:shd w:val="clear" w:color="auto" w:fill="auto"/>
                  <w:vAlign w:val="center"/>
                </w:tcPr>
                <w:p w14:paraId="1E7228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0</w:t>
                  </w:r>
                </w:p>
              </w:tc>
              <w:tc>
                <w:tcPr>
                  <w:tcW w:w="625" w:type="pct"/>
                  <w:vMerge w:val="continue"/>
                  <w:tcBorders>
                    <w:tl2br w:val="nil"/>
                    <w:tr2bl w:val="nil"/>
                  </w:tcBorders>
                  <w:shd w:val="clear" w:color="auto" w:fill="auto"/>
                  <w:vAlign w:val="center"/>
                </w:tcPr>
                <w:p w14:paraId="57D36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6CCD0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西</w:t>
                  </w:r>
                </w:p>
              </w:tc>
              <w:tc>
                <w:tcPr>
                  <w:tcW w:w="625" w:type="pct"/>
                  <w:tcBorders>
                    <w:tl2br w:val="nil"/>
                    <w:tr2bl w:val="nil"/>
                  </w:tcBorders>
                  <w:shd w:val="clear" w:color="auto" w:fill="auto"/>
                  <w:vAlign w:val="center"/>
                </w:tcPr>
                <w:p w14:paraId="7D483F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290</w:t>
                  </w:r>
                </w:p>
              </w:tc>
              <w:tc>
                <w:tcPr>
                  <w:tcW w:w="625" w:type="pct"/>
                  <w:tcBorders>
                    <w:tl2br w:val="nil"/>
                    <w:tr2bl w:val="nil"/>
                  </w:tcBorders>
                  <w:vAlign w:val="center"/>
                </w:tcPr>
                <w:p w14:paraId="28F176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2032户，约6100人</w:t>
                  </w:r>
                </w:p>
              </w:tc>
            </w:tr>
            <w:tr w14:paraId="0E392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722887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23</w:t>
                  </w:r>
                </w:p>
              </w:tc>
              <w:tc>
                <w:tcPr>
                  <w:tcW w:w="898" w:type="pct"/>
                  <w:tcBorders>
                    <w:tl2br w:val="nil"/>
                    <w:tr2bl w:val="nil"/>
                  </w:tcBorders>
                  <w:vAlign w:val="center"/>
                </w:tcPr>
                <w:p w14:paraId="08152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恒大绿岛新城F区</w:t>
                  </w:r>
                </w:p>
              </w:tc>
              <w:tc>
                <w:tcPr>
                  <w:tcW w:w="625" w:type="pct"/>
                  <w:tcBorders>
                    <w:tl2br w:val="nil"/>
                    <w:tr2bl w:val="nil"/>
                  </w:tcBorders>
                  <w:shd w:val="clear" w:color="auto" w:fill="auto"/>
                  <w:vAlign w:val="center"/>
                </w:tcPr>
                <w:p w14:paraId="1EAC81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-285</w:t>
                  </w:r>
                </w:p>
              </w:tc>
              <w:tc>
                <w:tcPr>
                  <w:tcW w:w="625" w:type="pct"/>
                  <w:tcBorders>
                    <w:tl2br w:val="nil"/>
                    <w:tr2bl w:val="nil"/>
                  </w:tcBorders>
                  <w:shd w:val="clear" w:color="auto" w:fill="auto"/>
                  <w:vAlign w:val="center"/>
                </w:tcPr>
                <w:p w14:paraId="15CBBC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w:t>
                  </w:r>
                </w:p>
              </w:tc>
              <w:tc>
                <w:tcPr>
                  <w:tcW w:w="625" w:type="pct"/>
                  <w:vMerge w:val="continue"/>
                  <w:tcBorders>
                    <w:tl2br w:val="nil"/>
                    <w:tr2bl w:val="nil"/>
                  </w:tcBorders>
                  <w:shd w:val="clear" w:color="auto" w:fill="auto"/>
                  <w:vAlign w:val="center"/>
                </w:tcPr>
                <w:p w14:paraId="54EF73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6870F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西北</w:t>
                  </w:r>
                </w:p>
              </w:tc>
              <w:tc>
                <w:tcPr>
                  <w:tcW w:w="625" w:type="pct"/>
                  <w:tcBorders>
                    <w:tl2br w:val="nil"/>
                    <w:tr2bl w:val="nil"/>
                  </w:tcBorders>
                  <w:shd w:val="clear" w:color="auto" w:fill="auto"/>
                  <w:vAlign w:val="center"/>
                </w:tcPr>
                <w:p w14:paraId="6A8F21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290</w:t>
                  </w:r>
                </w:p>
              </w:tc>
              <w:tc>
                <w:tcPr>
                  <w:tcW w:w="625" w:type="pct"/>
                  <w:tcBorders>
                    <w:tl2br w:val="nil"/>
                    <w:tr2bl w:val="nil"/>
                  </w:tcBorders>
                  <w:vAlign w:val="center"/>
                </w:tcPr>
                <w:p w14:paraId="55FFA1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544户，约1700人</w:t>
                  </w:r>
                </w:p>
              </w:tc>
            </w:tr>
            <w:tr w14:paraId="3E5BE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48" w:type="pct"/>
                  <w:tcBorders>
                    <w:tl2br w:val="nil"/>
                    <w:tr2bl w:val="nil"/>
                  </w:tcBorders>
                  <w:vAlign w:val="center"/>
                </w:tcPr>
                <w:p w14:paraId="5433B7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24</w:t>
                  </w:r>
                </w:p>
              </w:tc>
              <w:tc>
                <w:tcPr>
                  <w:tcW w:w="898" w:type="pct"/>
                  <w:tcBorders>
                    <w:tl2br w:val="nil"/>
                    <w:tr2bl w:val="nil"/>
                  </w:tcBorders>
                  <w:vAlign w:val="center"/>
                </w:tcPr>
                <w:p w14:paraId="7D334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正南还建房</w:t>
                  </w:r>
                </w:p>
              </w:tc>
              <w:tc>
                <w:tcPr>
                  <w:tcW w:w="625" w:type="pct"/>
                  <w:tcBorders>
                    <w:tl2br w:val="nil"/>
                    <w:tr2bl w:val="nil"/>
                  </w:tcBorders>
                  <w:shd w:val="clear" w:color="auto" w:fill="auto"/>
                  <w:vAlign w:val="center"/>
                </w:tcPr>
                <w:p w14:paraId="6DD93D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-290</w:t>
                  </w:r>
                </w:p>
              </w:tc>
              <w:tc>
                <w:tcPr>
                  <w:tcW w:w="625" w:type="pct"/>
                  <w:tcBorders>
                    <w:tl2br w:val="nil"/>
                    <w:tr2bl w:val="nil"/>
                  </w:tcBorders>
                  <w:shd w:val="clear" w:color="auto" w:fill="auto"/>
                  <w:vAlign w:val="center"/>
                </w:tcPr>
                <w:p w14:paraId="71B6F4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153</w:t>
                  </w:r>
                </w:p>
              </w:tc>
              <w:tc>
                <w:tcPr>
                  <w:tcW w:w="625" w:type="pct"/>
                  <w:vMerge w:val="continue"/>
                  <w:tcBorders>
                    <w:tl2br w:val="nil"/>
                    <w:tr2bl w:val="nil"/>
                  </w:tcBorders>
                  <w:shd w:val="clear" w:color="auto" w:fill="auto"/>
                  <w:vAlign w:val="center"/>
                </w:tcPr>
                <w:p w14:paraId="1F0907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113E0A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西北</w:t>
                  </w:r>
                </w:p>
              </w:tc>
              <w:tc>
                <w:tcPr>
                  <w:tcW w:w="625" w:type="pct"/>
                  <w:tcBorders>
                    <w:tl2br w:val="nil"/>
                    <w:tr2bl w:val="nil"/>
                  </w:tcBorders>
                  <w:shd w:val="clear" w:color="auto" w:fill="auto"/>
                  <w:vAlign w:val="center"/>
                </w:tcPr>
                <w:p w14:paraId="3F6BC7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330</w:t>
                  </w:r>
                </w:p>
              </w:tc>
              <w:tc>
                <w:tcPr>
                  <w:tcW w:w="625" w:type="pct"/>
                  <w:tcBorders>
                    <w:tl2br w:val="nil"/>
                    <w:tr2bl w:val="nil"/>
                  </w:tcBorders>
                  <w:vAlign w:val="center"/>
                </w:tcPr>
                <w:p w14:paraId="53BFD4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660户，约2000人</w:t>
                  </w:r>
                </w:p>
              </w:tc>
            </w:tr>
            <w:tr w14:paraId="5CAF1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16DDC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25</w:t>
                  </w:r>
                </w:p>
              </w:tc>
              <w:tc>
                <w:tcPr>
                  <w:tcW w:w="898" w:type="pct"/>
                  <w:tcBorders>
                    <w:tl2br w:val="nil"/>
                    <w:tr2bl w:val="nil"/>
                  </w:tcBorders>
                  <w:vAlign w:val="center"/>
                </w:tcPr>
                <w:p w14:paraId="0320C8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虹都景苑</w:t>
                  </w:r>
                </w:p>
              </w:tc>
              <w:tc>
                <w:tcPr>
                  <w:tcW w:w="625" w:type="pct"/>
                  <w:tcBorders>
                    <w:tl2br w:val="nil"/>
                    <w:tr2bl w:val="nil"/>
                  </w:tcBorders>
                  <w:shd w:val="clear" w:color="auto" w:fill="auto"/>
                  <w:vAlign w:val="center"/>
                </w:tcPr>
                <w:p w14:paraId="1D1347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450</w:t>
                  </w:r>
                </w:p>
              </w:tc>
              <w:tc>
                <w:tcPr>
                  <w:tcW w:w="625" w:type="pct"/>
                  <w:tcBorders>
                    <w:tl2br w:val="nil"/>
                    <w:tr2bl w:val="nil"/>
                  </w:tcBorders>
                  <w:shd w:val="clear" w:color="auto" w:fill="auto"/>
                  <w:vAlign w:val="center"/>
                </w:tcPr>
                <w:p w14:paraId="2E2585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vMerge w:val="continue"/>
                  <w:tcBorders>
                    <w:tl2br w:val="nil"/>
                    <w:tr2bl w:val="nil"/>
                  </w:tcBorders>
                  <w:shd w:val="clear" w:color="auto" w:fill="auto"/>
                  <w:vAlign w:val="center"/>
                </w:tcPr>
                <w:p w14:paraId="3CF364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0647F6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w:t>
                  </w:r>
                </w:p>
              </w:tc>
              <w:tc>
                <w:tcPr>
                  <w:tcW w:w="625" w:type="pct"/>
                  <w:tcBorders>
                    <w:tl2br w:val="nil"/>
                    <w:tr2bl w:val="nil"/>
                  </w:tcBorders>
                  <w:shd w:val="clear" w:color="auto" w:fill="auto"/>
                  <w:vAlign w:val="center"/>
                </w:tcPr>
                <w:p w14:paraId="3F9316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450</w:t>
                  </w:r>
                </w:p>
              </w:tc>
              <w:tc>
                <w:tcPr>
                  <w:tcW w:w="625" w:type="pct"/>
                  <w:tcBorders>
                    <w:tl2br w:val="nil"/>
                    <w:tr2bl w:val="nil"/>
                  </w:tcBorders>
                  <w:vAlign w:val="center"/>
                </w:tcPr>
                <w:p w14:paraId="45DCD7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460户，约1400人</w:t>
                  </w:r>
                </w:p>
              </w:tc>
            </w:tr>
            <w:tr w14:paraId="4D728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4D13DA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26</w:t>
                  </w:r>
                </w:p>
              </w:tc>
              <w:tc>
                <w:tcPr>
                  <w:tcW w:w="898" w:type="pct"/>
                  <w:tcBorders>
                    <w:tl2br w:val="nil"/>
                    <w:tr2bl w:val="nil"/>
                  </w:tcBorders>
                  <w:vAlign w:val="center"/>
                </w:tcPr>
                <w:p w14:paraId="121F11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雅堤水岸</w:t>
                  </w:r>
                </w:p>
              </w:tc>
              <w:tc>
                <w:tcPr>
                  <w:tcW w:w="625" w:type="pct"/>
                  <w:tcBorders>
                    <w:tl2br w:val="nil"/>
                    <w:tr2bl w:val="nil"/>
                  </w:tcBorders>
                  <w:shd w:val="clear" w:color="auto" w:fill="auto"/>
                  <w:vAlign w:val="center"/>
                </w:tcPr>
                <w:p w14:paraId="7F60F9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480</w:t>
                  </w:r>
                </w:p>
              </w:tc>
              <w:tc>
                <w:tcPr>
                  <w:tcW w:w="625" w:type="pct"/>
                  <w:tcBorders>
                    <w:tl2br w:val="nil"/>
                    <w:tr2bl w:val="nil"/>
                  </w:tcBorders>
                  <w:shd w:val="clear" w:color="auto" w:fill="auto"/>
                  <w:vAlign w:val="center"/>
                </w:tcPr>
                <w:p w14:paraId="0FD8CF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60</w:t>
                  </w:r>
                </w:p>
              </w:tc>
              <w:tc>
                <w:tcPr>
                  <w:tcW w:w="625" w:type="pct"/>
                  <w:vMerge w:val="continue"/>
                  <w:tcBorders>
                    <w:tl2br w:val="nil"/>
                    <w:tr2bl w:val="nil"/>
                  </w:tcBorders>
                  <w:shd w:val="clear" w:color="auto" w:fill="auto"/>
                  <w:vAlign w:val="center"/>
                </w:tcPr>
                <w:p w14:paraId="752F13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6A20FE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东北</w:t>
                  </w:r>
                </w:p>
              </w:tc>
              <w:tc>
                <w:tcPr>
                  <w:tcW w:w="625" w:type="pct"/>
                  <w:tcBorders>
                    <w:tl2br w:val="nil"/>
                    <w:tr2bl w:val="nil"/>
                  </w:tcBorders>
                  <w:shd w:val="clear" w:color="auto" w:fill="auto"/>
                  <w:vAlign w:val="center"/>
                </w:tcPr>
                <w:p w14:paraId="57EED1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490</w:t>
                  </w:r>
                </w:p>
              </w:tc>
              <w:tc>
                <w:tcPr>
                  <w:tcW w:w="625" w:type="pct"/>
                  <w:tcBorders>
                    <w:tl2br w:val="nil"/>
                    <w:tr2bl w:val="nil"/>
                  </w:tcBorders>
                  <w:vAlign w:val="center"/>
                </w:tcPr>
                <w:p w14:paraId="7E89E7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79户，约300人</w:t>
                  </w:r>
                </w:p>
              </w:tc>
            </w:tr>
            <w:tr w14:paraId="02589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4F3770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27</w:t>
                  </w:r>
                </w:p>
              </w:tc>
              <w:tc>
                <w:tcPr>
                  <w:tcW w:w="898" w:type="pct"/>
                  <w:tcBorders>
                    <w:tl2br w:val="nil"/>
                    <w:tr2bl w:val="nil"/>
                  </w:tcBorders>
                  <w:vAlign w:val="center"/>
                </w:tcPr>
                <w:p w14:paraId="5DCDB3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锦城天秀</w:t>
                  </w:r>
                </w:p>
              </w:tc>
              <w:tc>
                <w:tcPr>
                  <w:tcW w:w="625" w:type="pct"/>
                  <w:tcBorders>
                    <w:tl2br w:val="nil"/>
                    <w:tr2bl w:val="nil"/>
                  </w:tcBorders>
                  <w:shd w:val="clear" w:color="auto" w:fill="auto"/>
                  <w:vAlign w:val="center"/>
                </w:tcPr>
                <w:p w14:paraId="28D2BA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400</w:t>
                  </w:r>
                </w:p>
              </w:tc>
              <w:tc>
                <w:tcPr>
                  <w:tcW w:w="625" w:type="pct"/>
                  <w:tcBorders>
                    <w:tl2br w:val="nil"/>
                    <w:tr2bl w:val="nil"/>
                  </w:tcBorders>
                  <w:shd w:val="clear" w:color="auto" w:fill="auto"/>
                  <w:vAlign w:val="center"/>
                </w:tcPr>
                <w:p w14:paraId="7683CB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300</w:t>
                  </w:r>
                </w:p>
              </w:tc>
              <w:tc>
                <w:tcPr>
                  <w:tcW w:w="625" w:type="pct"/>
                  <w:vMerge w:val="continue"/>
                  <w:tcBorders>
                    <w:tl2br w:val="nil"/>
                    <w:tr2bl w:val="nil"/>
                  </w:tcBorders>
                  <w:shd w:val="clear" w:color="auto" w:fill="auto"/>
                  <w:vAlign w:val="center"/>
                </w:tcPr>
                <w:p w14:paraId="6A3125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1537E7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东北</w:t>
                  </w:r>
                </w:p>
              </w:tc>
              <w:tc>
                <w:tcPr>
                  <w:tcW w:w="625" w:type="pct"/>
                  <w:tcBorders>
                    <w:tl2br w:val="nil"/>
                    <w:tr2bl w:val="nil"/>
                  </w:tcBorders>
                  <w:shd w:val="clear" w:color="auto" w:fill="auto"/>
                  <w:vAlign w:val="center"/>
                </w:tcPr>
                <w:p w14:paraId="2DE223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500</w:t>
                  </w:r>
                </w:p>
              </w:tc>
              <w:tc>
                <w:tcPr>
                  <w:tcW w:w="625" w:type="pct"/>
                  <w:tcBorders>
                    <w:tl2br w:val="nil"/>
                    <w:tr2bl w:val="nil"/>
                  </w:tcBorders>
                  <w:vAlign w:val="center"/>
                </w:tcPr>
                <w:p w14:paraId="5C0F95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274户，约900人</w:t>
                  </w:r>
                </w:p>
              </w:tc>
            </w:tr>
            <w:tr w14:paraId="25AF9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510A14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28</w:t>
                  </w:r>
                </w:p>
              </w:tc>
              <w:tc>
                <w:tcPr>
                  <w:tcW w:w="898" w:type="pct"/>
                  <w:tcBorders>
                    <w:tl2br w:val="nil"/>
                    <w:tr2bl w:val="nil"/>
                  </w:tcBorders>
                  <w:vAlign w:val="center"/>
                </w:tcPr>
                <w:p w14:paraId="33463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金和名都</w:t>
                  </w:r>
                </w:p>
              </w:tc>
              <w:tc>
                <w:tcPr>
                  <w:tcW w:w="625" w:type="pct"/>
                  <w:tcBorders>
                    <w:tl2br w:val="nil"/>
                    <w:tr2bl w:val="nil"/>
                  </w:tcBorders>
                  <w:shd w:val="clear" w:color="auto" w:fill="auto"/>
                  <w:vAlign w:val="center"/>
                </w:tcPr>
                <w:p w14:paraId="57C26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100</w:t>
                  </w:r>
                </w:p>
              </w:tc>
              <w:tc>
                <w:tcPr>
                  <w:tcW w:w="625" w:type="pct"/>
                  <w:tcBorders>
                    <w:tl2br w:val="nil"/>
                    <w:tr2bl w:val="nil"/>
                  </w:tcBorders>
                  <w:shd w:val="clear" w:color="auto" w:fill="auto"/>
                  <w:vAlign w:val="center"/>
                </w:tcPr>
                <w:p w14:paraId="3C46E9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450</w:t>
                  </w:r>
                </w:p>
              </w:tc>
              <w:tc>
                <w:tcPr>
                  <w:tcW w:w="625" w:type="pct"/>
                  <w:vMerge w:val="continue"/>
                  <w:tcBorders>
                    <w:tl2br w:val="nil"/>
                    <w:tr2bl w:val="nil"/>
                  </w:tcBorders>
                  <w:shd w:val="clear" w:color="auto" w:fill="auto"/>
                  <w:vAlign w:val="center"/>
                </w:tcPr>
                <w:p w14:paraId="282D63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327691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东北</w:t>
                  </w:r>
                </w:p>
              </w:tc>
              <w:tc>
                <w:tcPr>
                  <w:tcW w:w="625" w:type="pct"/>
                  <w:tcBorders>
                    <w:tl2br w:val="nil"/>
                    <w:tr2bl w:val="nil"/>
                  </w:tcBorders>
                  <w:shd w:val="clear" w:color="auto" w:fill="auto"/>
                  <w:vAlign w:val="center"/>
                </w:tcPr>
                <w:p w14:paraId="0EF87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475</w:t>
                  </w:r>
                </w:p>
              </w:tc>
              <w:tc>
                <w:tcPr>
                  <w:tcW w:w="625" w:type="pct"/>
                  <w:tcBorders>
                    <w:tl2br w:val="nil"/>
                    <w:tr2bl w:val="nil"/>
                  </w:tcBorders>
                  <w:vAlign w:val="center"/>
                </w:tcPr>
                <w:p w14:paraId="0CE22A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364户，约1100人</w:t>
                  </w:r>
                </w:p>
              </w:tc>
            </w:tr>
            <w:tr w14:paraId="1B53B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2FD02B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29</w:t>
                  </w:r>
                </w:p>
              </w:tc>
              <w:tc>
                <w:tcPr>
                  <w:tcW w:w="898" w:type="pct"/>
                  <w:tcBorders>
                    <w:tl2br w:val="nil"/>
                    <w:tr2bl w:val="nil"/>
                  </w:tcBorders>
                  <w:vAlign w:val="center"/>
                </w:tcPr>
                <w:p w14:paraId="5983C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璧山博爱医院</w:t>
                  </w:r>
                </w:p>
              </w:tc>
              <w:tc>
                <w:tcPr>
                  <w:tcW w:w="625" w:type="pct"/>
                  <w:tcBorders>
                    <w:tl2br w:val="nil"/>
                    <w:tr2bl w:val="nil"/>
                  </w:tcBorders>
                  <w:shd w:val="clear" w:color="auto" w:fill="auto"/>
                  <w:vAlign w:val="center"/>
                </w:tcPr>
                <w:p w14:paraId="0B2975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tcBorders>
                    <w:tl2br w:val="nil"/>
                    <w:tr2bl w:val="nil"/>
                  </w:tcBorders>
                  <w:shd w:val="clear" w:color="auto" w:fill="auto"/>
                  <w:vAlign w:val="center"/>
                </w:tcPr>
                <w:p w14:paraId="127E48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470</w:t>
                  </w:r>
                </w:p>
              </w:tc>
              <w:tc>
                <w:tcPr>
                  <w:tcW w:w="625" w:type="pct"/>
                  <w:vMerge w:val="continue"/>
                  <w:tcBorders>
                    <w:tl2br w:val="nil"/>
                    <w:tr2bl w:val="nil"/>
                  </w:tcBorders>
                  <w:shd w:val="clear" w:color="auto" w:fill="auto"/>
                  <w:vAlign w:val="center"/>
                </w:tcPr>
                <w:p w14:paraId="341756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34F0BB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北</w:t>
                  </w:r>
                </w:p>
              </w:tc>
              <w:tc>
                <w:tcPr>
                  <w:tcW w:w="625" w:type="pct"/>
                  <w:tcBorders>
                    <w:tl2br w:val="nil"/>
                    <w:tr2bl w:val="nil"/>
                  </w:tcBorders>
                  <w:shd w:val="clear" w:color="auto" w:fill="auto"/>
                  <w:vAlign w:val="center"/>
                </w:tcPr>
                <w:p w14:paraId="5AD3BB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470</w:t>
                  </w:r>
                </w:p>
              </w:tc>
              <w:tc>
                <w:tcPr>
                  <w:tcW w:w="625" w:type="pct"/>
                  <w:tcBorders>
                    <w:tl2br w:val="nil"/>
                    <w:tr2bl w:val="nil"/>
                  </w:tcBorders>
                  <w:vAlign w:val="center"/>
                </w:tcPr>
                <w:p w14:paraId="2054C5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床位239张，约1000人</w:t>
                  </w:r>
                </w:p>
              </w:tc>
            </w:tr>
            <w:tr w14:paraId="7A006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01C93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30</w:t>
                  </w:r>
                </w:p>
              </w:tc>
              <w:tc>
                <w:tcPr>
                  <w:tcW w:w="898" w:type="pct"/>
                  <w:tcBorders>
                    <w:tl2br w:val="nil"/>
                    <w:tr2bl w:val="nil"/>
                  </w:tcBorders>
                  <w:vAlign w:val="center"/>
                </w:tcPr>
                <w:p w14:paraId="1FA21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仁和家园</w:t>
                  </w:r>
                </w:p>
              </w:tc>
              <w:tc>
                <w:tcPr>
                  <w:tcW w:w="625" w:type="pct"/>
                  <w:tcBorders>
                    <w:tl2br w:val="nil"/>
                    <w:tr2bl w:val="nil"/>
                  </w:tcBorders>
                  <w:shd w:val="clear" w:color="auto" w:fill="auto"/>
                  <w:vAlign w:val="center"/>
                </w:tcPr>
                <w:p w14:paraId="21A93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-160</w:t>
                  </w:r>
                </w:p>
              </w:tc>
              <w:tc>
                <w:tcPr>
                  <w:tcW w:w="625" w:type="pct"/>
                  <w:tcBorders>
                    <w:tl2br w:val="nil"/>
                    <w:tr2bl w:val="nil"/>
                  </w:tcBorders>
                  <w:shd w:val="clear" w:color="auto" w:fill="auto"/>
                  <w:vAlign w:val="center"/>
                </w:tcPr>
                <w:p w14:paraId="1C0718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465</w:t>
                  </w:r>
                </w:p>
              </w:tc>
              <w:tc>
                <w:tcPr>
                  <w:tcW w:w="625" w:type="pct"/>
                  <w:vMerge w:val="continue"/>
                  <w:tcBorders>
                    <w:tl2br w:val="nil"/>
                    <w:tr2bl w:val="nil"/>
                  </w:tcBorders>
                  <w:shd w:val="clear" w:color="auto" w:fill="auto"/>
                  <w:vAlign w:val="center"/>
                </w:tcPr>
                <w:p w14:paraId="1BDBA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5153B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西北</w:t>
                  </w:r>
                </w:p>
              </w:tc>
              <w:tc>
                <w:tcPr>
                  <w:tcW w:w="625" w:type="pct"/>
                  <w:tcBorders>
                    <w:tl2br w:val="nil"/>
                    <w:tr2bl w:val="nil"/>
                  </w:tcBorders>
                  <w:shd w:val="clear" w:color="auto" w:fill="auto"/>
                  <w:vAlign w:val="center"/>
                </w:tcPr>
                <w:p w14:paraId="172424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490</w:t>
                  </w:r>
                </w:p>
              </w:tc>
              <w:tc>
                <w:tcPr>
                  <w:tcW w:w="625" w:type="pct"/>
                  <w:tcBorders>
                    <w:tl2br w:val="nil"/>
                    <w:tr2bl w:val="nil"/>
                  </w:tcBorders>
                  <w:vAlign w:val="center"/>
                </w:tcPr>
                <w:p w14:paraId="4960AF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680户，约2100人</w:t>
                  </w:r>
                </w:p>
              </w:tc>
            </w:tr>
          </w:tbl>
          <w:p w14:paraId="332E51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注</w:t>
            </w:r>
            <w:r>
              <w:rPr>
                <w:rFonts w:hint="eastAsia" w:ascii="Times New Roman" w:hAnsi="Times New Roman" w:cs="Times New Roman"/>
                <w:b w:val="0"/>
                <w:bCs w:val="0"/>
                <w:kern w:val="0"/>
                <w:sz w:val="24"/>
                <w:szCs w:val="24"/>
                <w:lang w:val="en-US" w:eastAsia="zh-CN"/>
              </w:rPr>
              <w:t>：</w:t>
            </w:r>
            <w:r>
              <w:rPr>
                <w:rFonts w:hint="eastAsia" w:ascii="Times New Roman" w:hAnsi="Times New Roman" w:eastAsia="宋体" w:cs="Times New Roman"/>
                <w:b w:val="0"/>
                <w:bCs w:val="0"/>
                <w:kern w:val="0"/>
                <w:sz w:val="24"/>
                <w:szCs w:val="24"/>
                <w:lang w:val="en-US" w:eastAsia="zh-CN"/>
              </w:rPr>
              <w:t>以项目厂区中心为原点建立坐标轴</w:t>
            </w:r>
            <w:r>
              <w:rPr>
                <w:rFonts w:hint="eastAsia" w:ascii="Times New Roman" w:hAnsi="Times New Roman" w:cs="Times New Roman"/>
                <w:b w:val="0"/>
                <w:bCs w:val="0"/>
                <w:kern w:val="0"/>
                <w:sz w:val="24"/>
                <w:szCs w:val="24"/>
                <w:lang w:val="en-US" w:eastAsia="zh-CN"/>
              </w:rPr>
              <w:t>（0，0）</w:t>
            </w:r>
            <w:r>
              <w:rPr>
                <w:rFonts w:hint="eastAsia" w:ascii="Times New Roman" w:hAnsi="Times New Roman" w:eastAsia="宋体" w:cs="Times New Roman"/>
                <w:b w:val="0"/>
                <w:bCs w:val="0"/>
                <w:kern w:val="0"/>
                <w:sz w:val="24"/>
                <w:szCs w:val="24"/>
                <w:lang w:val="en-US" w:eastAsia="zh-CN"/>
              </w:rPr>
              <w:t>。</w:t>
            </w:r>
          </w:p>
          <w:p w14:paraId="7EC7BB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（2）</w:t>
            </w:r>
            <w:r>
              <w:rPr>
                <w:rFonts w:hint="eastAsia" w:ascii="Times New Roman" w:hAnsi="Times New Roman" w:eastAsia="宋体" w:cs="Times New Roman"/>
                <w:b w:val="0"/>
                <w:bCs w:val="0"/>
                <w:kern w:val="0"/>
                <w:sz w:val="24"/>
                <w:szCs w:val="24"/>
                <w:lang w:val="en-US" w:eastAsia="zh-CN"/>
              </w:rPr>
              <w:t>声环境保护目标</w:t>
            </w:r>
          </w:p>
          <w:p w14:paraId="4EC962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项目</w:t>
            </w:r>
            <w:r>
              <w:rPr>
                <w:rFonts w:hint="eastAsia"/>
                <w:color w:val="auto"/>
                <w:sz w:val="24"/>
                <w:szCs w:val="24"/>
                <w:highlight w:val="none"/>
                <w:lang w:val="en-US" w:eastAsia="zh-CN"/>
              </w:rPr>
              <w:t>场界</w:t>
            </w:r>
            <w:r>
              <w:rPr>
                <w:rFonts w:hint="eastAsia" w:ascii="Times New Roman" w:hAnsi="Times New Roman" w:eastAsia="宋体" w:cs="Times New Roman"/>
                <w:b w:val="0"/>
                <w:bCs w:val="0"/>
                <w:kern w:val="0"/>
                <w:sz w:val="24"/>
                <w:szCs w:val="24"/>
                <w:lang w:val="en-US" w:eastAsia="zh-CN"/>
              </w:rPr>
              <w:t>外50m范围内存在居住区。项目50m范围内声环境保护目标详见</w:t>
            </w:r>
          </w:p>
          <w:p w14:paraId="6ACB49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0" w:firstLineChars="0"/>
              <w:jc w:val="left"/>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表3.2-2。</w:t>
            </w:r>
          </w:p>
          <w:p w14:paraId="0CC75D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firstLine="0" w:firstLineChars="0"/>
              <w:jc w:val="center"/>
              <w:textAlignment w:val="auto"/>
              <w:rPr>
                <w:rFonts w:hint="eastAsia"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表3.2-2 项目声环境保护目标一览表</w:t>
            </w:r>
          </w:p>
          <w:tbl>
            <w:tblPr>
              <w:tblStyle w:val="21"/>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502"/>
              <w:gridCol w:w="1045"/>
              <w:gridCol w:w="1045"/>
              <w:gridCol w:w="1045"/>
              <w:gridCol w:w="1045"/>
              <w:gridCol w:w="1045"/>
              <w:gridCol w:w="1045"/>
            </w:tblGrid>
            <w:tr w14:paraId="489D9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tcBorders>
                    <w:tl2br w:val="nil"/>
                    <w:tr2bl w:val="nil"/>
                  </w:tcBorders>
                  <w:vAlign w:val="center"/>
                </w:tcPr>
                <w:p w14:paraId="24720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序号</w:t>
                  </w:r>
                </w:p>
              </w:tc>
              <w:tc>
                <w:tcPr>
                  <w:tcW w:w="898" w:type="pct"/>
                  <w:vMerge w:val="restart"/>
                  <w:tcBorders>
                    <w:tl2br w:val="nil"/>
                    <w:tr2bl w:val="nil"/>
                  </w:tcBorders>
                  <w:vAlign w:val="center"/>
                </w:tcPr>
                <w:p w14:paraId="2F1FB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名称</w:t>
                  </w:r>
                </w:p>
              </w:tc>
              <w:tc>
                <w:tcPr>
                  <w:tcW w:w="1250" w:type="pct"/>
                  <w:gridSpan w:val="2"/>
                  <w:tcBorders>
                    <w:tl2br w:val="nil"/>
                    <w:tr2bl w:val="nil"/>
                  </w:tcBorders>
                  <w:vAlign w:val="center"/>
                </w:tcPr>
                <w:p w14:paraId="42BBBA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坐标/m</w:t>
                  </w:r>
                </w:p>
              </w:tc>
              <w:tc>
                <w:tcPr>
                  <w:tcW w:w="625" w:type="pct"/>
                  <w:vMerge w:val="restart"/>
                  <w:tcBorders>
                    <w:tl2br w:val="nil"/>
                    <w:tr2bl w:val="nil"/>
                  </w:tcBorders>
                  <w:vAlign w:val="center"/>
                </w:tcPr>
                <w:p w14:paraId="45B255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环境功能区</w:t>
                  </w:r>
                </w:p>
              </w:tc>
              <w:tc>
                <w:tcPr>
                  <w:tcW w:w="625" w:type="pct"/>
                  <w:vMerge w:val="restart"/>
                  <w:tcBorders>
                    <w:tl2br w:val="nil"/>
                    <w:tr2bl w:val="nil"/>
                  </w:tcBorders>
                  <w:vAlign w:val="center"/>
                </w:tcPr>
                <w:p w14:paraId="27B73E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相对厂址方位</w:t>
                  </w:r>
                </w:p>
              </w:tc>
              <w:tc>
                <w:tcPr>
                  <w:tcW w:w="625" w:type="pct"/>
                  <w:vMerge w:val="restart"/>
                  <w:tcBorders>
                    <w:tl2br w:val="nil"/>
                    <w:tr2bl w:val="nil"/>
                  </w:tcBorders>
                  <w:vAlign w:val="center"/>
                </w:tcPr>
                <w:p w14:paraId="0BE401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相对</w:t>
                  </w:r>
                  <w:r>
                    <w:rPr>
                      <w:rFonts w:hint="eastAsia"/>
                      <w:color w:val="auto"/>
                      <w:sz w:val="21"/>
                      <w:szCs w:val="21"/>
                      <w:highlight w:val="none"/>
                      <w:lang w:val="en-US" w:eastAsia="zh-CN"/>
                    </w:rPr>
                    <w:t>场界</w:t>
                  </w:r>
                  <w:r>
                    <w:rPr>
                      <w:rFonts w:hint="eastAsia" w:ascii="Times New Roman" w:hAnsi="Times New Roman" w:cs="Times New Roman"/>
                      <w:b w:val="0"/>
                      <w:bCs w:val="0"/>
                      <w:kern w:val="0"/>
                      <w:sz w:val="21"/>
                      <w:szCs w:val="21"/>
                      <w:vertAlign w:val="baseline"/>
                      <w:lang w:val="en-US" w:eastAsia="zh-CN"/>
                    </w:rPr>
                    <w:t>距离</w:t>
                  </w:r>
                </w:p>
              </w:tc>
              <w:tc>
                <w:tcPr>
                  <w:tcW w:w="625" w:type="pct"/>
                  <w:vMerge w:val="restart"/>
                  <w:tcBorders>
                    <w:tl2br w:val="nil"/>
                    <w:tr2bl w:val="nil"/>
                  </w:tcBorders>
                  <w:vAlign w:val="center"/>
                </w:tcPr>
                <w:p w14:paraId="0A8968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保护内容</w:t>
                  </w:r>
                </w:p>
              </w:tc>
            </w:tr>
            <w:tr w14:paraId="47185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14:paraId="3FFFD9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898" w:type="pct"/>
                  <w:vMerge w:val="continue"/>
                  <w:tcBorders>
                    <w:tl2br w:val="nil"/>
                    <w:tr2bl w:val="nil"/>
                  </w:tcBorders>
                  <w:vAlign w:val="center"/>
                </w:tcPr>
                <w:p w14:paraId="5F732A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625" w:type="pct"/>
                  <w:tcBorders>
                    <w:tl2br w:val="nil"/>
                    <w:tr2bl w:val="nil"/>
                  </w:tcBorders>
                  <w:vAlign w:val="center"/>
                </w:tcPr>
                <w:p w14:paraId="121A12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X</w:t>
                  </w:r>
                </w:p>
              </w:tc>
              <w:tc>
                <w:tcPr>
                  <w:tcW w:w="625" w:type="pct"/>
                  <w:tcBorders>
                    <w:tl2br w:val="nil"/>
                    <w:tr2bl w:val="nil"/>
                  </w:tcBorders>
                  <w:vAlign w:val="center"/>
                </w:tcPr>
                <w:p w14:paraId="31B03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Y</w:t>
                  </w:r>
                </w:p>
              </w:tc>
              <w:tc>
                <w:tcPr>
                  <w:tcW w:w="625" w:type="pct"/>
                  <w:vMerge w:val="continue"/>
                  <w:tcBorders>
                    <w:tl2br w:val="nil"/>
                    <w:tr2bl w:val="nil"/>
                  </w:tcBorders>
                  <w:vAlign w:val="center"/>
                </w:tcPr>
                <w:p w14:paraId="4B503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p>
              </w:tc>
              <w:tc>
                <w:tcPr>
                  <w:tcW w:w="625" w:type="pct"/>
                  <w:vMerge w:val="continue"/>
                  <w:tcBorders>
                    <w:tl2br w:val="nil"/>
                    <w:tr2bl w:val="nil"/>
                  </w:tcBorders>
                  <w:vAlign w:val="center"/>
                </w:tcPr>
                <w:p w14:paraId="68F129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625" w:type="pct"/>
                  <w:vMerge w:val="continue"/>
                  <w:tcBorders>
                    <w:tl2br w:val="nil"/>
                    <w:tr2bl w:val="nil"/>
                  </w:tcBorders>
                  <w:vAlign w:val="center"/>
                </w:tcPr>
                <w:p w14:paraId="6B329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c>
                <w:tcPr>
                  <w:tcW w:w="625" w:type="pct"/>
                  <w:vMerge w:val="continue"/>
                  <w:tcBorders>
                    <w:tl2br w:val="nil"/>
                    <w:tr2bl w:val="nil"/>
                  </w:tcBorders>
                  <w:vAlign w:val="center"/>
                </w:tcPr>
                <w:p w14:paraId="584869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p>
              </w:tc>
            </w:tr>
            <w:tr w14:paraId="336D7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0DCDB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w:t>
                  </w:r>
                </w:p>
              </w:tc>
              <w:tc>
                <w:tcPr>
                  <w:tcW w:w="898" w:type="pct"/>
                  <w:tcBorders>
                    <w:tl2br w:val="nil"/>
                    <w:tr2bl w:val="nil"/>
                  </w:tcBorders>
                  <w:shd w:val="clear" w:color="auto" w:fill="auto"/>
                  <w:vAlign w:val="center"/>
                </w:tcPr>
                <w:p w14:paraId="59DC3D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恒大绿岛新城B区</w:t>
                  </w:r>
                </w:p>
              </w:tc>
              <w:tc>
                <w:tcPr>
                  <w:tcW w:w="625" w:type="pct"/>
                  <w:tcBorders>
                    <w:tl2br w:val="nil"/>
                    <w:tr2bl w:val="nil"/>
                  </w:tcBorders>
                  <w:shd w:val="clear" w:color="auto" w:fill="auto"/>
                  <w:vAlign w:val="center"/>
                </w:tcPr>
                <w:p w14:paraId="52EB95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bidi="ar-SA"/>
                    </w:rPr>
                    <w:t>-5</w:t>
                  </w:r>
                </w:p>
              </w:tc>
              <w:tc>
                <w:tcPr>
                  <w:tcW w:w="625" w:type="pct"/>
                  <w:tcBorders>
                    <w:tl2br w:val="nil"/>
                    <w:tr2bl w:val="nil"/>
                  </w:tcBorders>
                  <w:shd w:val="clear" w:color="auto" w:fill="auto"/>
                  <w:vAlign w:val="center"/>
                </w:tcPr>
                <w:p w14:paraId="508BF0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-5</w:t>
                  </w:r>
                </w:p>
              </w:tc>
              <w:tc>
                <w:tcPr>
                  <w:tcW w:w="625" w:type="pct"/>
                  <w:vMerge w:val="restart"/>
                  <w:tcBorders>
                    <w:tl2br w:val="nil"/>
                    <w:tr2bl w:val="nil"/>
                  </w:tcBorders>
                  <w:shd w:val="clear" w:color="auto" w:fill="auto"/>
                  <w:vAlign w:val="center"/>
                </w:tcPr>
                <w:p w14:paraId="501F24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声环境4a类</w:t>
                  </w:r>
                </w:p>
              </w:tc>
              <w:tc>
                <w:tcPr>
                  <w:tcW w:w="625" w:type="pct"/>
                  <w:tcBorders>
                    <w:tl2br w:val="nil"/>
                    <w:tr2bl w:val="nil"/>
                  </w:tcBorders>
                  <w:shd w:val="clear" w:color="auto" w:fill="auto"/>
                  <w:vAlign w:val="center"/>
                </w:tcPr>
                <w:p w14:paraId="313DBE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西南</w:t>
                  </w:r>
                </w:p>
              </w:tc>
              <w:tc>
                <w:tcPr>
                  <w:tcW w:w="625" w:type="pct"/>
                  <w:tcBorders>
                    <w:tl2br w:val="nil"/>
                    <w:tr2bl w:val="nil"/>
                  </w:tcBorders>
                  <w:shd w:val="clear" w:color="auto" w:fill="auto"/>
                  <w:vAlign w:val="center"/>
                </w:tcPr>
                <w:p w14:paraId="2180C4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5</w:t>
                  </w:r>
                </w:p>
              </w:tc>
              <w:tc>
                <w:tcPr>
                  <w:tcW w:w="625" w:type="pct"/>
                  <w:tcBorders>
                    <w:tl2br w:val="nil"/>
                    <w:tr2bl w:val="nil"/>
                  </w:tcBorders>
                  <w:shd w:val="clear" w:color="auto" w:fill="auto"/>
                  <w:vAlign w:val="center"/>
                </w:tcPr>
                <w:p w14:paraId="62832F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1336户，约4100人</w:t>
                  </w:r>
                </w:p>
              </w:tc>
            </w:tr>
            <w:tr w14:paraId="671AE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634B8E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w:t>
                  </w:r>
                </w:p>
              </w:tc>
              <w:tc>
                <w:tcPr>
                  <w:tcW w:w="898" w:type="pct"/>
                  <w:tcBorders>
                    <w:tl2br w:val="nil"/>
                    <w:tr2bl w:val="nil"/>
                  </w:tcBorders>
                  <w:shd w:val="clear" w:color="auto" w:fill="auto"/>
                  <w:vAlign w:val="center"/>
                </w:tcPr>
                <w:p w14:paraId="2C347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锦春绿岛新区</w:t>
                  </w:r>
                </w:p>
              </w:tc>
              <w:tc>
                <w:tcPr>
                  <w:tcW w:w="625" w:type="pct"/>
                  <w:tcBorders>
                    <w:tl2br w:val="nil"/>
                    <w:tr2bl w:val="nil"/>
                  </w:tcBorders>
                  <w:shd w:val="clear" w:color="auto" w:fill="auto"/>
                  <w:vAlign w:val="center"/>
                </w:tcPr>
                <w:p w14:paraId="61900D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40</w:t>
                  </w:r>
                </w:p>
              </w:tc>
              <w:tc>
                <w:tcPr>
                  <w:tcW w:w="625" w:type="pct"/>
                  <w:tcBorders>
                    <w:tl2br w:val="nil"/>
                    <w:tr2bl w:val="nil"/>
                  </w:tcBorders>
                  <w:shd w:val="clear" w:color="auto" w:fill="auto"/>
                  <w:vAlign w:val="center"/>
                </w:tcPr>
                <w:p w14:paraId="46AB01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0</w:t>
                  </w:r>
                </w:p>
              </w:tc>
              <w:tc>
                <w:tcPr>
                  <w:tcW w:w="625" w:type="pct"/>
                  <w:vMerge w:val="continue"/>
                  <w:tcBorders>
                    <w:tl2br w:val="nil"/>
                    <w:tr2bl w:val="nil"/>
                  </w:tcBorders>
                  <w:shd w:val="clear" w:color="auto" w:fill="auto"/>
                  <w:vAlign w:val="center"/>
                </w:tcPr>
                <w:p w14:paraId="23EDC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03848A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东</w:t>
                  </w:r>
                </w:p>
              </w:tc>
              <w:tc>
                <w:tcPr>
                  <w:tcW w:w="625" w:type="pct"/>
                  <w:tcBorders>
                    <w:tl2br w:val="nil"/>
                    <w:tr2bl w:val="nil"/>
                  </w:tcBorders>
                  <w:shd w:val="clear" w:color="auto" w:fill="auto"/>
                  <w:vAlign w:val="center"/>
                </w:tcPr>
                <w:p w14:paraId="159632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40</w:t>
                  </w:r>
                </w:p>
              </w:tc>
              <w:tc>
                <w:tcPr>
                  <w:tcW w:w="625" w:type="pct"/>
                  <w:tcBorders>
                    <w:tl2br w:val="nil"/>
                    <w:tr2bl w:val="nil"/>
                  </w:tcBorders>
                  <w:shd w:val="clear" w:color="auto" w:fill="auto"/>
                  <w:vAlign w:val="center"/>
                </w:tcPr>
                <w:p w14:paraId="560FE4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834户，约3400人</w:t>
                  </w:r>
                </w:p>
              </w:tc>
            </w:tr>
            <w:tr w14:paraId="18D06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14:paraId="328B05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w:t>
                  </w:r>
                </w:p>
              </w:tc>
              <w:tc>
                <w:tcPr>
                  <w:tcW w:w="1502" w:type="dxa"/>
                  <w:tcBorders>
                    <w:tl2br w:val="nil"/>
                    <w:tr2bl w:val="nil"/>
                  </w:tcBorders>
                  <w:shd w:val="clear" w:color="auto" w:fill="auto"/>
                  <w:vAlign w:val="center"/>
                </w:tcPr>
                <w:p w14:paraId="2AD3D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恒大绿岛新城G区</w:t>
                  </w:r>
                </w:p>
              </w:tc>
              <w:tc>
                <w:tcPr>
                  <w:tcW w:w="625" w:type="pct"/>
                  <w:tcBorders>
                    <w:tl2br w:val="nil"/>
                    <w:tr2bl w:val="nil"/>
                  </w:tcBorders>
                  <w:shd w:val="clear" w:color="auto" w:fill="auto"/>
                  <w:vAlign w:val="center"/>
                </w:tcPr>
                <w:p w14:paraId="5888C7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w:t>
                  </w:r>
                </w:p>
              </w:tc>
              <w:tc>
                <w:tcPr>
                  <w:tcW w:w="625" w:type="pct"/>
                  <w:tcBorders>
                    <w:tl2br w:val="nil"/>
                    <w:tr2bl w:val="nil"/>
                  </w:tcBorders>
                  <w:shd w:val="clear" w:color="auto" w:fill="auto"/>
                  <w:vAlign w:val="center"/>
                </w:tcPr>
                <w:p w14:paraId="30397F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w:t>
                  </w:r>
                </w:p>
              </w:tc>
              <w:tc>
                <w:tcPr>
                  <w:tcW w:w="625" w:type="pct"/>
                  <w:vMerge w:val="continue"/>
                  <w:tcBorders>
                    <w:tl2br w:val="nil"/>
                    <w:tr2bl w:val="nil"/>
                  </w:tcBorders>
                  <w:shd w:val="clear" w:color="auto" w:fill="auto"/>
                  <w:vAlign w:val="center"/>
                </w:tcPr>
                <w:p w14:paraId="7030D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bidi="ar-SA"/>
                    </w:rPr>
                  </w:pPr>
                </w:p>
              </w:tc>
              <w:tc>
                <w:tcPr>
                  <w:tcW w:w="625" w:type="pct"/>
                  <w:tcBorders>
                    <w:tl2br w:val="nil"/>
                    <w:tr2bl w:val="nil"/>
                  </w:tcBorders>
                  <w:shd w:val="clear" w:color="auto" w:fill="auto"/>
                  <w:vAlign w:val="center"/>
                </w:tcPr>
                <w:p w14:paraId="5105D3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北</w:t>
                  </w:r>
                </w:p>
              </w:tc>
              <w:tc>
                <w:tcPr>
                  <w:tcW w:w="625" w:type="pct"/>
                  <w:tcBorders>
                    <w:tl2br w:val="nil"/>
                    <w:tr2bl w:val="nil"/>
                  </w:tcBorders>
                  <w:shd w:val="clear" w:color="auto" w:fill="auto"/>
                  <w:vAlign w:val="center"/>
                </w:tcPr>
                <w:p w14:paraId="5D81B3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w:t>
                  </w:r>
                </w:p>
              </w:tc>
              <w:tc>
                <w:tcPr>
                  <w:tcW w:w="625" w:type="pct"/>
                  <w:tcBorders>
                    <w:tl2br w:val="nil"/>
                    <w:tr2bl w:val="nil"/>
                  </w:tcBorders>
                  <w:shd w:val="clear" w:color="auto" w:fill="auto"/>
                  <w:vAlign w:val="center"/>
                </w:tcPr>
                <w:p w14:paraId="52632A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1179户，约3600人</w:t>
                  </w:r>
                </w:p>
              </w:tc>
            </w:tr>
          </w:tbl>
          <w:p w14:paraId="18FCE803">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地下水环境</w:t>
            </w:r>
          </w:p>
          <w:p w14:paraId="62C8A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项目</w:t>
            </w:r>
            <w:r>
              <w:rPr>
                <w:rFonts w:hint="eastAsia"/>
                <w:color w:val="auto"/>
                <w:sz w:val="24"/>
                <w:szCs w:val="24"/>
                <w:highlight w:val="none"/>
                <w:lang w:val="en-US" w:eastAsia="zh-CN"/>
              </w:rPr>
              <w:t>场界</w:t>
            </w:r>
            <w:r>
              <w:rPr>
                <w:rFonts w:hint="default" w:ascii="Times New Roman" w:hAnsi="Times New Roman" w:cs="Times New Roman"/>
                <w:b w:val="0"/>
                <w:bCs w:val="0"/>
                <w:kern w:val="0"/>
                <w:sz w:val="24"/>
                <w:szCs w:val="24"/>
                <w:lang w:val="en-US" w:eastAsia="zh-CN"/>
              </w:rPr>
              <w:t>外500m 范围内无地下水集中式饮用水水源和热水、矿泉水、温泉等特殊地下水资源。</w:t>
            </w:r>
          </w:p>
          <w:p w14:paraId="0585266C">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s="Times New Roman"/>
                <w:b w:val="0"/>
                <w:bCs w:val="0"/>
                <w:kern w:val="0"/>
                <w:sz w:val="24"/>
                <w:szCs w:val="24"/>
                <w:lang w:val="en-US" w:eastAsia="zh-CN"/>
              </w:rPr>
            </w:pPr>
            <w:r>
              <w:rPr>
                <w:rFonts w:hint="eastAsia" w:cs="Times New Roman"/>
                <w:b w:val="0"/>
                <w:bCs w:val="0"/>
                <w:kern w:val="0"/>
                <w:sz w:val="24"/>
                <w:szCs w:val="24"/>
                <w:lang w:val="en-US" w:eastAsia="zh-CN"/>
              </w:rPr>
              <w:t>生态环境</w:t>
            </w:r>
          </w:p>
          <w:p w14:paraId="5512C2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eastAsia="宋体" w:cs="Times New Roman"/>
                <w:b w:val="0"/>
                <w:bCs w:val="0"/>
                <w:kern w:val="0"/>
                <w:sz w:val="24"/>
                <w:szCs w:val="24"/>
                <w:lang w:val="en-US" w:eastAsia="zh-CN"/>
              </w:rPr>
            </w:pPr>
            <w:r>
              <w:rPr>
                <w:rFonts w:hint="default" w:cs="Times New Roman"/>
                <w:b w:val="0"/>
                <w:bCs w:val="0"/>
                <w:kern w:val="0"/>
                <w:sz w:val="24"/>
                <w:szCs w:val="24"/>
                <w:lang w:val="en-US" w:eastAsia="zh-CN"/>
              </w:rPr>
              <w:t>项目位于</w:t>
            </w:r>
            <w:r>
              <w:rPr>
                <w:rFonts w:hint="eastAsia" w:cs="Times New Roman"/>
                <w:b w:val="0"/>
                <w:bCs w:val="0"/>
                <w:kern w:val="0"/>
                <w:sz w:val="24"/>
                <w:szCs w:val="24"/>
                <w:highlight w:val="none"/>
                <w:lang w:val="en-US" w:eastAsia="zh-CN"/>
              </w:rPr>
              <w:t>重庆市璧山区璧泉街道东林大道67号4幢附37号</w:t>
            </w:r>
            <w:r>
              <w:rPr>
                <w:rFonts w:hint="default" w:cs="Times New Roman"/>
                <w:b w:val="0"/>
                <w:bCs w:val="0"/>
                <w:kern w:val="0"/>
                <w:sz w:val="24"/>
                <w:szCs w:val="24"/>
                <w:lang w:val="en-US" w:eastAsia="zh-CN"/>
              </w:rPr>
              <w:t>，属于城市建成区，</w:t>
            </w:r>
            <w:r>
              <w:rPr>
                <w:rFonts w:hint="default" w:ascii="Times New Roman" w:hAnsi="Times New Roman" w:eastAsia="宋体" w:cs="Times New Roman"/>
                <w:b w:val="0"/>
                <w:bCs w:val="0"/>
                <w:kern w:val="0"/>
                <w:sz w:val="24"/>
                <w:szCs w:val="24"/>
              </w:rPr>
              <w:t>用地范围内无生态环境保护目标</w:t>
            </w:r>
            <w:r>
              <w:rPr>
                <w:rFonts w:hint="eastAsia" w:ascii="Times New Roman" w:hAnsi="Times New Roman" w:eastAsia="宋体" w:cs="Times New Roman"/>
                <w:b w:val="0"/>
                <w:bCs w:val="0"/>
                <w:kern w:val="0"/>
                <w:sz w:val="24"/>
                <w:szCs w:val="24"/>
                <w:lang w:eastAsia="zh-CN"/>
              </w:rPr>
              <w:t>。</w:t>
            </w:r>
          </w:p>
        </w:tc>
      </w:tr>
      <w:tr w14:paraId="090187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91" w:hRule="atLeast"/>
          <w:jc w:val="center"/>
        </w:trPr>
        <w:tc>
          <w:tcPr>
            <w:tcW w:w="426" w:type="dxa"/>
            <w:noWrap w:val="0"/>
            <w:tcMar>
              <w:left w:w="28" w:type="dxa"/>
              <w:right w:w="28" w:type="dxa"/>
            </w:tcMar>
            <w:vAlign w:val="center"/>
          </w:tcPr>
          <w:p w14:paraId="57B8C11A">
            <w:pPr>
              <w:adjustRightInd w:val="0"/>
              <w:snapToGrid w:val="0"/>
              <w:jc w:val="center"/>
              <w:rPr>
                <w:rFonts w:hint="eastAsia" w:ascii="宋体" w:hAnsi="宋体" w:cs="宋体"/>
                <w:kern w:val="0"/>
                <w:szCs w:val="21"/>
              </w:rPr>
            </w:pPr>
            <w:r>
              <w:rPr>
                <w:rFonts w:hint="eastAsia" w:ascii="宋体" w:hAnsi="宋体" w:cs="宋体"/>
                <w:kern w:val="0"/>
                <w:szCs w:val="21"/>
              </w:rPr>
              <w:t>污染</w:t>
            </w:r>
          </w:p>
          <w:p w14:paraId="23D29541">
            <w:pPr>
              <w:adjustRightInd w:val="0"/>
              <w:snapToGrid w:val="0"/>
              <w:jc w:val="center"/>
              <w:rPr>
                <w:rFonts w:hint="eastAsia" w:ascii="宋体" w:hAnsi="宋体" w:cs="宋体"/>
                <w:kern w:val="0"/>
                <w:szCs w:val="21"/>
              </w:rPr>
            </w:pPr>
            <w:r>
              <w:rPr>
                <w:rFonts w:hint="eastAsia" w:ascii="宋体" w:hAnsi="宋体" w:cs="宋体"/>
                <w:kern w:val="0"/>
                <w:szCs w:val="21"/>
              </w:rPr>
              <w:t>物排</w:t>
            </w:r>
          </w:p>
          <w:p w14:paraId="53DB3898">
            <w:pPr>
              <w:adjustRightInd w:val="0"/>
              <w:snapToGrid w:val="0"/>
              <w:jc w:val="center"/>
              <w:rPr>
                <w:rFonts w:hint="eastAsia" w:ascii="宋体" w:hAnsi="宋体" w:cs="宋体"/>
                <w:kern w:val="0"/>
                <w:szCs w:val="21"/>
              </w:rPr>
            </w:pPr>
            <w:r>
              <w:rPr>
                <w:rFonts w:hint="eastAsia" w:ascii="宋体" w:hAnsi="宋体" w:cs="宋体"/>
                <w:kern w:val="0"/>
                <w:szCs w:val="21"/>
              </w:rPr>
              <w:t>放控</w:t>
            </w:r>
          </w:p>
          <w:p w14:paraId="577B7394">
            <w:pPr>
              <w:adjustRightInd w:val="0"/>
              <w:snapToGrid w:val="0"/>
              <w:jc w:val="center"/>
              <w:rPr>
                <w:rFonts w:hint="eastAsia" w:ascii="宋体" w:hAnsi="宋体" w:cs="宋体"/>
                <w:kern w:val="0"/>
                <w:szCs w:val="21"/>
              </w:rPr>
            </w:pPr>
            <w:r>
              <w:rPr>
                <w:rFonts w:hint="eastAsia" w:ascii="宋体" w:hAnsi="宋体" w:cs="宋体"/>
                <w:kern w:val="0"/>
                <w:szCs w:val="21"/>
              </w:rPr>
              <w:t>制标</w:t>
            </w:r>
          </w:p>
          <w:p w14:paraId="2E44B392">
            <w:pPr>
              <w:adjustRightInd w:val="0"/>
              <w:snapToGrid w:val="0"/>
              <w:jc w:val="center"/>
              <w:rPr>
                <w:rFonts w:ascii="宋体" w:hAnsi="宋体" w:cs="宋体"/>
                <w:kern w:val="0"/>
                <w:szCs w:val="21"/>
              </w:rPr>
            </w:pPr>
            <w:r>
              <w:rPr>
                <w:rFonts w:hint="eastAsia" w:ascii="宋体" w:hAnsi="宋体" w:cs="宋体"/>
                <w:kern w:val="0"/>
                <w:szCs w:val="21"/>
              </w:rPr>
              <w:t>准</w:t>
            </w:r>
          </w:p>
        </w:tc>
        <w:tc>
          <w:tcPr>
            <w:tcW w:w="8600" w:type="dxa"/>
            <w:noWrap w:val="0"/>
            <w:vAlign w:val="center"/>
          </w:tcPr>
          <w:p w14:paraId="1C92FB0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3.3污染物排放控制标准</w:t>
            </w:r>
          </w:p>
          <w:p w14:paraId="2117982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3.3.1大气污染物排放标准</w:t>
            </w:r>
          </w:p>
          <w:p w14:paraId="3449F0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kern w:val="0"/>
                <w:sz w:val="24"/>
                <w:szCs w:val="24"/>
              </w:rPr>
            </w:pPr>
            <w:r>
              <w:rPr>
                <w:rFonts w:hint="eastAsia" w:ascii="Times New Roman" w:hAnsi="Times New Roman" w:cs="Times New Roman"/>
                <w:b w:val="0"/>
                <w:bCs w:val="0"/>
                <w:kern w:val="0"/>
                <w:sz w:val="24"/>
                <w:szCs w:val="24"/>
                <w:lang w:eastAsia="zh-CN"/>
              </w:rPr>
              <w:t>（</w:t>
            </w:r>
            <w:r>
              <w:rPr>
                <w:rFonts w:hint="eastAsia" w:ascii="Times New Roman" w:hAnsi="Times New Roman" w:cs="Times New Roman"/>
                <w:b w:val="0"/>
                <w:bCs w:val="0"/>
                <w:kern w:val="0"/>
                <w:sz w:val="24"/>
                <w:szCs w:val="24"/>
                <w:lang w:val="en-US" w:eastAsia="zh-CN"/>
              </w:rPr>
              <w:t>1</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废气</w:t>
            </w:r>
          </w:p>
          <w:p w14:paraId="6A9257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kern w:val="0"/>
                <w:sz w:val="24"/>
                <w:szCs w:val="24"/>
              </w:rPr>
            </w:pPr>
            <w:r>
              <w:rPr>
                <w:rFonts w:hint="default" w:ascii="Times New Roman" w:hAnsi="Times New Roman" w:cs="Times New Roman"/>
                <w:b w:val="0"/>
                <w:bCs w:val="0"/>
                <w:kern w:val="0"/>
                <w:sz w:val="24"/>
                <w:szCs w:val="24"/>
              </w:rPr>
              <w:t>项目臭气主要来自动物住院过程，产生的臭气量较小，执行《恶臭污染物排放标准》</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GB14554-93</w:t>
            </w:r>
            <w:r>
              <w:rPr>
                <w:rFonts w:hint="eastAsia" w:ascii="Times New Roman" w:hAnsi="Times New Roman" w:cs="Times New Roman"/>
                <w:b w:val="0"/>
                <w:bCs w:val="0"/>
                <w:kern w:val="0"/>
                <w:sz w:val="24"/>
                <w:szCs w:val="24"/>
                <w:lang w:eastAsia="zh-CN"/>
              </w:rPr>
              <w:t>）</w:t>
            </w:r>
            <w:r>
              <w:rPr>
                <w:rFonts w:hint="default" w:ascii="Times New Roman" w:hAnsi="Times New Roman" w:cs="Times New Roman"/>
                <w:b w:val="0"/>
                <w:bCs w:val="0"/>
                <w:kern w:val="0"/>
                <w:sz w:val="24"/>
                <w:szCs w:val="24"/>
              </w:rPr>
              <w:t>具体标准值见表3-3-1。</w:t>
            </w:r>
          </w:p>
          <w:p w14:paraId="393D7E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kern w:val="0"/>
                <w:sz w:val="24"/>
                <w:szCs w:val="24"/>
                <w:vertAlign w:val="baseline"/>
              </w:rPr>
            </w:pPr>
            <w:r>
              <w:rPr>
                <w:rFonts w:hint="default" w:ascii="Times New Roman" w:hAnsi="Times New Roman" w:cs="Times New Roman"/>
                <w:b w:val="0"/>
                <w:bCs w:val="0"/>
                <w:kern w:val="0"/>
                <w:sz w:val="24"/>
                <w:szCs w:val="24"/>
              </w:rPr>
              <w:t>表3.3-1 恶臭污染物排放标准</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361"/>
              <w:gridCol w:w="3297"/>
            </w:tblGrid>
            <w:tr w14:paraId="0833C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14:paraId="63AAB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序号</w:t>
                  </w:r>
                </w:p>
              </w:tc>
              <w:tc>
                <w:tcPr>
                  <w:tcW w:w="2011" w:type="pct"/>
                  <w:tcBorders>
                    <w:tl2br w:val="nil"/>
                    <w:tr2bl w:val="nil"/>
                  </w:tcBorders>
                  <w:vAlign w:val="center"/>
                </w:tcPr>
                <w:p w14:paraId="3824E0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污染物名称</w:t>
                  </w:r>
                </w:p>
              </w:tc>
              <w:tc>
                <w:tcPr>
                  <w:tcW w:w="1973" w:type="pct"/>
                  <w:tcBorders>
                    <w:tl2br w:val="nil"/>
                    <w:tr2bl w:val="nil"/>
                  </w:tcBorders>
                  <w:vAlign w:val="center"/>
                </w:tcPr>
                <w:p w14:paraId="633920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标准值（二级）</w:t>
                  </w:r>
                </w:p>
              </w:tc>
            </w:tr>
            <w:tr w14:paraId="01A67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5" w:type="pct"/>
                  <w:tcBorders>
                    <w:tl2br w:val="nil"/>
                    <w:tr2bl w:val="nil"/>
                  </w:tcBorders>
                  <w:vAlign w:val="center"/>
                </w:tcPr>
                <w:p w14:paraId="1454BB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1</w:t>
                  </w:r>
                </w:p>
              </w:tc>
              <w:tc>
                <w:tcPr>
                  <w:tcW w:w="2011" w:type="pct"/>
                  <w:tcBorders>
                    <w:tl2br w:val="nil"/>
                    <w:tr2bl w:val="nil"/>
                  </w:tcBorders>
                  <w:vAlign w:val="center"/>
                </w:tcPr>
                <w:p w14:paraId="76D642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臭气浓度</w:t>
                  </w:r>
                </w:p>
              </w:tc>
              <w:tc>
                <w:tcPr>
                  <w:tcW w:w="1973" w:type="pct"/>
                  <w:tcBorders>
                    <w:tl2br w:val="nil"/>
                    <w:tr2bl w:val="nil"/>
                  </w:tcBorders>
                  <w:vAlign w:val="center"/>
                </w:tcPr>
                <w:p w14:paraId="275535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20（无量纲）</w:t>
                  </w:r>
                </w:p>
              </w:tc>
            </w:tr>
          </w:tbl>
          <w:p w14:paraId="4F8793D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3.3.2 废水污染物排放标准</w:t>
            </w:r>
          </w:p>
          <w:p w14:paraId="6FA512C9">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rPr>
              <w:t>本项目为</w:t>
            </w:r>
            <w:r>
              <w:rPr>
                <w:rFonts w:hint="eastAsia"/>
                <w:color w:val="auto"/>
                <w:sz w:val="24"/>
                <w:szCs w:val="24"/>
                <w:highlight w:val="none"/>
                <w:lang w:val="en-US" w:eastAsia="zh-CN"/>
              </w:rPr>
              <w:t>宠物</w:t>
            </w:r>
            <w:r>
              <w:rPr>
                <w:rFonts w:hint="eastAsia"/>
                <w:color w:val="auto"/>
                <w:sz w:val="24"/>
                <w:szCs w:val="24"/>
                <w:highlight w:val="none"/>
              </w:rPr>
              <w:t>医院，主要收治猫、犬动物，医院体量较小。参照《医疗机构水污染物排放标准》（GB</w:t>
            </w:r>
            <w:r>
              <w:rPr>
                <w:rFonts w:hint="eastAsia"/>
                <w:color w:val="auto"/>
                <w:sz w:val="24"/>
                <w:szCs w:val="24"/>
                <w:highlight w:val="none"/>
                <w:lang w:val="en-US" w:eastAsia="zh-CN"/>
              </w:rPr>
              <w:t xml:space="preserve"> </w:t>
            </w:r>
            <w:r>
              <w:rPr>
                <w:rFonts w:hint="eastAsia"/>
                <w:color w:val="auto"/>
                <w:sz w:val="24"/>
                <w:szCs w:val="24"/>
                <w:highlight w:val="none"/>
              </w:rPr>
              <w:t>18466-2005）4.1.3“县级以下或20张床位以下的综合医疗机构和其他所有医疗机构污水经消毒后方可排放”。本次环评采取动物用药量换算公式计算床位当量，参考《药理实验方法学》，宠物用药量与人用药量换算系数为“0.039×猫体重（kg），0.027×犬体重（kg）”，</w:t>
            </w:r>
            <w:r>
              <w:rPr>
                <w:rFonts w:hint="eastAsia"/>
                <w:color w:val="auto"/>
                <w:sz w:val="24"/>
                <w:szCs w:val="24"/>
                <w:highlight w:val="none"/>
                <w:lang w:val="en-US" w:eastAsia="zh-CN"/>
              </w:rPr>
              <w:t>本项目</w:t>
            </w:r>
            <w:r>
              <w:rPr>
                <w:rFonts w:hint="eastAsia"/>
                <w:color w:val="auto"/>
                <w:sz w:val="24"/>
                <w:szCs w:val="24"/>
                <w:highlight w:val="none"/>
              </w:rPr>
              <w:t>猫最大住院</w:t>
            </w:r>
            <w:r>
              <w:rPr>
                <w:rFonts w:hint="eastAsia"/>
                <w:color w:val="auto"/>
                <w:sz w:val="24"/>
                <w:szCs w:val="24"/>
                <w:highlight w:val="none"/>
                <w:lang w:val="en-US" w:eastAsia="zh-CN"/>
              </w:rPr>
              <w:t>量为16</w:t>
            </w:r>
            <w:r>
              <w:rPr>
                <w:rFonts w:hint="eastAsia"/>
                <w:color w:val="auto"/>
                <w:sz w:val="24"/>
                <w:szCs w:val="24"/>
                <w:highlight w:val="none"/>
              </w:rPr>
              <w:t>只，平均体重约4kg，犬最大住院</w:t>
            </w:r>
            <w:r>
              <w:rPr>
                <w:rFonts w:hint="eastAsia"/>
                <w:color w:val="auto"/>
                <w:sz w:val="24"/>
                <w:szCs w:val="24"/>
                <w:highlight w:val="none"/>
                <w:lang w:val="en-US" w:eastAsia="zh-CN"/>
              </w:rPr>
              <w:t>量为10</w:t>
            </w:r>
            <w:r>
              <w:rPr>
                <w:rFonts w:hint="eastAsia"/>
                <w:color w:val="auto"/>
                <w:sz w:val="24"/>
                <w:szCs w:val="24"/>
                <w:highlight w:val="none"/>
              </w:rPr>
              <w:t>只，平均体重约8kg，换算成床位当量约为</w:t>
            </w:r>
            <w:r>
              <w:rPr>
                <w:rFonts w:hint="eastAsia"/>
                <w:color w:val="auto"/>
                <w:sz w:val="24"/>
                <w:szCs w:val="24"/>
                <w:highlight w:val="none"/>
                <w:lang w:val="en-US" w:eastAsia="zh-CN"/>
              </w:rPr>
              <w:t>5</w:t>
            </w:r>
            <w:r>
              <w:rPr>
                <w:rFonts w:hint="eastAsia"/>
                <w:color w:val="auto"/>
                <w:sz w:val="24"/>
                <w:szCs w:val="24"/>
                <w:highlight w:val="none"/>
              </w:rPr>
              <w:t>张床位</w:t>
            </w:r>
            <w:r>
              <w:rPr>
                <w:rFonts w:hint="eastAsia"/>
                <w:color w:val="auto"/>
                <w:sz w:val="24"/>
                <w:szCs w:val="24"/>
                <w:highlight w:val="none"/>
                <w:lang w:eastAsia="zh-CN"/>
              </w:rPr>
              <w:t>，</w:t>
            </w:r>
            <w:r>
              <w:rPr>
                <w:rFonts w:hint="eastAsia"/>
                <w:color w:val="auto"/>
                <w:sz w:val="24"/>
                <w:szCs w:val="24"/>
                <w:highlight w:val="none"/>
              </w:rPr>
              <w:t>低于20张床位，根据《医疗机构水污染物排放标准》（GB</w:t>
            </w:r>
            <w:r>
              <w:rPr>
                <w:rFonts w:hint="eastAsia"/>
                <w:color w:val="auto"/>
                <w:sz w:val="24"/>
                <w:szCs w:val="24"/>
                <w:highlight w:val="none"/>
                <w:lang w:val="en-US" w:eastAsia="zh-CN"/>
              </w:rPr>
              <w:t xml:space="preserve"> </w:t>
            </w:r>
            <w:r>
              <w:rPr>
                <w:rFonts w:hint="eastAsia"/>
                <w:color w:val="auto"/>
                <w:sz w:val="24"/>
                <w:szCs w:val="24"/>
                <w:highlight w:val="none"/>
              </w:rPr>
              <w:t>18466-2005），仅进行消毒处理即可，</w:t>
            </w:r>
            <w:r>
              <w:rPr>
                <w:rFonts w:hint="eastAsia"/>
                <w:color w:val="auto"/>
                <w:sz w:val="24"/>
                <w:szCs w:val="24"/>
                <w:highlight w:val="none"/>
                <w:lang w:val="en-US" w:eastAsia="zh-CN"/>
              </w:rPr>
              <w:t>本</w:t>
            </w:r>
            <w:r>
              <w:rPr>
                <w:rFonts w:hint="eastAsia"/>
                <w:color w:val="auto"/>
                <w:sz w:val="24"/>
                <w:szCs w:val="24"/>
                <w:highlight w:val="none"/>
              </w:rPr>
              <w:t>项目医疗废水采用</w:t>
            </w:r>
            <w:r>
              <w:rPr>
                <w:rFonts w:hint="eastAsia"/>
                <w:color w:val="auto"/>
                <w:sz w:val="24"/>
                <w:szCs w:val="24"/>
                <w:highlight w:val="none"/>
                <w:lang w:val="en-US" w:eastAsia="zh-CN"/>
              </w:rPr>
              <w:t>二氧化氯消毒片进行</w:t>
            </w:r>
            <w:r>
              <w:rPr>
                <w:rFonts w:hint="eastAsia"/>
                <w:color w:val="auto"/>
                <w:sz w:val="24"/>
                <w:szCs w:val="24"/>
                <w:highlight w:val="none"/>
              </w:rPr>
              <w:t>消毒。</w:t>
            </w:r>
          </w:p>
          <w:p w14:paraId="08F7B007">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ascii="Times New Roman" w:hAnsi="Times New Roman" w:eastAsia="宋体" w:cs="Times New Roman"/>
                <w:sz w:val="24"/>
                <w:szCs w:val="24"/>
                <w:highlight w:val="none"/>
                <w:lang w:val="en-US" w:eastAsia="zh-CN"/>
              </w:rPr>
              <w:t>本项目</w:t>
            </w:r>
            <w:r>
              <w:rPr>
                <w:rFonts w:hint="eastAsia" w:cs="Times New Roman"/>
                <w:sz w:val="24"/>
                <w:szCs w:val="24"/>
                <w:highlight w:val="none"/>
                <w:lang w:val="en-US" w:eastAsia="zh-CN"/>
              </w:rPr>
              <w:t>医疗废水经消毒设施预处理后地面清洁污水、员工生活污水和流动顾客污水等</w:t>
            </w:r>
            <w:r>
              <w:rPr>
                <w:rFonts w:hint="eastAsia" w:ascii="Times New Roman" w:hAnsi="Times New Roman" w:eastAsia="宋体" w:cs="Times New Roman"/>
                <w:snapToGrid w:val="0"/>
                <w:color w:val="auto"/>
                <w:kern w:val="2"/>
                <w:sz w:val="24"/>
                <w:szCs w:val="24"/>
                <w:highlight w:val="none"/>
                <w:lang w:val="en-US" w:eastAsia="zh-CN" w:bidi="ar-SA"/>
              </w:rPr>
              <w:t>一并排入</w:t>
            </w:r>
            <w:r>
              <w:rPr>
                <w:rFonts w:hint="eastAsia" w:cs="Times New Roman"/>
                <w:color w:val="auto"/>
                <w:sz w:val="24"/>
                <w:szCs w:val="24"/>
                <w:highlight w:val="none"/>
                <w:lang w:val="en-US" w:eastAsia="zh-CN"/>
              </w:rPr>
              <w:t>恒大绿岛新城B区生化池</w:t>
            </w:r>
            <w:r>
              <w:rPr>
                <w:rFonts w:hint="eastAsia" w:ascii="Times New Roman" w:hAnsi="Times New Roman" w:eastAsia="宋体" w:cs="Times New Roman"/>
                <w:color w:val="auto"/>
                <w:sz w:val="24"/>
                <w:szCs w:val="24"/>
                <w:highlight w:val="none"/>
                <w:lang w:val="en-US" w:eastAsia="zh-CN"/>
              </w:rPr>
              <w:t>处理达</w:t>
            </w:r>
            <w:r>
              <w:rPr>
                <w:rFonts w:hint="default" w:ascii="Times New Roman" w:hAnsi="Times New Roman" w:eastAsia="宋体" w:cs="Times New Roman"/>
                <w:color w:val="auto"/>
                <w:sz w:val="24"/>
                <w:szCs w:val="24"/>
                <w:highlight w:val="none"/>
                <w:lang w:val="en-US" w:eastAsia="zh-CN"/>
              </w:rPr>
              <w:t>《污水综合排放标准》（GB 8978-1996）三级标准后排入市政污水管网，再经</w:t>
            </w:r>
            <w:r>
              <w:rPr>
                <w:rFonts w:hint="eastAsia" w:ascii="Times New Roman" w:hAnsi="Times New Roman" w:eastAsia="宋体" w:cs="Times New Roman"/>
                <w:color w:val="auto"/>
                <w:sz w:val="24"/>
                <w:szCs w:val="24"/>
                <w:highlight w:val="none"/>
                <w:lang w:val="en-US" w:eastAsia="zh-CN"/>
              </w:rPr>
              <w:t>观音塘</w:t>
            </w:r>
            <w:r>
              <w:rPr>
                <w:rFonts w:hint="eastAsia" w:ascii="Times New Roman" w:hAnsi="Times New Roman" w:eastAsia="宋体" w:cs="Times New Roman"/>
                <w:color w:val="auto"/>
                <w:sz w:val="24"/>
                <w:szCs w:val="24"/>
                <w:highlight w:val="none"/>
                <w:lang w:eastAsia="zh-CN"/>
              </w:rPr>
              <w:t>污水处理厂</w:t>
            </w:r>
            <w:r>
              <w:rPr>
                <w:rFonts w:hint="eastAsia"/>
                <w:color w:val="auto"/>
                <w:sz w:val="24"/>
                <w:highlight w:val="none"/>
                <w:lang w:val="en-US" w:eastAsia="zh-CN"/>
              </w:rPr>
              <w:t>深度处理达到《地表水环境质量标准》（GB3838-2002）中Ⅳ类</w:t>
            </w:r>
            <w:r>
              <w:rPr>
                <w:rFonts w:hint="eastAsia"/>
                <w:color w:val="auto"/>
                <w:sz w:val="24"/>
              </w:rPr>
              <w:t>标准</w:t>
            </w:r>
            <w:r>
              <w:rPr>
                <w:rFonts w:hint="eastAsia"/>
                <w:color w:val="auto"/>
                <w:sz w:val="24"/>
                <w:lang w:eastAsia="zh-CN"/>
              </w:rPr>
              <w:t>（COD、BOD</w:t>
            </w:r>
            <w:r>
              <w:rPr>
                <w:rFonts w:hint="eastAsia"/>
                <w:color w:val="auto"/>
                <w:sz w:val="24"/>
                <w:vertAlign w:val="subscript"/>
                <w:lang w:eastAsia="zh-CN"/>
              </w:rPr>
              <w:t>5</w:t>
            </w:r>
            <w:r>
              <w:rPr>
                <w:rFonts w:hint="eastAsia"/>
                <w:color w:val="auto"/>
                <w:sz w:val="24"/>
                <w:lang w:eastAsia="zh-CN"/>
              </w:rPr>
              <w:t>、氨氮、总磷）</w:t>
            </w:r>
            <w:r>
              <w:rPr>
                <w:rFonts w:hint="eastAsia"/>
                <w:color w:val="auto"/>
                <w:sz w:val="24"/>
              </w:rPr>
              <w:t>和《城镇污水处理厂污染物排放标准》（GB18918-2002）中一级A标准（其余指标）</w:t>
            </w:r>
            <w:r>
              <w:rPr>
                <w:rFonts w:hint="eastAsia"/>
                <w:bCs/>
                <w:color w:val="auto"/>
                <w:sz w:val="24"/>
              </w:rPr>
              <w:t>后排入璧南河。</w:t>
            </w:r>
          </w:p>
          <w:p w14:paraId="5D6944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本项目使用二氧化氯消毒片对医疗废水进行消毒处理，对消毒设施出口粪大肠菌群、总余氯排放限值作出要求，粪大肠菌群、总余氯参照《医疗机构水污染物排放标准》（GB 18466-2005）表2预处理标准。</w:t>
            </w:r>
          </w:p>
          <w:p w14:paraId="59D92E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kern w:val="0"/>
                <w:sz w:val="24"/>
                <w:szCs w:val="24"/>
                <w:highlight w:val="none"/>
                <w:lang w:val="en-US" w:eastAsia="zh-CN"/>
              </w:rPr>
            </w:pPr>
            <w:r>
              <w:rPr>
                <w:rFonts w:hint="eastAsia" w:cs="Times New Roman"/>
                <w:b w:val="0"/>
                <w:bCs w:val="0"/>
                <w:kern w:val="0"/>
                <w:sz w:val="24"/>
                <w:szCs w:val="24"/>
                <w:highlight w:val="none"/>
                <w:lang w:val="en-US" w:eastAsia="zh-CN"/>
              </w:rPr>
              <w:t>污水排放标准详见表3.3-3。</w:t>
            </w:r>
          </w:p>
          <w:p w14:paraId="459674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kern w:val="0"/>
                <w:sz w:val="24"/>
                <w:szCs w:val="24"/>
                <w:lang w:val="en-US" w:eastAsia="zh-CN"/>
              </w:rPr>
            </w:pPr>
            <w:r>
              <w:rPr>
                <w:rFonts w:hint="eastAsia" w:cs="Times New Roman"/>
                <w:b w:val="0"/>
                <w:bCs w:val="0"/>
                <w:kern w:val="0"/>
                <w:sz w:val="24"/>
                <w:szCs w:val="24"/>
                <w:lang w:val="en-US" w:eastAsia="zh-CN"/>
              </w:rPr>
              <w:t>表3.3-3 项目废水污染物排放标准 单位：mg/L</w:t>
            </w:r>
          </w:p>
          <w:tbl>
            <w:tblPr>
              <w:tblStyle w:val="2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626"/>
              <w:gridCol w:w="660"/>
              <w:gridCol w:w="728"/>
              <w:gridCol w:w="577"/>
              <w:gridCol w:w="658"/>
              <w:gridCol w:w="599"/>
              <w:gridCol w:w="629"/>
              <w:gridCol w:w="1279"/>
              <w:gridCol w:w="650"/>
            </w:tblGrid>
            <w:tr w14:paraId="544CD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2F910D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内容</w:t>
                  </w:r>
                </w:p>
              </w:tc>
              <w:tc>
                <w:tcPr>
                  <w:tcW w:w="424" w:type="pct"/>
                  <w:tcBorders>
                    <w:tl2br w:val="nil"/>
                    <w:tr2bl w:val="nil"/>
                  </w:tcBorders>
                  <w:vAlign w:val="center"/>
                </w:tcPr>
                <w:p w14:paraId="62AEB1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pH</w:t>
                  </w:r>
                </w:p>
              </w:tc>
              <w:tc>
                <w:tcPr>
                  <w:tcW w:w="424" w:type="pct"/>
                  <w:tcBorders>
                    <w:tl2br w:val="nil"/>
                    <w:tr2bl w:val="nil"/>
                  </w:tcBorders>
                  <w:vAlign w:val="center"/>
                </w:tcPr>
                <w:p w14:paraId="65D744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COD</w:t>
                  </w:r>
                </w:p>
              </w:tc>
              <w:tc>
                <w:tcPr>
                  <w:tcW w:w="435" w:type="pct"/>
                  <w:tcBorders>
                    <w:tl2br w:val="nil"/>
                    <w:tr2bl w:val="nil"/>
                  </w:tcBorders>
                  <w:vAlign w:val="center"/>
                </w:tcPr>
                <w:p w14:paraId="68CD5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BOD</w:t>
                  </w:r>
                  <w:r>
                    <w:rPr>
                      <w:rFonts w:hint="eastAsia" w:cs="Times New Roman"/>
                      <w:b w:val="0"/>
                      <w:bCs w:val="0"/>
                      <w:kern w:val="0"/>
                      <w:sz w:val="21"/>
                      <w:szCs w:val="21"/>
                      <w:vertAlign w:val="subscript"/>
                      <w:lang w:val="en-US" w:eastAsia="zh-CN"/>
                    </w:rPr>
                    <w:t>5</w:t>
                  </w:r>
                </w:p>
              </w:tc>
              <w:tc>
                <w:tcPr>
                  <w:tcW w:w="415" w:type="pct"/>
                  <w:tcBorders>
                    <w:tl2br w:val="nil"/>
                    <w:tr2bl w:val="nil"/>
                  </w:tcBorders>
                  <w:vAlign w:val="center"/>
                </w:tcPr>
                <w:p w14:paraId="2C9AE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SS</w:t>
                  </w:r>
                </w:p>
              </w:tc>
              <w:tc>
                <w:tcPr>
                  <w:tcW w:w="443" w:type="pct"/>
                  <w:tcBorders>
                    <w:tl2br w:val="nil"/>
                    <w:tr2bl w:val="nil"/>
                  </w:tcBorders>
                  <w:vAlign w:val="center"/>
                </w:tcPr>
                <w:p w14:paraId="7B70B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氨氮</w:t>
                  </w:r>
                </w:p>
              </w:tc>
              <w:tc>
                <w:tcPr>
                  <w:tcW w:w="408" w:type="pct"/>
                  <w:tcBorders>
                    <w:tl2br w:val="nil"/>
                    <w:tr2bl w:val="nil"/>
                  </w:tcBorders>
                  <w:vAlign w:val="center"/>
                </w:tcPr>
                <w:p w14:paraId="4D994D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总磷</w:t>
                  </w:r>
                </w:p>
              </w:tc>
              <w:tc>
                <w:tcPr>
                  <w:tcW w:w="425" w:type="pct"/>
                  <w:tcBorders>
                    <w:tl2br w:val="nil"/>
                    <w:tr2bl w:val="nil"/>
                  </w:tcBorders>
                  <w:vAlign w:val="center"/>
                </w:tcPr>
                <w:p w14:paraId="67295B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LAS</w:t>
                  </w:r>
                </w:p>
              </w:tc>
              <w:tc>
                <w:tcPr>
                  <w:tcW w:w="425" w:type="pct"/>
                  <w:tcBorders>
                    <w:tl2br w:val="nil"/>
                    <w:tr2bl w:val="nil"/>
                  </w:tcBorders>
                  <w:vAlign w:val="center"/>
                </w:tcPr>
                <w:p w14:paraId="42C2C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粪大肠菌群</w:t>
                  </w:r>
                </w:p>
              </w:tc>
              <w:tc>
                <w:tcPr>
                  <w:tcW w:w="431" w:type="pct"/>
                  <w:tcBorders>
                    <w:tl2br w:val="nil"/>
                    <w:tr2bl w:val="nil"/>
                  </w:tcBorders>
                  <w:vAlign w:val="center"/>
                </w:tcPr>
                <w:p w14:paraId="19D766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总余氯</w:t>
                  </w:r>
                </w:p>
              </w:tc>
            </w:tr>
            <w:tr w14:paraId="60D87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5E73CB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default" w:cs="Times New Roman"/>
                      <w:b w:val="0"/>
                      <w:bCs w:val="0"/>
                      <w:kern w:val="0"/>
                      <w:sz w:val="21"/>
                      <w:szCs w:val="21"/>
                      <w:vertAlign w:val="baseline"/>
                      <w:lang w:val="en-US" w:eastAsia="zh-CN"/>
                    </w:rPr>
                    <w:t>《污水综合排放标准》</w:t>
                  </w:r>
                  <w:r>
                    <w:rPr>
                      <w:rFonts w:hint="eastAsia" w:cs="Times New Roman"/>
                      <w:b w:val="0"/>
                      <w:bCs w:val="0"/>
                      <w:kern w:val="0"/>
                      <w:sz w:val="21"/>
                      <w:szCs w:val="21"/>
                      <w:vertAlign w:val="baseline"/>
                      <w:lang w:val="en-US" w:eastAsia="zh-CN"/>
                    </w:rPr>
                    <w:t>（</w:t>
                  </w:r>
                  <w:r>
                    <w:rPr>
                      <w:rFonts w:hint="default" w:cs="Times New Roman"/>
                      <w:b w:val="0"/>
                      <w:bCs w:val="0"/>
                      <w:kern w:val="0"/>
                      <w:sz w:val="21"/>
                      <w:szCs w:val="21"/>
                      <w:vertAlign w:val="baseline"/>
                      <w:lang w:val="en-US" w:eastAsia="zh-CN"/>
                    </w:rPr>
                    <w:t>GB8978-1996</w:t>
                  </w:r>
                  <w:r>
                    <w:rPr>
                      <w:rFonts w:hint="eastAsia" w:cs="Times New Roman"/>
                      <w:b w:val="0"/>
                      <w:bCs w:val="0"/>
                      <w:kern w:val="0"/>
                      <w:sz w:val="21"/>
                      <w:szCs w:val="21"/>
                      <w:vertAlign w:val="baseline"/>
                      <w:lang w:val="en-US" w:eastAsia="zh-CN"/>
                    </w:rPr>
                    <w:t>）</w:t>
                  </w:r>
                  <w:r>
                    <w:rPr>
                      <w:rFonts w:hint="default" w:cs="Times New Roman"/>
                      <w:b w:val="0"/>
                      <w:bCs w:val="0"/>
                      <w:kern w:val="0"/>
                      <w:sz w:val="21"/>
                      <w:szCs w:val="21"/>
                      <w:vertAlign w:val="baseline"/>
                      <w:lang w:val="en-US" w:eastAsia="zh-CN"/>
                    </w:rPr>
                    <w:t>三级标准</w:t>
                  </w:r>
                </w:p>
              </w:tc>
              <w:tc>
                <w:tcPr>
                  <w:tcW w:w="424" w:type="pct"/>
                  <w:tcBorders>
                    <w:tl2br w:val="nil"/>
                    <w:tr2bl w:val="nil"/>
                  </w:tcBorders>
                  <w:vAlign w:val="center"/>
                </w:tcPr>
                <w:p w14:paraId="02852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6~9</w:t>
                  </w:r>
                </w:p>
              </w:tc>
              <w:tc>
                <w:tcPr>
                  <w:tcW w:w="424" w:type="pct"/>
                  <w:tcBorders>
                    <w:tl2br w:val="nil"/>
                    <w:tr2bl w:val="nil"/>
                  </w:tcBorders>
                  <w:vAlign w:val="center"/>
                </w:tcPr>
                <w:p w14:paraId="066DC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500</w:t>
                  </w:r>
                </w:p>
              </w:tc>
              <w:tc>
                <w:tcPr>
                  <w:tcW w:w="435" w:type="pct"/>
                  <w:tcBorders>
                    <w:tl2br w:val="nil"/>
                    <w:tr2bl w:val="nil"/>
                  </w:tcBorders>
                  <w:vAlign w:val="center"/>
                </w:tcPr>
                <w:p w14:paraId="46F8B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300</w:t>
                  </w:r>
                </w:p>
              </w:tc>
              <w:tc>
                <w:tcPr>
                  <w:tcW w:w="415" w:type="pct"/>
                  <w:tcBorders>
                    <w:tl2br w:val="nil"/>
                    <w:tr2bl w:val="nil"/>
                  </w:tcBorders>
                  <w:vAlign w:val="center"/>
                </w:tcPr>
                <w:p w14:paraId="0ED1C9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400</w:t>
                  </w:r>
                </w:p>
              </w:tc>
              <w:tc>
                <w:tcPr>
                  <w:tcW w:w="443" w:type="pct"/>
                  <w:tcBorders>
                    <w:tl2br w:val="nil"/>
                    <w:tr2bl w:val="nil"/>
                  </w:tcBorders>
                  <w:vAlign w:val="center"/>
                </w:tcPr>
                <w:p w14:paraId="44EEAA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45*</w:t>
                  </w:r>
                </w:p>
              </w:tc>
              <w:tc>
                <w:tcPr>
                  <w:tcW w:w="408" w:type="pct"/>
                  <w:tcBorders>
                    <w:tl2br w:val="nil"/>
                    <w:tr2bl w:val="nil"/>
                  </w:tcBorders>
                  <w:vAlign w:val="center"/>
                </w:tcPr>
                <w:p w14:paraId="51AEC3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8*</w:t>
                  </w:r>
                </w:p>
              </w:tc>
              <w:tc>
                <w:tcPr>
                  <w:tcW w:w="425" w:type="pct"/>
                  <w:tcBorders>
                    <w:tl2br w:val="nil"/>
                    <w:tr2bl w:val="nil"/>
                  </w:tcBorders>
                  <w:vAlign w:val="center"/>
                </w:tcPr>
                <w:p w14:paraId="6007A5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20</w:t>
                  </w:r>
                </w:p>
              </w:tc>
              <w:tc>
                <w:tcPr>
                  <w:tcW w:w="425" w:type="pct"/>
                  <w:tcBorders>
                    <w:tl2br w:val="nil"/>
                    <w:tr2bl w:val="nil"/>
                  </w:tcBorders>
                  <w:vAlign w:val="center"/>
                </w:tcPr>
                <w:p w14:paraId="5C79D0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5000个/L</w:t>
                  </w:r>
                </w:p>
              </w:tc>
              <w:tc>
                <w:tcPr>
                  <w:tcW w:w="431" w:type="pct"/>
                  <w:tcBorders>
                    <w:tl2br w:val="nil"/>
                    <w:tr2bl w:val="nil"/>
                  </w:tcBorders>
                  <w:vAlign w:val="center"/>
                </w:tcPr>
                <w:p w14:paraId="330F1E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&gt;2（接触时间≥1h）</w:t>
                  </w:r>
                  <w:r>
                    <w:rPr>
                      <w:rFonts w:hint="eastAsia" w:cs="Times New Roman"/>
                      <w:b w:val="0"/>
                      <w:bCs w:val="0"/>
                      <w:kern w:val="0"/>
                      <w:sz w:val="21"/>
                      <w:szCs w:val="21"/>
                      <w:vertAlign w:val="superscript"/>
                      <w:lang w:val="en-US" w:eastAsia="zh-CN"/>
                    </w:rPr>
                    <w:t>④</w:t>
                  </w:r>
                </w:p>
              </w:tc>
            </w:tr>
            <w:tr w14:paraId="505CE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26248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default" w:cs="Times New Roman"/>
                      <w:b w:val="0"/>
                      <w:bCs w:val="0"/>
                      <w:kern w:val="0"/>
                      <w:sz w:val="21"/>
                      <w:szCs w:val="21"/>
                      <w:vertAlign w:val="baseline"/>
                      <w:lang w:val="en-US" w:eastAsia="zh-CN"/>
                    </w:rPr>
                    <w:t>《医疗废水排放标准》</w:t>
                  </w:r>
                  <w:r>
                    <w:rPr>
                      <w:rFonts w:hint="eastAsia" w:cs="Times New Roman"/>
                      <w:b w:val="0"/>
                      <w:bCs w:val="0"/>
                      <w:kern w:val="0"/>
                      <w:sz w:val="21"/>
                      <w:szCs w:val="21"/>
                      <w:vertAlign w:val="baseline"/>
                      <w:lang w:val="en-US" w:eastAsia="zh-CN"/>
                    </w:rPr>
                    <w:t>（</w:t>
                  </w:r>
                  <w:r>
                    <w:rPr>
                      <w:rFonts w:hint="default" w:cs="Times New Roman"/>
                      <w:b w:val="0"/>
                      <w:bCs w:val="0"/>
                      <w:kern w:val="0"/>
                      <w:sz w:val="21"/>
                      <w:szCs w:val="21"/>
                      <w:vertAlign w:val="baseline"/>
                      <w:lang w:val="en-US" w:eastAsia="zh-CN"/>
                    </w:rPr>
                    <w:t>GB18466-2005</w:t>
                  </w:r>
                  <w:r>
                    <w:rPr>
                      <w:rFonts w:hint="eastAsia" w:cs="Times New Roman"/>
                      <w:b w:val="0"/>
                      <w:bCs w:val="0"/>
                      <w:kern w:val="0"/>
                      <w:sz w:val="21"/>
                      <w:szCs w:val="21"/>
                      <w:vertAlign w:val="baseline"/>
                      <w:lang w:val="en-US" w:eastAsia="zh-CN"/>
                    </w:rPr>
                    <w:t>）</w:t>
                  </w:r>
                </w:p>
                <w:p w14:paraId="2D91CD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default" w:cs="Times New Roman"/>
                      <w:b w:val="0"/>
                      <w:bCs w:val="0"/>
                      <w:kern w:val="0"/>
                      <w:sz w:val="21"/>
                      <w:szCs w:val="21"/>
                      <w:vertAlign w:val="baseline"/>
                      <w:lang w:val="en-US" w:eastAsia="zh-CN"/>
                    </w:rPr>
                    <w:t>表2预处理标准</w:t>
                  </w:r>
                </w:p>
              </w:tc>
              <w:tc>
                <w:tcPr>
                  <w:tcW w:w="424" w:type="pct"/>
                  <w:tcBorders>
                    <w:tl2br w:val="nil"/>
                    <w:tr2bl w:val="nil"/>
                  </w:tcBorders>
                  <w:shd w:val="clear" w:color="auto" w:fill="auto"/>
                  <w:vAlign w:val="center"/>
                </w:tcPr>
                <w:p w14:paraId="7AD833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w:t>
                  </w:r>
                </w:p>
              </w:tc>
              <w:tc>
                <w:tcPr>
                  <w:tcW w:w="424" w:type="pct"/>
                  <w:tcBorders>
                    <w:tl2br w:val="nil"/>
                    <w:tr2bl w:val="nil"/>
                  </w:tcBorders>
                  <w:shd w:val="clear" w:color="auto" w:fill="auto"/>
                  <w:vAlign w:val="center"/>
                </w:tcPr>
                <w:p w14:paraId="65468B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w:t>
                  </w:r>
                </w:p>
              </w:tc>
              <w:tc>
                <w:tcPr>
                  <w:tcW w:w="435" w:type="pct"/>
                  <w:tcBorders>
                    <w:tl2br w:val="nil"/>
                    <w:tr2bl w:val="nil"/>
                  </w:tcBorders>
                  <w:shd w:val="clear" w:color="auto" w:fill="auto"/>
                  <w:vAlign w:val="center"/>
                </w:tcPr>
                <w:p w14:paraId="58938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w:t>
                  </w:r>
                </w:p>
              </w:tc>
              <w:tc>
                <w:tcPr>
                  <w:tcW w:w="415" w:type="pct"/>
                  <w:tcBorders>
                    <w:tl2br w:val="nil"/>
                    <w:tr2bl w:val="nil"/>
                  </w:tcBorders>
                  <w:shd w:val="clear" w:color="auto" w:fill="auto"/>
                  <w:vAlign w:val="center"/>
                </w:tcPr>
                <w:p w14:paraId="55142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0"/>
                      <w:sz w:val="21"/>
                      <w:szCs w:val="21"/>
                      <w:vertAlign w:val="baseline"/>
                      <w:lang w:val="en-US" w:eastAsia="zh-CN" w:bidi="ar-SA"/>
                    </w:rPr>
                  </w:pPr>
                  <w:r>
                    <w:rPr>
                      <w:rFonts w:hint="eastAsia" w:cs="Times New Roman"/>
                      <w:b w:val="0"/>
                      <w:bCs w:val="0"/>
                      <w:kern w:val="0"/>
                      <w:sz w:val="21"/>
                      <w:szCs w:val="21"/>
                      <w:vertAlign w:val="baseline"/>
                      <w:lang w:val="en-US" w:eastAsia="zh-CN"/>
                    </w:rPr>
                    <w:t>/</w:t>
                  </w:r>
                </w:p>
              </w:tc>
              <w:tc>
                <w:tcPr>
                  <w:tcW w:w="443" w:type="pct"/>
                  <w:tcBorders>
                    <w:tl2br w:val="nil"/>
                    <w:tr2bl w:val="nil"/>
                  </w:tcBorders>
                  <w:vAlign w:val="center"/>
                </w:tcPr>
                <w:p w14:paraId="538B00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08" w:type="pct"/>
                  <w:tcBorders>
                    <w:tl2br w:val="nil"/>
                    <w:tr2bl w:val="nil"/>
                  </w:tcBorders>
                  <w:vAlign w:val="center"/>
                </w:tcPr>
                <w:p w14:paraId="092980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25" w:type="pct"/>
                  <w:tcBorders>
                    <w:tl2br w:val="nil"/>
                    <w:tr2bl w:val="nil"/>
                  </w:tcBorders>
                  <w:vAlign w:val="center"/>
                </w:tcPr>
                <w:p w14:paraId="2ECF9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25" w:type="pct"/>
                  <w:tcBorders>
                    <w:tl2br w:val="nil"/>
                    <w:tr2bl w:val="nil"/>
                  </w:tcBorders>
                  <w:vAlign w:val="center"/>
                </w:tcPr>
                <w:p w14:paraId="0D6DB9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5000MPN/L</w:t>
                  </w:r>
                </w:p>
              </w:tc>
              <w:tc>
                <w:tcPr>
                  <w:tcW w:w="431" w:type="pct"/>
                  <w:tcBorders>
                    <w:tl2br w:val="nil"/>
                    <w:tr2bl w:val="nil"/>
                  </w:tcBorders>
                  <w:vAlign w:val="center"/>
                </w:tcPr>
                <w:p w14:paraId="3D42CC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2~8</w:t>
                  </w:r>
                  <w:r>
                    <w:rPr>
                      <w:rFonts w:hint="eastAsia" w:cs="Times New Roman"/>
                      <w:b w:val="0"/>
                      <w:bCs w:val="0"/>
                      <w:kern w:val="0"/>
                      <w:sz w:val="21"/>
                      <w:szCs w:val="21"/>
                      <w:vertAlign w:val="superscript"/>
                      <w:lang w:val="en-US" w:eastAsia="zh-CN"/>
                    </w:rPr>
                    <w:t>③</w:t>
                  </w:r>
                </w:p>
              </w:tc>
            </w:tr>
            <w:tr w14:paraId="52E90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02894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default" w:cs="Times New Roman"/>
                      <w:b w:val="0"/>
                      <w:bCs w:val="0"/>
                      <w:kern w:val="0"/>
                      <w:sz w:val="21"/>
                      <w:szCs w:val="21"/>
                      <w:vertAlign w:val="baseline"/>
                      <w:lang w:val="en-US" w:eastAsia="zh-CN"/>
                    </w:rPr>
                    <w:t>城镇污水处理厂污染物排放标准》</w:t>
                  </w:r>
                  <w:r>
                    <w:rPr>
                      <w:rFonts w:hint="eastAsia" w:cs="Times New Roman"/>
                      <w:b w:val="0"/>
                      <w:bCs w:val="0"/>
                      <w:kern w:val="0"/>
                      <w:sz w:val="21"/>
                      <w:szCs w:val="21"/>
                      <w:vertAlign w:val="baseline"/>
                      <w:lang w:val="en-US" w:eastAsia="zh-CN"/>
                    </w:rPr>
                    <w:t>（</w:t>
                  </w:r>
                  <w:r>
                    <w:rPr>
                      <w:rFonts w:hint="default" w:cs="Times New Roman"/>
                      <w:b w:val="0"/>
                      <w:bCs w:val="0"/>
                      <w:kern w:val="0"/>
                      <w:sz w:val="21"/>
                      <w:szCs w:val="21"/>
                      <w:vertAlign w:val="baseline"/>
                      <w:lang w:val="en-US" w:eastAsia="zh-CN"/>
                    </w:rPr>
                    <w:t>GB18918-2002</w:t>
                  </w:r>
                  <w:r>
                    <w:rPr>
                      <w:rFonts w:hint="eastAsia" w:cs="Times New Roman"/>
                      <w:b w:val="0"/>
                      <w:bCs w:val="0"/>
                      <w:kern w:val="0"/>
                      <w:sz w:val="21"/>
                      <w:szCs w:val="21"/>
                      <w:vertAlign w:val="baseline"/>
                      <w:lang w:val="en-US" w:eastAsia="zh-CN"/>
                    </w:rPr>
                    <w:t>）</w:t>
                  </w:r>
                </w:p>
                <w:p w14:paraId="6536A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default" w:cs="Times New Roman"/>
                      <w:b w:val="0"/>
                      <w:bCs w:val="0"/>
                      <w:kern w:val="0"/>
                      <w:sz w:val="21"/>
                      <w:szCs w:val="21"/>
                      <w:vertAlign w:val="baseline"/>
                      <w:lang w:val="en-US" w:eastAsia="zh-CN"/>
                    </w:rPr>
                    <w:t>一级A标</w:t>
                  </w:r>
                </w:p>
              </w:tc>
              <w:tc>
                <w:tcPr>
                  <w:tcW w:w="424" w:type="pct"/>
                  <w:tcBorders>
                    <w:tl2br w:val="nil"/>
                    <w:tr2bl w:val="nil"/>
                  </w:tcBorders>
                  <w:vAlign w:val="center"/>
                </w:tcPr>
                <w:p w14:paraId="1CD565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6~9</w:t>
                  </w:r>
                </w:p>
              </w:tc>
              <w:tc>
                <w:tcPr>
                  <w:tcW w:w="424" w:type="pct"/>
                  <w:tcBorders>
                    <w:tl2br w:val="nil"/>
                    <w:tr2bl w:val="nil"/>
                  </w:tcBorders>
                  <w:vAlign w:val="center"/>
                </w:tcPr>
                <w:p w14:paraId="6F100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35" w:type="pct"/>
                  <w:tcBorders>
                    <w:tl2br w:val="nil"/>
                    <w:tr2bl w:val="nil"/>
                  </w:tcBorders>
                  <w:vAlign w:val="center"/>
                </w:tcPr>
                <w:p w14:paraId="0A7B73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15" w:type="pct"/>
                  <w:tcBorders>
                    <w:tl2br w:val="nil"/>
                    <w:tr2bl w:val="nil"/>
                  </w:tcBorders>
                  <w:vAlign w:val="center"/>
                </w:tcPr>
                <w:p w14:paraId="0BDC4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w:t>
                  </w:r>
                </w:p>
              </w:tc>
              <w:tc>
                <w:tcPr>
                  <w:tcW w:w="443" w:type="pct"/>
                  <w:tcBorders>
                    <w:tl2br w:val="nil"/>
                    <w:tr2bl w:val="nil"/>
                  </w:tcBorders>
                  <w:vAlign w:val="center"/>
                </w:tcPr>
                <w:p w14:paraId="2363D4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08" w:type="pct"/>
                  <w:tcBorders>
                    <w:tl2br w:val="nil"/>
                    <w:tr2bl w:val="nil"/>
                  </w:tcBorders>
                  <w:vAlign w:val="center"/>
                </w:tcPr>
                <w:p w14:paraId="1B682A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25" w:type="pct"/>
                  <w:tcBorders>
                    <w:tl2br w:val="nil"/>
                    <w:tr2bl w:val="nil"/>
                  </w:tcBorders>
                  <w:vAlign w:val="center"/>
                </w:tcPr>
                <w:p w14:paraId="77DC0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0.5</w:t>
                  </w:r>
                </w:p>
              </w:tc>
              <w:tc>
                <w:tcPr>
                  <w:tcW w:w="425" w:type="pct"/>
                  <w:tcBorders>
                    <w:tl2br w:val="nil"/>
                    <w:tr2bl w:val="nil"/>
                  </w:tcBorders>
                  <w:vAlign w:val="center"/>
                </w:tcPr>
                <w:p w14:paraId="376784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1000个/L</w:t>
                  </w:r>
                </w:p>
              </w:tc>
              <w:tc>
                <w:tcPr>
                  <w:tcW w:w="431" w:type="pct"/>
                  <w:tcBorders>
                    <w:tl2br w:val="nil"/>
                    <w:tr2bl w:val="nil"/>
                  </w:tcBorders>
                  <w:vAlign w:val="center"/>
                </w:tcPr>
                <w:p w14:paraId="1C0D52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r>
            <w:tr w14:paraId="090CB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63" w:type="pct"/>
                  <w:tcBorders>
                    <w:tl2br w:val="nil"/>
                    <w:tr2bl w:val="nil"/>
                  </w:tcBorders>
                  <w:vAlign w:val="center"/>
                </w:tcPr>
                <w:p w14:paraId="16C1ED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ascii="Times New Roman" w:hAnsi="Times New Roman" w:eastAsia="宋体" w:cs="Times New Roman"/>
                      <w:b w:val="0"/>
                      <w:bCs w:val="0"/>
                      <w:kern w:val="0"/>
                      <w:sz w:val="21"/>
                      <w:szCs w:val="21"/>
                      <w:vertAlign w:val="baseline"/>
                      <w:lang w:val="en-US" w:eastAsia="zh-CN"/>
                    </w:rPr>
                    <w:t>《地表水环境质量标准》（GB3838-2002）中</w:t>
                  </w:r>
                  <w:r>
                    <w:rPr>
                      <w:rFonts w:hint="eastAsia" w:cs="Times New Roman"/>
                      <w:b w:val="0"/>
                      <w:bCs w:val="0"/>
                      <w:kern w:val="0"/>
                      <w:sz w:val="21"/>
                      <w:szCs w:val="21"/>
                      <w:vertAlign w:val="baseline"/>
                      <w:lang w:val="en-US" w:eastAsia="zh-CN"/>
                    </w:rPr>
                    <w:t>Ⅳ类</w:t>
                  </w:r>
                  <w:r>
                    <w:rPr>
                      <w:rFonts w:hint="eastAsia" w:ascii="Times New Roman" w:hAnsi="Times New Roman" w:eastAsia="宋体" w:cs="Times New Roman"/>
                      <w:b w:val="0"/>
                      <w:bCs w:val="0"/>
                      <w:kern w:val="0"/>
                      <w:sz w:val="21"/>
                      <w:szCs w:val="21"/>
                      <w:vertAlign w:val="baseline"/>
                      <w:lang w:val="en-US" w:eastAsia="zh-CN"/>
                    </w:rPr>
                    <w:t>标准</w:t>
                  </w:r>
                </w:p>
              </w:tc>
              <w:tc>
                <w:tcPr>
                  <w:tcW w:w="424" w:type="pct"/>
                  <w:tcBorders>
                    <w:tl2br w:val="nil"/>
                    <w:tr2bl w:val="nil"/>
                  </w:tcBorders>
                  <w:vAlign w:val="center"/>
                </w:tcPr>
                <w:p w14:paraId="31D121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707" w:type="dxa"/>
                  <w:tcBorders>
                    <w:tl2br w:val="nil"/>
                    <w:tr2bl w:val="nil"/>
                  </w:tcBorders>
                  <w:vAlign w:val="center"/>
                </w:tcPr>
                <w:p w14:paraId="08425C50">
                  <w:pPr>
                    <w:spacing w:line="240" w:lineRule="auto"/>
                    <w:jc w:val="center"/>
                    <w:rPr>
                      <w:rFonts w:hint="eastAsia" w:cs="Times New Roman"/>
                      <w:b w:val="0"/>
                      <w:bCs w:val="0"/>
                      <w:kern w:val="0"/>
                      <w:sz w:val="21"/>
                      <w:szCs w:val="21"/>
                      <w:vertAlign w:val="baseline"/>
                      <w:lang w:val="en-US" w:eastAsia="zh-CN"/>
                    </w:rPr>
                  </w:pPr>
                  <w:r>
                    <w:rPr>
                      <w:szCs w:val="21"/>
                    </w:rPr>
                    <w:t>30</w:t>
                  </w:r>
                </w:p>
              </w:tc>
              <w:tc>
                <w:tcPr>
                  <w:tcW w:w="435" w:type="pct"/>
                  <w:tcBorders>
                    <w:tl2br w:val="nil"/>
                    <w:tr2bl w:val="nil"/>
                  </w:tcBorders>
                  <w:vAlign w:val="center"/>
                </w:tcPr>
                <w:p w14:paraId="1F8F09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6</w:t>
                  </w:r>
                </w:p>
              </w:tc>
              <w:tc>
                <w:tcPr>
                  <w:tcW w:w="415" w:type="pct"/>
                  <w:tcBorders>
                    <w:tl2br w:val="nil"/>
                    <w:tr2bl w:val="nil"/>
                  </w:tcBorders>
                  <w:vAlign w:val="center"/>
                </w:tcPr>
                <w:p w14:paraId="08FDB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43" w:type="pct"/>
                  <w:tcBorders>
                    <w:tl2br w:val="nil"/>
                    <w:tr2bl w:val="nil"/>
                  </w:tcBorders>
                  <w:vAlign w:val="center"/>
                </w:tcPr>
                <w:p w14:paraId="4F6F88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1.5</w:t>
                  </w:r>
                </w:p>
              </w:tc>
              <w:tc>
                <w:tcPr>
                  <w:tcW w:w="408" w:type="pct"/>
                  <w:tcBorders>
                    <w:tl2br w:val="nil"/>
                    <w:tr2bl w:val="nil"/>
                  </w:tcBorders>
                  <w:vAlign w:val="center"/>
                </w:tcPr>
                <w:p w14:paraId="6AB8DD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0.3</w:t>
                  </w:r>
                </w:p>
              </w:tc>
              <w:tc>
                <w:tcPr>
                  <w:tcW w:w="425" w:type="pct"/>
                  <w:tcBorders>
                    <w:tl2br w:val="nil"/>
                    <w:tr2bl w:val="nil"/>
                  </w:tcBorders>
                  <w:vAlign w:val="center"/>
                </w:tcPr>
                <w:p w14:paraId="7E46A3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25" w:type="pct"/>
                  <w:tcBorders>
                    <w:tl2br w:val="nil"/>
                    <w:tr2bl w:val="nil"/>
                  </w:tcBorders>
                  <w:vAlign w:val="center"/>
                </w:tcPr>
                <w:p w14:paraId="39BBB4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c>
                <w:tcPr>
                  <w:tcW w:w="431" w:type="pct"/>
                  <w:tcBorders>
                    <w:tl2br w:val="nil"/>
                    <w:tr2bl w:val="nil"/>
                  </w:tcBorders>
                  <w:vAlign w:val="center"/>
                </w:tcPr>
                <w:p w14:paraId="26FA25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w:t>
                  </w:r>
                </w:p>
              </w:tc>
            </w:tr>
            <w:tr w14:paraId="647FF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vAlign w:val="center"/>
                </w:tcPr>
                <w:p w14:paraId="0EB5B4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注：①*：氨氮、TP 执行《污水排入城镇下水道水质标准》（GB/T31962-2015）B级标</w:t>
                  </w:r>
                </w:p>
                <w:p w14:paraId="0C67DFB7">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准；</w:t>
                  </w:r>
                </w:p>
                <w:p w14:paraId="30200F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②括号外数值为水温&gt;12℃时的控制指标，括号内数值为水温&lt;12℃时的控制指标；</w:t>
                  </w:r>
                </w:p>
                <w:p w14:paraId="39103D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③注：含氯消毒剂消毒的工艺控制要求为：排放标准：消毒接触池接触时间≥1h，接触池出口总余氯3~10mgL。预处理标准：消毒接触池接触时间≥1h，接触池出口总余氯2～8mg/L。采用其他消毒剂对总余氯不作要求。</w:t>
                  </w:r>
                </w:p>
              </w:tc>
            </w:tr>
          </w:tbl>
          <w:p w14:paraId="2FD19A5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3.3.</w:t>
            </w:r>
            <w:r>
              <w:rPr>
                <w:rFonts w:hint="eastAsia" w:cs="Times New Roman"/>
                <w:b/>
                <w:bCs/>
                <w:kern w:val="0"/>
                <w:sz w:val="24"/>
                <w:szCs w:val="24"/>
                <w:lang w:val="en-US" w:eastAsia="zh-CN"/>
              </w:rPr>
              <w:t>3</w:t>
            </w:r>
            <w:r>
              <w:rPr>
                <w:rFonts w:hint="eastAsia" w:ascii="Times New Roman" w:hAnsi="Times New Roman" w:cs="Times New Roman"/>
                <w:b/>
                <w:bCs/>
                <w:kern w:val="0"/>
                <w:sz w:val="24"/>
                <w:szCs w:val="24"/>
                <w:lang w:val="en-US" w:eastAsia="zh-CN"/>
              </w:rPr>
              <w:t xml:space="preserve"> </w:t>
            </w:r>
            <w:r>
              <w:rPr>
                <w:rFonts w:hint="eastAsia" w:cs="Times New Roman"/>
                <w:b/>
                <w:bCs/>
                <w:kern w:val="0"/>
                <w:sz w:val="24"/>
                <w:szCs w:val="24"/>
                <w:lang w:val="en-US" w:eastAsia="zh-CN"/>
              </w:rPr>
              <w:t>噪声</w:t>
            </w:r>
            <w:r>
              <w:rPr>
                <w:rFonts w:hint="eastAsia" w:ascii="Times New Roman" w:hAnsi="Times New Roman" w:cs="Times New Roman"/>
                <w:b/>
                <w:bCs/>
                <w:kern w:val="0"/>
                <w:sz w:val="24"/>
                <w:szCs w:val="24"/>
                <w:lang w:val="en-US" w:eastAsia="zh-CN"/>
              </w:rPr>
              <w:t>标准</w:t>
            </w:r>
          </w:p>
          <w:p w14:paraId="053EDE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b w:val="0"/>
                <w:bCs w:val="0"/>
                <w:kern w:val="0"/>
                <w:sz w:val="24"/>
                <w:szCs w:val="24"/>
                <w:lang w:val="en-US" w:eastAsia="zh-CN"/>
              </w:rPr>
            </w:pPr>
            <w:r>
              <w:rPr>
                <w:rFonts w:hint="default" w:cs="Times New Roman"/>
                <w:b w:val="0"/>
                <w:bCs w:val="0"/>
                <w:kern w:val="0"/>
                <w:sz w:val="24"/>
                <w:szCs w:val="24"/>
                <w:lang w:val="en-US" w:eastAsia="zh-CN"/>
              </w:rPr>
              <w:t>项目位</w:t>
            </w:r>
            <w:r>
              <w:rPr>
                <w:rFonts w:hint="default" w:cs="Times New Roman"/>
                <w:b w:val="0"/>
                <w:bCs w:val="0"/>
                <w:kern w:val="0"/>
                <w:sz w:val="24"/>
                <w:szCs w:val="24"/>
                <w:highlight w:val="none"/>
                <w:lang w:val="en-US" w:eastAsia="zh-CN"/>
              </w:rPr>
              <w:t>于</w:t>
            </w:r>
            <w:r>
              <w:rPr>
                <w:rFonts w:hint="eastAsia" w:cs="Times New Roman"/>
                <w:b w:val="0"/>
                <w:bCs w:val="0"/>
                <w:kern w:val="0"/>
                <w:sz w:val="24"/>
                <w:szCs w:val="24"/>
                <w:highlight w:val="none"/>
                <w:lang w:val="en-US" w:eastAsia="zh-CN"/>
              </w:rPr>
              <w:t>重庆市璧山区璧泉街道东林大道67号4幢附37号，</w:t>
            </w:r>
            <w:r>
              <w:rPr>
                <w:rFonts w:hint="default" w:cs="Times New Roman"/>
                <w:b w:val="0"/>
                <w:bCs w:val="0"/>
                <w:kern w:val="0"/>
                <w:sz w:val="24"/>
                <w:szCs w:val="24"/>
                <w:lang w:val="en-US" w:eastAsia="zh-CN"/>
              </w:rPr>
              <w:t>项目所在区域为</w:t>
            </w:r>
            <w:r>
              <w:rPr>
                <w:rFonts w:hint="eastAsia" w:cs="Times New Roman"/>
                <w:b w:val="0"/>
                <w:bCs w:val="0"/>
                <w:kern w:val="0"/>
                <w:sz w:val="24"/>
                <w:szCs w:val="24"/>
                <w:lang w:val="en-US" w:eastAsia="zh-CN"/>
              </w:rPr>
              <w:t>2</w:t>
            </w:r>
            <w:r>
              <w:rPr>
                <w:rFonts w:hint="default" w:cs="Times New Roman"/>
                <w:b w:val="0"/>
                <w:bCs w:val="0"/>
                <w:kern w:val="0"/>
                <w:sz w:val="24"/>
                <w:szCs w:val="24"/>
                <w:lang w:val="en-US" w:eastAsia="zh-CN"/>
              </w:rPr>
              <w:t>类声环境功能区。根据《重庆市璧山区声环境功能区划分调整方案》中表2</w:t>
            </w:r>
            <w:r>
              <w:rPr>
                <w:rFonts w:hint="eastAsia" w:cs="Times New Roman"/>
                <w:b w:val="0"/>
                <w:bCs w:val="0"/>
                <w:kern w:val="0"/>
                <w:sz w:val="24"/>
                <w:szCs w:val="24"/>
                <w:lang w:val="en-US" w:eastAsia="zh-CN"/>
              </w:rPr>
              <w:t>：</w:t>
            </w:r>
            <w:r>
              <w:rPr>
                <w:rFonts w:hint="default" w:cs="Times New Roman"/>
                <w:b w:val="0"/>
                <w:bCs w:val="0"/>
                <w:kern w:val="0"/>
                <w:sz w:val="24"/>
                <w:szCs w:val="24"/>
                <w:lang w:val="en-US" w:eastAsia="zh-CN"/>
              </w:rPr>
              <w:t>相邻功能区类型为2类区城市</w:t>
            </w:r>
            <w:r>
              <w:rPr>
                <w:rFonts w:hint="eastAsia" w:cs="Times New Roman"/>
                <w:b w:val="0"/>
                <w:bCs w:val="0"/>
                <w:kern w:val="0"/>
                <w:sz w:val="24"/>
                <w:szCs w:val="24"/>
                <w:lang w:val="en-US" w:eastAsia="zh-CN"/>
              </w:rPr>
              <w:t>次</w:t>
            </w:r>
            <w:r>
              <w:rPr>
                <w:rFonts w:hint="default" w:cs="Times New Roman"/>
                <w:b w:val="0"/>
                <w:bCs w:val="0"/>
                <w:kern w:val="0"/>
                <w:sz w:val="24"/>
                <w:szCs w:val="24"/>
                <w:lang w:val="en-US" w:eastAsia="zh-CN"/>
              </w:rPr>
              <w:t>干路边界外</w:t>
            </w:r>
            <w:r>
              <w:rPr>
                <w:rFonts w:hint="eastAsia" w:cs="Times New Roman"/>
                <w:b w:val="0"/>
                <w:bCs w:val="0"/>
                <w:kern w:val="0"/>
                <w:sz w:val="24"/>
                <w:szCs w:val="24"/>
                <w:lang w:val="en-US" w:eastAsia="zh-CN"/>
              </w:rPr>
              <w:t>30</w:t>
            </w:r>
            <w:r>
              <w:rPr>
                <w:rFonts w:hint="default" w:cs="Times New Roman"/>
                <w:b w:val="0"/>
                <w:bCs w:val="0"/>
                <w:kern w:val="0"/>
                <w:sz w:val="24"/>
                <w:szCs w:val="24"/>
                <w:lang w:val="en-US" w:eastAsia="zh-CN"/>
              </w:rPr>
              <w:t>m划定为4a类声环境功能区。项目</w:t>
            </w:r>
            <w:r>
              <w:rPr>
                <w:rFonts w:hint="eastAsia" w:cs="Times New Roman"/>
                <w:b w:val="0"/>
                <w:bCs w:val="0"/>
                <w:kern w:val="0"/>
                <w:sz w:val="24"/>
                <w:szCs w:val="24"/>
                <w:lang w:val="en-US" w:eastAsia="zh-CN"/>
              </w:rPr>
              <w:t>北</w:t>
            </w:r>
            <w:r>
              <w:rPr>
                <w:rFonts w:hint="default" w:cs="Times New Roman"/>
                <w:b w:val="0"/>
                <w:bCs w:val="0"/>
                <w:kern w:val="0"/>
                <w:sz w:val="24"/>
                <w:szCs w:val="24"/>
                <w:lang w:val="en-US" w:eastAsia="zh-CN"/>
              </w:rPr>
              <w:t>侧为</w:t>
            </w:r>
            <w:r>
              <w:rPr>
                <w:rFonts w:hint="eastAsia" w:cs="Times New Roman"/>
                <w:b w:val="0"/>
                <w:bCs w:val="0"/>
                <w:kern w:val="0"/>
                <w:sz w:val="24"/>
                <w:szCs w:val="24"/>
                <w:lang w:val="en-US" w:eastAsia="zh-CN"/>
              </w:rPr>
              <w:t>凝山路</w:t>
            </w:r>
            <w:r>
              <w:rPr>
                <w:rFonts w:hint="default" w:cs="Times New Roman"/>
                <w:b w:val="0"/>
                <w:bCs w:val="0"/>
                <w:kern w:val="0"/>
                <w:sz w:val="24"/>
                <w:szCs w:val="24"/>
                <w:lang w:val="en-US" w:eastAsia="zh-CN"/>
              </w:rPr>
              <w:t>，</w:t>
            </w:r>
            <w:r>
              <w:rPr>
                <w:rFonts w:hint="eastAsia" w:cs="Times New Roman"/>
                <w:b w:val="0"/>
                <w:bCs w:val="0"/>
                <w:kern w:val="0"/>
                <w:sz w:val="24"/>
                <w:szCs w:val="24"/>
                <w:lang w:val="en-US" w:eastAsia="zh-CN"/>
              </w:rPr>
              <w:t>东</w:t>
            </w:r>
            <w:r>
              <w:rPr>
                <w:rFonts w:hint="default" w:cs="Times New Roman"/>
                <w:b w:val="0"/>
                <w:bCs w:val="0"/>
                <w:kern w:val="0"/>
                <w:sz w:val="24"/>
                <w:szCs w:val="24"/>
                <w:lang w:val="en-US" w:eastAsia="zh-CN"/>
              </w:rPr>
              <w:t>侧为</w:t>
            </w:r>
            <w:r>
              <w:rPr>
                <w:rFonts w:hint="eastAsia" w:cs="Times New Roman"/>
                <w:b w:val="0"/>
                <w:bCs w:val="0"/>
                <w:kern w:val="0"/>
                <w:sz w:val="24"/>
                <w:szCs w:val="24"/>
                <w:lang w:val="en-US" w:eastAsia="zh-CN"/>
              </w:rPr>
              <w:t>莱山</w:t>
            </w:r>
            <w:r>
              <w:rPr>
                <w:rFonts w:hint="default" w:cs="Times New Roman"/>
                <w:b w:val="0"/>
                <w:bCs w:val="0"/>
                <w:kern w:val="0"/>
                <w:sz w:val="24"/>
                <w:szCs w:val="24"/>
                <w:lang w:val="en-US" w:eastAsia="zh-CN"/>
              </w:rPr>
              <w:t>路，</w:t>
            </w:r>
            <w:r>
              <w:rPr>
                <w:rFonts w:hint="eastAsia" w:cs="Times New Roman"/>
                <w:b w:val="0"/>
                <w:bCs w:val="0"/>
                <w:kern w:val="0"/>
                <w:sz w:val="24"/>
                <w:szCs w:val="24"/>
                <w:lang w:val="en-US" w:eastAsia="zh-CN"/>
              </w:rPr>
              <w:t>凝山路和莱山</w:t>
            </w:r>
            <w:r>
              <w:rPr>
                <w:rFonts w:hint="default" w:cs="Times New Roman"/>
                <w:b w:val="0"/>
                <w:bCs w:val="0"/>
                <w:kern w:val="0"/>
                <w:sz w:val="24"/>
                <w:szCs w:val="24"/>
                <w:lang w:val="en-US" w:eastAsia="zh-CN"/>
              </w:rPr>
              <w:t>路</w:t>
            </w:r>
            <w:r>
              <w:rPr>
                <w:rFonts w:hint="eastAsia" w:cs="Times New Roman"/>
                <w:b w:val="0"/>
                <w:bCs w:val="0"/>
                <w:kern w:val="0"/>
                <w:sz w:val="24"/>
                <w:szCs w:val="24"/>
                <w:lang w:val="en-US" w:eastAsia="zh-CN"/>
              </w:rPr>
              <w:t>为次干路</w:t>
            </w:r>
            <w:r>
              <w:rPr>
                <w:rFonts w:hint="default" w:cs="Times New Roman"/>
                <w:b w:val="0"/>
                <w:bCs w:val="0"/>
                <w:kern w:val="0"/>
                <w:sz w:val="24"/>
                <w:szCs w:val="24"/>
                <w:lang w:val="en-US" w:eastAsia="zh-CN"/>
              </w:rPr>
              <w:t>，故项目</w:t>
            </w:r>
            <w:r>
              <w:rPr>
                <w:rFonts w:hint="eastAsia"/>
                <w:color w:val="auto"/>
                <w:sz w:val="24"/>
                <w:szCs w:val="24"/>
                <w:highlight w:val="none"/>
                <w:lang w:val="en-US" w:eastAsia="zh-CN"/>
              </w:rPr>
              <w:t>场界</w:t>
            </w:r>
            <w:r>
              <w:rPr>
                <w:rFonts w:hint="default" w:cs="Times New Roman"/>
                <w:b w:val="0"/>
                <w:bCs w:val="0"/>
                <w:kern w:val="0"/>
                <w:sz w:val="24"/>
                <w:szCs w:val="24"/>
                <w:lang w:val="en-US" w:eastAsia="zh-CN"/>
              </w:rPr>
              <w:t>执行《工业企业厂界环境噪声排放标准》</w:t>
            </w:r>
            <w:r>
              <w:rPr>
                <w:rFonts w:hint="eastAsia" w:cs="Times New Roman"/>
                <w:b w:val="0"/>
                <w:bCs w:val="0"/>
                <w:kern w:val="0"/>
                <w:sz w:val="24"/>
                <w:szCs w:val="24"/>
                <w:lang w:val="en-US" w:eastAsia="zh-CN"/>
              </w:rPr>
              <w:t>（</w:t>
            </w:r>
            <w:r>
              <w:rPr>
                <w:rFonts w:hint="default" w:cs="Times New Roman"/>
                <w:b w:val="0"/>
                <w:bCs w:val="0"/>
                <w:kern w:val="0"/>
                <w:sz w:val="24"/>
                <w:szCs w:val="24"/>
                <w:lang w:val="en-US" w:eastAsia="zh-CN"/>
              </w:rPr>
              <w:t>GB12348-2008</w:t>
            </w:r>
            <w:r>
              <w:rPr>
                <w:rFonts w:hint="eastAsia" w:cs="Times New Roman"/>
                <w:b w:val="0"/>
                <w:bCs w:val="0"/>
                <w:kern w:val="0"/>
                <w:sz w:val="24"/>
                <w:szCs w:val="24"/>
                <w:lang w:val="en-US" w:eastAsia="zh-CN"/>
              </w:rPr>
              <w:t>）</w:t>
            </w:r>
            <w:r>
              <w:rPr>
                <w:rFonts w:hint="default" w:cs="Times New Roman"/>
                <w:b w:val="0"/>
                <w:bCs w:val="0"/>
                <w:kern w:val="0"/>
                <w:sz w:val="24"/>
                <w:szCs w:val="24"/>
                <w:lang w:val="en-US" w:eastAsia="zh-CN"/>
              </w:rPr>
              <w:t>4类标准</w:t>
            </w:r>
            <w:r>
              <w:rPr>
                <w:rFonts w:hint="eastAsia" w:cs="Times New Roman"/>
                <w:b w:val="0"/>
                <w:bCs w:val="0"/>
                <w:kern w:val="0"/>
                <w:sz w:val="24"/>
                <w:szCs w:val="24"/>
                <w:lang w:val="en-US" w:eastAsia="zh-CN"/>
              </w:rPr>
              <w:t>。</w:t>
            </w:r>
            <w:r>
              <w:rPr>
                <w:rFonts w:hint="default" w:cs="Times New Roman"/>
                <w:b w:val="0"/>
                <w:bCs w:val="0"/>
                <w:kern w:val="0"/>
                <w:sz w:val="24"/>
                <w:szCs w:val="24"/>
                <w:lang w:val="en-US" w:eastAsia="zh-CN"/>
              </w:rPr>
              <w:t>营运期执行《工业企业厂界环境噪声排放标准》</w:t>
            </w:r>
            <w:r>
              <w:rPr>
                <w:rFonts w:hint="eastAsia" w:cs="Times New Roman"/>
                <w:b w:val="0"/>
                <w:bCs w:val="0"/>
                <w:kern w:val="0"/>
                <w:sz w:val="24"/>
                <w:szCs w:val="24"/>
                <w:lang w:val="en-US" w:eastAsia="zh-CN"/>
              </w:rPr>
              <w:t>（</w:t>
            </w:r>
            <w:r>
              <w:rPr>
                <w:rFonts w:hint="default" w:cs="Times New Roman"/>
                <w:b w:val="0"/>
                <w:bCs w:val="0"/>
                <w:kern w:val="0"/>
                <w:sz w:val="24"/>
                <w:szCs w:val="24"/>
                <w:lang w:val="en-US" w:eastAsia="zh-CN"/>
              </w:rPr>
              <w:t>GB12348-2008</w:t>
            </w:r>
            <w:r>
              <w:rPr>
                <w:rFonts w:hint="eastAsia" w:cs="Times New Roman"/>
                <w:b w:val="0"/>
                <w:bCs w:val="0"/>
                <w:kern w:val="0"/>
                <w:sz w:val="24"/>
                <w:szCs w:val="24"/>
                <w:lang w:val="en-US" w:eastAsia="zh-CN"/>
              </w:rPr>
              <w:t>）4</w:t>
            </w:r>
            <w:r>
              <w:rPr>
                <w:rFonts w:hint="default" w:cs="Times New Roman"/>
                <w:b w:val="0"/>
                <w:bCs w:val="0"/>
                <w:kern w:val="0"/>
                <w:sz w:val="24"/>
                <w:szCs w:val="24"/>
                <w:lang w:val="en-US" w:eastAsia="zh-CN"/>
              </w:rPr>
              <w:t>类标准，具体标准限值见噪声评价标准见表3.3-6。</w:t>
            </w:r>
          </w:p>
          <w:p w14:paraId="4870C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val="0"/>
                <w:bCs w:val="0"/>
                <w:kern w:val="0"/>
                <w:sz w:val="24"/>
                <w:szCs w:val="24"/>
                <w:vertAlign w:val="baseline"/>
                <w:lang w:val="en-US" w:eastAsia="zh-CN"/>
              </w:rPr>
            </w:pPr>
            <w:r>
              <w:rPr>
                <w:rFonts w:hint="default" w:cs="Times New Roman"/>
                <w:b w:val="0"/>
                <w:bCs w:val="0"/>
                <w:kern w:val="0"/>
                <w:sz w:val="24"/>
                <w:szCs w:val="24"/>
                <w:lang w:val="en-US" w:eastAsia="zh-CN"/>
              </w:rPr>
              <w:t>表3.3-6噪声排放限值</w:t>
            </w:r>
            <w:r>
              <w:rPr>
                <w:rFonts w:hint="eastAsia" w:cs="Times New Roman"/>
                <w:b w:val="0"/>
                <w:bCs w:val="0"/>
                <w:kern w:val="0"/>
                <w:sz w:val="24"/>
                <w:szCs w:val="24"/>
                <w:lang w:val="en-US" w:eastAsia="zh-CN"/>
              </w:rPr>
              <w:t xml:space="preserve"> </w:t>
            </w:r>
            <w:r>
              <w:rPr>
                <w:rFonts w:hint="default" w:cs="Times New Roman"/>
                <w:b w:val="0"/>
                <w:bCs w:val="0"/>
                <w:kern w:val="0"/>
                <w:sz w:val="24"/>
                <w:szCs w:val="24"/>
                <w:lang w:val="en-US" w:eastAsia="zh-CN"/>
              </w:rPr>
              <w:t>单位</w:t>
            </w:r>
            <w:r>
              <w:rPr>
                <w:rFonts w:hint="eastAsia" w:cs="Times New Roman"/>
                <w:b w:val="0"/>
                <w:bCs w:val="0"/>
                <w:kern w:val="0"/>
                <w:sz w:val="24"/>
                <w:szCs w:val="24"/>
                <w:lang w:val="en-US" w:eastAsia="zh-CN"/>
              </w:rPr>
              <w:t>：</w:t>
            </w:r>
            <w:r>
              <w:rPr>
                <w:rFonts w:hint="default" w:cs="Times New Roman"/>
                <w:b w:val="0"/>
                <w:bCs w:val="0"/>
                <w:kern w:val="0"/>
                <w:sz w:val="24"/>
                <w:szCs w:val="24"/>
                <w:lang w:val="en-US" w:eastAsia="zh-CN"/>
              </w:rPr>
              <w:t>dB</w:t>
            </w:r>
            <w:r>
              <w:rPr>
                <w:rFonts w:hint="eastAsia" w:cs="Times New Roman"/>
                <w:b w:val="0"/>
                <w:bCs w:val="0"/>
                <w:kern w:val="0"/>
                <w:sz w:val="24"/>
                <w:szCs w:val="24"/>
                <w:lang w:val="en-US" w:eastAsia="zh-CN"/>
              </w:rPr>
              <w:t>（A）</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814"/>
              <w:gridCol w:w="1671"/>
              <w:gridCol w:w="1671"/>
              <w:gridCol w:w="1671"/>
            </w:tblGrid>
            <w:tr w14:paraId="688E91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99" w:type="pct"/>
                  <w:gridSpan w:val="2"/>
                  <w:tcBorders>
                    <w:tl2br w:val="nil"/>
                    <w:tr2bl w:val="nil"/>
                  </w:tcBorders>
                  <w:vAlign w:val="center"/>
                </w:tcPr>
                <w:p w14:paraId="05D642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执行标准</w:t>
                  </w:r>
                </w:p>
              </w:tc>
              <w:tc>
                <w:tcPr>
                  <w:tcW w:w="1000" w:type="pct"/>
                  <w:tcBorders>
                    <w:tl2br w:val="nil"/>
                    <w:tr2bl w:val="nil"/>
                  </w:tcBorders>
                  <w:vAlign w:val="center"/>
                </w:tcPr>
                <w:p w14:paraId="613F2E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昼间</w:t>
                  </w:r>
                </w:p>
              </w:tc>
              <w:tc>
                <w:tcPr>
                  <w:tcW w:w="1000" w:type="pct"/>
                  <w:tcBorders>
                    <w:tl2br w:val="nil"/>
                    <w:tr2bl w:val="nil"/>
                  </w:tcBorders>
                  <w:vAlign w:val="center"/>
                </w:tcPr>
                <w:p w14:paraId="57820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夜间</w:t>
                  </w:r>
                </w:p>
              </w:tc>
              <w:tc>
                <w:tcPr>
                  <w:tcW w:w="1000" w:type="pct"/>
                  <w:tcBorders>
                    <w:tl2br w:val="nil"/>
                    <w:tr2bl w:val="nil"/>
                  </w:tcBorders>
                  <w:vAlign w:val="center"/>
                </w:tcPr>
                <w:p w14:paraId="0DD21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执行阶段</w:t>
                  </w:r>
                </w:p>
              </w:tc>
            </w:tr>
            <w:tr w14:paraId="1F1260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12" w:type="pct"/>
                  <w:tcBorders>
                    <w:tl2br w:val="nil"/>
                    <w:tr2bl w:val="nil"/>
                  </w:tcBorders>
                  <w:vAlign w:val="center"/>
                </w:tcPr>
                <w:p w14:paraId="062422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default" w:cs="Times New Roman"/>
                      <w:b w:val="0"/>
                      <w:bCs w:val="0"/>
                      <w:kern w:val="0"/>
                      <w:sz w:val="21"/>
                      <w:szCs w:val="21"/>
                      <w:vertAlign w:val="baseline"/>
                      <w:lang w:val="en-US" w:eastAsia="zh-CN"/>
                    </w:rPr>
                    <w:t>《工业企业场界环境噪声排放标准</w:t>
                  </w:r>
                  <w:r>
                    <w:rPr>
                      <w:rFonts w:hint="eastAsia" w:cs="Times New Roman"/>
                      <w:b w:val="0"/>
                      <w:bCs w:val="0"/>
                      <w:kern w:val="0"/>
                      <w:sz w:val="21"/>
                      <w:szCs w:val="21"/>
                      <w:vertAlign w:val="baseline"/>
                      <w:lang w:val="en-US" w:eastAsia="zh-CN"/>
                    </w:rPr>
                    <w:t>》（</w:t>
                  </w:r>
                  <w:r>
                    <w:rPr>
                      <w:rFonts w:hint="default" w:cs="Times New Roman"/>
                      <w:b w:val="0"/>
                      <w:bCs w:val="0"/>
                      <w:kern w:val="0"/>
                      <w:sz w:val="21"/>
                      <w:szCs w:val="21"/>
                      <w:vertAlign w:val="baseline"/>
                      <w:lang w:val="en-US" w:eastAsia="zh-CN"/>
                    </w:rPr>
                    <w:t>GB12348-2008</w:t>
                  </w:r>
                  <w:r>
                    <w:rPr>
                      <w:rFonts w:hint="eastAsia" w:cs="Times New Roman"/>
                      <w:b w:val="0"/>
                      <w:bCs w:val="0"/>
                      <w:kern w:val="0"/>
                      <w:sz w:val="21"/>
                      <w:szCs w:val="21"/>
                      <w:vertAlign w:val="baseline"/>
                      <w:lang w:val="en-US" w:eastAsia="zh-CN"/>
                    </w:rPr>
                    <w:t>）</w:t>
                  </w:r>
                </w:p>
              </w:tc>
              <w:tc>
                <w:tcPr>
                  <w:tcW w:w="487" w:type="pct"/>
                  <w:tcBorders>
                    <w:tl2br w:val="nil"/>
                    <w:tr2bl w:val="nil"/>
                  </w:tcBorders>
                  <w:vAlign w:val="center"/>
                </w:tcPr>
                <w:p w14:paraId="3B61B8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4类</w:t>
                  </w:r>
                </w:p>
              </w:tc>
              <w:tc>
                <w:tcPr>
                  <w:tcW w:w="1000" w:type="pct"/>
                  <w:tcBorders>
                    <w:tl2br w:val="nil"/>
                    <w:tr2bl w:val="nil"/>
                  </w:tcBorders>
                  <w:vAlign w:val="center"/>
                </w:tcPr>
                <w:p w14:paraId="6D8C1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70</w:t>
                  </w:r>
                </w:p>
              </w:tc>
              <w:tc>
                <w:tcPr>
                  <w:tcW w:w="1000" w:type="pct"/>
                  <w:tcBorders>
                    <w:tl2br w:val="nil"/>
                    <w:tr2bl w:val="nil"/>
                  </w:tcBorders>
                  <w:vAlign w:val="center"/>
                </w:tcPr>
                <w:p w14:paraId="6F6567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55</w:t>
                  </w:r>
                </w:p>
              </w:tc>
              <w:tc>
                <w:tcPr>
                  <w:tcW w:w="1000" w:type="pct"/>
                  <w:tcBorders>
                    <w:tl2br w:val="nil"/>
                    <w:tr2bl w:val="nil"/>
                  </w:tcBorders>
                  <w:vAlign w:val="center"/>
                </w:tcPr>
                <w:p w14:paraId="5A335E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营运期</w:t>
                  </w:r>
                </w:p>
              </w:tc>
            </w:tr>
          </w:tbl>
          <w:p w14:paraId="3DD0F00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3.3.4 固废</w:t>
            </w:r>
          </w:p>
          <w:p w14:paraId="061BEAB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一般工业固废：根据《一般工业固体废物贮存和填埋污染控制标准》（GB 18599-2020）中要求，“采用库房、包装工具（罐、桶、包装袋等）贮存一般工业固体废物过程的污染控制，不适用（GB 18599-2020）标准，贮存过程中应满足相应的防渗漏、防雨淋、防扬尘等环境保护要求”</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一般固体废物分类执行《</w:t>
            </w:r>
            <w:r>
              <w:rPr>
                <w:rFonts w:hint="default" w:ascii="Times New Roman" w:hAnsi="Times New Roman" w:eastAsia="宋体" w:cs="Times New Roman"/>
                <w:color w:val="auto"/>
                <w:sz w:val="24"/>
                <w:szCs w:val="24"/>
                <w:highlight w:val="none"/>
                <w:lang w:val="en-US" w:eastAsia="zh-CN"/>
              </w:rPr>
              <w:t>固体废物分类与代码目录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rPr>
              <w:t>）相关要求。</w:t>
            </w:r>
          </w:p>
          <w:p w14:paraId="4394AD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z w:val="24"/>
                <w:szCs w:val="24"/>
                <w:highlight w:val="none"/>
                <w:lang w:val="en-US" w:eastAsia="zh-CN"/>
              </w:rPr>
              <w:t>执行</w:t>
            </w:r>
            <w:r>
              <w:rPr>
                <w:rFonts w:hint="eastAsia" w:ascii="Times New Roman" w:hAnsi="Times New Roman" w:eastAsia="宋体" w:cs="Times New Roman"/>
                <w:color w:val="auto"/>
                <w:sz w:val="24"/>
                <w:szCs w:val="24"/>
                <w:highlight w:val="none"/>
                <w:lang w:eastAsia="zh-CN"/>
              </w:rPr>
              <w:t>《国家危险废物名录》（2025年）</w:t>
            </w:r>
            <w:r>
              <w:rPr>
                <w:rFonts w:hint="default" w:ascii="Times New Roman" w:hAnsi="Times New Roman" w:eastAsia="宋体" w:cs="Times New Roman"/>
                <w:color w:val="auto"/>
                <w:sz w:val="24"/>
                <w:szCs w:val="24"/>
                <w:highlight w:val="none"/>
              </w:rPr>
              <w:t>、《危险废物贮存污染控制标准》（GB</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《危险废物识别标志设置技术规范》（HJ</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1276-2022）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危险废物转移按照《危险废物转移管理办法》（生态环境部、公安部、交通运输部令第23号）执行转移制度。</w:t>
            </w:r>
          </w:p>
          <w:p w14:paraId="73E7BFFA">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医疗废物：执行《医疗废物管理条例》（2011年修正本）、《医疗卫生机构医疗废物管理办法》（中华人民共和国卫生部令第36号）、《中华人民共和国动物防疫法》（2021年）、《医疗废物集中处置技术规范（试行）》（环发〔2003〕206号）、《医疗废物专用包装袋、容器和警示标志标准》（HJ 421-2008）。</w:t>
            </w:r>
          </w:p>
          <w:p w14:paraId="29CB02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动物尸体及组织：执行《中华人民共和国动物防疫法》（2021年）、《重庆市动物防疫条例》。</w:t>
            </w:r>
          </w:p>
          <w:p w14:paraId="4013B6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生活垃圾实行分类收集，由环卫部门统一收集处置</w:t>
            </w:r>
            <w:r>
              <w:rPr>
                <w:rFonts w:hint="eastAsia" w:cs="Times New Roman"/>
                <w:b w:val="0"/>
                <w:bCs w:val="0"/>
                <w:kern w:val="0"/>
                <w:sz w:val="24"/>
                <w:szCs w:val="24"/>
                <w:lang w:val="en-US" w:eastAsia="zh-CN"/>
              </w:rPr>
              <w:t>。</w:t>
            </w:r>
          </w:p>
          <w:p w14:paraId="6D8ED1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b w:val="0"/>
                <w:bCs w:val="0"/>
                <w:kern w:val="0"/>
                <w:sz w:val="24"/>
                <w:szCs w:val="24"/>
                <w:lang w:val="en-US" w:eastAsia="zh-CN"/>
              </w:rPr>
            </w:pPr>
          </w:p>
        </w:tc>
      </w:tr>
      <w:tr w14:paraId="06ED5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5" w:hRule="atLeast"/>
          <w:jc w:val="center"/>
        </w:trPr>
        <w:tc>
          <w:tcPr>
            <w:tcW w:w="426" w:type="dxa"/>
            <w:noWrap w:val="0"/>
            <w:vAlign w:val="center"/>
          </w:tcPr>
          <w:p w14:paraId="2D01A95E">
            <w:pPr>
              <w:adjustRightInd w:val="0"/>
              <w:snapToGrid w:val="0"/>
              <w:jc w:val="center"/>
              <w:rPr>
                <w:rFonts w:hint="eastAsia" w:ascii="宋体" w:hAnsi="宋体" w:cs="宋体"/>
                <w:kern w:val="0"/>
                <w:szCs w:val="21"/>
              </w:rPr>
            </w:pPr>
            <w:r>
              <w:rPr>
                <w:rFonts w:hint="eastAsia" w:ascii="宋体" w:hAnsi="宋体" w:cs="宋体"/>
                <w:kern w:val="0"/>
                <w:szCs w:val="21"/>
              </w:rPr>
              <w:t>总量</w:t>
            </w:r>
          </w:p>
          <w:p w14:paraId="77AE434D">
            <w:pPr>
              <w:adjustRightInd w:val="0"/>
              <w:snapToGrid w:val="0"/>
              <w:jc w:val="center"/>
              <w:rPr>
                <w:rFonts w:hint="eastAsia" w:ascii="宋体" w:hAnsi="宋体" w:cs="宋体"/>
                <w:kern w:val="0"/>
                <w:szCs w:val="21"/>
              </w:rPr>
            </w:pPr>
            <w:r>
              <w:rPr>
                <w:rFonts w:hint="eastAsia" w:ascii="宋体" w:hAnsi="宋体" w:cs="宋体"/>
                <w:kern w:val="0"/>
                <w:szCs w:val="21"/>
              </w:rPr>
              <w:t>控制</w:t>
            </w:r>
          </w:p>
          <w:p w14:paraId="4361F65F">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600" w:type="dxa"/>
            <w:noWrap w:val="0"/>
            <w:vAlign w:val="center"/>
          </w:tcPr>
          <w:p w14:paraId="072080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s="Times New Roman"/>
                <w:b w:val="0"/>
                <w:bCs w:val="0"/>
                <w:kern w:val="0"/>
                <w:sz w:val="24"/>
                <w:szCs w:val="24"/>
                <w:lang w:val="en-US" w:eastAsia="zh-CN"/>
              </w:rPr>
            </w:pPr>
            <w:r>
              <w:rPr>
                <w:rFonts w:hint="eastAsia" w:cs="Times New Roman"/>
                <w:b w:val="0"/>
                <w:bCs w:val="0"/>
                <w:kern w:val="0"/>
                <w:sz w:val="24"/>
                <w:szCs w:val="24"/>
                <w:lang w:val="en-US" w:eastAsia="zh-CN"/>
              </w:rPr>
              <w:t>依据国家关于污染物排放执行总量控制的有关规定，结合项目的排污特点，项目污染物总量控制指标如下：</w:t>
            </w:r>
          </w:p>
          <w:p w14:paraId="41CBA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b w:val="0"/>
                <w:bCs w:val="0"/>
                <w:kern w:val="0"/>
                <w:sz w:val="24"/>
                <w:szCs w:val="24"/>
                <w:vertAlign w:val="baseline"/>
                <w:lang w:val="en-US" w:eastAsia="zh-CN"/>
              </w:rPr>
            </w:pPr>
            <w:r>
              <w:rPr>
                <w:rFonts w:hint="eastAsia" w:cs="Times New Roman"/>
                <w:b w:val="0"/>
                <w:bCs w:val="0"/>
                <w:kern w:val="0"/>
                <w:sz w:val="24"/>
                <w:szCs w:val="24"/>
                <w:lang w:val="en-US" w:eastAsia="zh-CN"/>
              </w:rPr>
              <w:t>表3.3-7项目总量控制指标  单位：t/a</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2955"/>
              <w:gridCol w:w="2089"/>
              <w:gridCol w:w="2093"/>
            </w:tblGrid>
            <w:tr w14:paraId="210F4D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restart"/>
                  <w:tcBorders>
                    <w:tl2br w:val="nil"/>
                    <w:tr2bl w:val="nil"/>
                  </w:tcBorders>
                  <w:vAlign w:val="center"/>
                </w:tcPr>
                <w:p w14:paraId="3E5609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类别</w:t>
                  </w:r>
                </w:p>
              </w:tc>
              <w:tc>
                <w:tcPr>
                  <w:tcW w:w="1768" w:type="pct"/>
                  <w:vMerge w:val="restart"/>
                  <w:tcBorders>
                    <w:tl2br w:val="nil"/>
                    <w:tr2bl w:val="nil"/>
                  </w:tcBorders>
                  <w:vAlign w:val="center"/>
                </w:tcPr>
                <w:p w14:paraId="78E353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污染因子</w:t>
                  </w:r>
                </w:p>
              </w:tc>
              <w:tc>
                <w:tcPr>
                  <w:tcW w:w="2502" w:type="pct"/>
                  <w:gridSpan w:val="2"/>
                  <w:tcBorders>
                    <w:tl2br w:val="nil"/>
                    <w:tr2bl w:val="nil"/>
                  </w:tcBorders>
                  <w:vAlign w:val="center"/>
                </w:tcPr>
                <w:p w14:paraId="593C5F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项目排放量</w:t>
                  </w:r>
                </w:p>
              </w:tc>
            </w:tr>
            <w:tr w14:paraId="4107B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tcBorders>
                    <w:tl2br w:val="nil"/>
                    <w:tr2bl w:val="nil"/>
                  </w:tcBorders>
                  <w:vAlign w:val="center"/>
                </w:tcPr>
                <w:p w14:paraId="509EF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p>
              </w:tc>
              <w:tc>
                <w:tcPr>
                  <w:tcW w:w="1768" w:type="pct"/>
                  <w:vMerge w:val="continue"/>
                  <w:tcBorders>
                    <w:tl2br w:val="nil"/>
                    <w:tr2bl w:val="nil"/>
                  </w:tcBorders>
                  <w:vAlign w:val="center"/>
                </w:tcPr>
                <w:p w14:paraId="320950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p>
              </w:tc>
              <w:tc>
                <w:tcPr>
                  <w:tcW w:w="1250" w:type="pct"/>
                  <w:tcBorders>
                    <w:tl2br w:val="nil"/>
                    <w:tr2bl w:val="nil"/>
                  </w:tcBorders>
                  <w:vAlign w:val="center"/>
                </w:tcPr>
                <w:p w14:paraId="67C242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允许排入市政管网的量</w:t>
                  </w:r>
                </w:p>
              </w:tc>
              <w:tc>
                <w:tcPr>
                  <w:tcW w:w="1252" w:type="pct"/>
                  <w:tcBorders>
                    <w:tl2br w:val="nil"/>
                    <w:tr2bl w:val="nil"/>
                  </w:tcBorders>
                  <w:vAlign w:val="center"/>
                </w:tcPr>
                <w:p w14:paraId="19BBD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允许排入环境的量</w:t>
                  </w:r>
                </w:p>
              </w:tc>
            </w:tr>
            <w:tr w14:paraId="3813D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restart"/>
                  <w:tcBorders>
                    <w:tl2br w:val="nil"/>
                    <w:tr2bl w:val="nil"/>
                  </w:tcBorders>
                  <w:vAlign w:val="center"/>
                </w:tcPr>
                <w:p w14:paraId="197309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废水</w:t>
                  </w:r>
                </w:p>
              </w:tc>
              <w:tc>
                <w:tcPr>
                  <w:tcW w:w="1768" w:type="pct"/>
                  <w:tcBorders>
                    <w:tl2br w:val="nil"/>
                    <w:tr2bl w:val="nil"/>
                  </w:tcBorders>
                  <w:vAlign w:val="center"/>
                </w:tcPr>
                <w:p w14:paraId="0CDEAA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COD</w:t>
                  </w:r>
                </w:p>
              </w:tc>
              <w:tc>
                <w:tcPr>
                  <w:tcW w:w="1250" w:type="pct"/>
                  <w:tcBorders>
                    <w:tl2br w:val="nil"/>
                    <w:tr2bl w:val="nil"/>
                  </w:tcBorders>
                  <w:vAlign w:val="center"/>
                </w:tcPr>
                <w:p w14:paraId="16A14C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0.142</w:t>
                  </w:r>
                </w:p>
              </w:tc>
              <w:tc>
                <w:tcPr>
                  <w:tcW w:w="1252" w:type="pct"/>
                  <w:tcBorders>
                    <w:tl2br w:val="nil"/>
                    <w:tr2bl w:val="nil"/>
                  </w:tcBorders>
                  <w:vAlign w:val="center"/>
                </w:tcPr>
                <w:p w14:paraId="6E6402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0.014</w:t>
                  </w:r>
                </w:p>
              </w:tc>
            </w:tr>
            <w:tr w14:paraId="6545A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tcBorders>
                    <w:tl2br w:val="nil"/>
                    <w:tr2bl w:val="nil"/>
                  </w:tcBorders>
                  <w:vAlign w:val="center"/>
                </w:tcPr>
                <w:p w14:paraId="73FF65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kern w:val="0"/>
                      <w:sz w:val="21"/>
                      <w:szCs w:val="21"/>
                      <w:vertAlign w:val="baseline"/>
                      <w:lang w:val="en-US" w:eastAsia="zh-CN"/>
                    </w:rPr>
                  </w:pPr>
                </w:p>
              </w:tc>
              <w:tc>
                <w:tcPr>
                  <w:tcW w:w="1768" w:type="pct"/>
                  <w:tcBorders>
                    <w:tl2br w:val="nil"/>
                    <w:tr2bl w:val="nil"/>
                  </w:tcBorders>
                  <w:vAlign w:val="center"/>
                </w:tcPr>
                <w:p w14:paraId="43851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氨氮</w:t>
                  </w:r>
                </w:p>
              </w:tc>
              <w:tc>
                <w:tcPr>
                  <w:tcW w:w="1250" w:type="pct"/>
                  <w:tcBorders>
                    <w:tl2br w:val="nil"/>
                    <w:tr2bl w:val="nil"/>
                  </w:tcBorders>
                  <w:vAlign w:val="center"/>
                </w:tcPr>
                <w:p w14:paraId="2DC010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0.0095</w:t>
                  </w:r>
                </w:p>
              </w:tc>
              <w:tc>
                <w:tcPr>
                  <w:tcW w:w="1252" w:type="pct"/>
                  <w:tcBorders>
                    <w:tl2br w:val="nil"/>
                    <w:tr2bl w:val="nil"/>
                  </w:tcBorders>
                  <w:vAlign w:val="center"/>
                </w:tcPr>
                <w:p w14:paraId="4E549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val="0"/>
                      <w:kern w:val="0"/>
                      <w:sz w:val="21"/>
                      <w:szCs w:val="21"/>
                      <w:vertAlign w:val="baseline"/>
                      <w:lang w:val="en-US" w:eastAsia="zh-CN"/>
                    </w:rPr>
                  </w:pPr>
                  <w:r>
                    <w:rPr>
                      <w:rFonts w:hint="eastAsia" w:cs="Times New Roman"/>
                      <w:b w:val="0"/>
                      <w:bCs w:val="0"/>
                      <w:kern w:val="0"/>
                      <w:sz w:val="21"/>
                      <w:szCs w:val="21"/>
                      <w:vertAlign w:val="baseline"/>
                      <w:lang w:val="en-US" w:eastAsia="zh-CN"/>
                    </w:rPr>
                    <w:t>0.0007</w:t>
                  </w:r>
                </w:p>
              </w:tc>
            </w:tr>
          </w:tbl>
          <w:p w14:paraId="6E111F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s="Times New Roman"/>
                <w:b w:val="0"/>
                <w:bCs w:val="0"/>
                <w:kern w:val="0"/>
                <w:sz w:val="24"/>
                <w:szCs w:val="24"/>
                <w:lang w:val="en-US" w:eastAsia="zh-CN"/>
              </w:rPr>
            </w:pPr>
          </w:p>
        </w:tc>
      </w:tr>
    </w:tbl>
    <w:p w14:paraId="49A99748">
      <w:pPr>
        <w:pStyle w:val="17"/>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506"/>
      </w:tblGrid>
      <w:tr w14:paraId="68DBD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402" w:type="dxa"/>
            <w:noWrap w:val="0"/>
            <w:tcMar>
              <w:left w:w="28" w:type="dxa"/>
              <w:right w:w="28" w:type="dxa"/>
            </w:tcMar>
            <w:vAlign w:val="center"/>
          </w:tcPr>
          <w:p w14:paraId="03E370C3">
            <w:pPr>
              <w:pStyle w:val="17"/>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w:t>
            </w:r>
          </w:p>
          <w:p w14:paraId="354068E0">
            <w:pPr>
              <w:pStyle w:val="17"/>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期环</w:t>
            </w:r>
          </w:p>
          <w:p w14:paraId="213C9030">
            <w:pPr>
              <w:pStyle w:val="17"/>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境保</w:t>
            </w:r>
          </w:p>
          <w:p w14:paraId="24E82DCA">
            <w:pPr>
              <w:pStyle w:val="17"/>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护措</w:t>
            </w:r>
          </w:p>
          <w:p w14:paraId="748331E7">
            <w:pPr>
              <w:pStyle w:val="17"/>
              <w:adjustRightInd w:val="0"/>
              <w:snapToGrid w:val="0"/>
              <w:spacing w:before="0" w:beforeAutospacing="0" w:after="0" w:afterAutospacing="0"/>
              <w:jc w:val="center"/>
              <w:rPr>
                <w:rFonts w:hint="eastAsia" w:cs="宋体"/>
                <w:bCs/>
                <w:kern w:val="2"/>
                <w:sz w:val="21"/>
                <w:szCs w:val="21"/>
              </w:rPr>
            </w:pPr>
            <w:r>
              <w:rPr>
                <w:rFonts w:hint="eastAsia" w:cs="宋体"/>
                <w:kern w:val="2"/>
                <w:sz w:val="21"/>
                <w:szCs w:val="21"/>
              </w:rPr>
              <w:t>施</w:t>
            </w:r>
          </w:p>
        </w:tc>
        <w:tc>
          <w:tcPr>
            <w:tcW w:w="8506" w:type="dxa"/>
            <w:noWrap w:val="0"/>
            <w:vAlign w:val="center"/>
          </w:tcPr>
          <w:p w14:paraId="5FAB72B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spacing w:val="0"/>
                <w:sz w:val="24"/>
                <w:szCs w:val="24"/>
              </w:rPr>
            </w:pPr>
            <w:r>
              <w:rPr>
                <w:rFonts w:hint="default" w:ascii="Times New Roman" w:hAnsi="Times New Roman" w:cs="Times New Roman"/>
                <w:b/>
                <w:bCs w:val="0"/>
                <w:spacing w:val="0"/>
                <w:sz w:val="24"/>
                <w:szCs w:val="24"/>
              </w:rPr>
              <w:t>4.1施工期环境影响及保护措施</w:t>
            </w:r>
          </w:p>
          <w:p w14:paraId="6BBEFF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Cs/>
                <w:spacing w:val="-10"/>
                <w:szCs w:val="21"/>
              </w:rPr>
            </w:pPr>
            <w:r>
              <w:rPr>
                <w:rFonts w:hint="default" w:ascii="Times New Roman" w:hAnsi="Times New Roman" w:cs="Times New Roman"/>
                <w:bCs/>
                <w:color w:val="auto"/>
                <w:spacing w:val="0"/>
                <w:sz w:val="24"/>
                <w:szCs w:val="24"/>
                <w:highlight w:val="none"/>
              </w:rPr>
              <w:t>本次</w:t>
            </w:r>
            <w:r>
              <w:rPr>
                <w:rFonts w:hint="eastAsia" w:cs="Times New Roman"/>
                <w:bCs/>
                <w:color w:val="auto"/>
                <w:spacing w:val="0"/>
                <w:sz w:val="24"/>
                <w:szCs w:val="24"/>
                <w:highlight w:val="none"/>
                <w:lang w:val="en-US" w:eastAsia="zh-CN"/>
              </w:rPr>
              <w:t>建设</w:t>
            </w:r>
            <w:r>
              <w:rPr>
                <w:rFonts w:hint="default" w:ascii="Times New Roman" w:hAnsi="Times New Roman" w:cs="Times New Roman"/>
                <w:bCs/>
                <w:color w:val="auto"/>
                <w:spacing w:val="0"/>
                <w:sz w:val="24"/>
                <w:szCs w:val="24"/>
                <w:highlight w:val="none"/>
              </w:rPr>
              <w:t>仅在手术室新增部分医疗设备，医疗设备购置入场后即可完成安装调试，施工期</w:t>
            </w:r>
            <w:r>
              <w:rPr>
                <w:rFonts w:hint="eastAsia" w:cs="Times New Roman"/>
                <w:bCs/>
                <w:color w:val="auto"/>
                <w:spacing w:val="0"/>
                <w:sz w:val="24"/>
                <w:szCs w:val="24"/>
                <w:highlight w:val="none"/>
                <w:lang w:val="en-US" w:eastAsia="zh-CN"/>
              </w:rPr>
              <w:t>很短，对外环境的影响很小</w:t>
            </w:r>
            <w:r>
              <w:rPr>
                <w:rFonts w:hint="default" w:ascii="Times New Roman" w:hAnsi="Times New Roman" w:cs="Times New Roman"/>
                <w:bCs/>
                <w:color w:val="auto"/>
                <w:spacing w:val="0"/>
                <w:sz w:val="24"/>
                <w:szCs w:val="24"/>
                <w:highlight w:val="none"/>
              </w:rPr>
              <w:t>。故本次环评不对施工期环境影响进行评价。</w:t>
            </w:r>
          </w:p>
        </w:tc>
      </w:tr>
      <w:tr w14:paraId="1BD46E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4" w:hRule="atLeast"/>
          <w:jc w:val="center"/>
        </w:trPr>
        <w:tc>
          <w:tcPr>
            <w:tcW w:w="402" w:type="dxa"/>
            <w:noWrap w:val="0"/>
            <w:tcMar>
              <w:left w:w="28" w:type="dxa"/>
              <w:right w:w="28" w:type="dxa"/>
            </w:tcMar>
            <w:vAlign w:val="center"/>
          </w:tcPr>
          <w:p w14:paraId="667A4580">
            <w:pPr>
              <w:adjustRightInd w:val="0"/>
              <w:snapToGrid w:val="0"/>
              <w:jc w:val="center"/>
              <w:rPr>
                <w:rFonts w:hint="eastAsia" w:ascii="宋体" w:hAnsi="宋体" w:cs="宋体"/>
                <w:bCs/>
                <w:szCs w:val="21"/>
              </w:rPr>
            </w:pPr>
            <w:r>
              <w:rPr>
                <w:rFonts w:hint="eastAsia" w:ascii="宋体" w:hAnsi="宋体" w:cs="宋体"/>
                <w:bCs/>
                <w:szCs w:val="21"/>
              </w:rPr>
              <w:t>运营</w:t>
            </w:r>
          </w:p>
          <w:p w14:paraId="793CA2F6">
            <w:pPr>
              <w:adjustRightInd w:val="0"/>
              <w:snapToGrid w:val="0"/>
              <w:jc w:val="center"/>
              <w:rPr>
                <w:rFonts w:hint="eastAsia" w:ascii="宋体" w:hAnsi="宋体" w:cs="宋体"/>
                <w:bCs/>
                <w:szCs w:val="21"/>
              </w:rPr>
            </w:pPr>
            <w:r>
              <w:rPr>
                <w:rFonts w:hint="eastAsia" w:ascii="宋体" w:hAnsi="宋体" w:cs="宋体"/>
                <w:bCs/>
                <w:szCs w:val="21"/>
              </w:rPr>
              <w:t>期环</w:t>
            </w:r>
          </w:p>
          <w:p w14:paraId="5847367A">
            <w:pPr>
              <w:adjustRightInd w:val="0"/>
              <w:snapToGrid w:val="0"/>
              <w:jc w:val="center"/>
              <w:rPr>
                <w:rFonts w:hint="eastAsia" w:ascii="宋体" w:hAnsi="宋体" w:cs="宋体"/>
                <w:bCs/>
                <w:szCs w:val="21"/>
              </w:rPr>
            </w:pPr>
            <w:r>
              <w:rPr>
                <w:rFonts w:hint="eastAsia" w:ascii="宋体" w:hAnsi="宋体" w:cs="宋体"/>
                <w:bCs/>
                <w:szCs w:val="21"/>
              </w:rPr>
              <w:t>境影</w:t>
            </w:r>
          </w:p>
          <w:p w14:paraId="27423695">
            <w:pPr>
              <w:adjustRightInd w:val="0"/>
              <w:snapToGrid w:val="0"/>
              <w:jc w:val="center"/>
              <w:rPr>
                <w:rFonts w:hint="eastAsia" w:ascii="宋体" w:hAnsi="宋体" w:cs="宋体"/>
                <w:bCs/>
                <w:szCs w:val="21"/>
              </w:rPr>
            </w:pPr>
            <w:r>
              <w:rPr>
                <w:rFonts w:hint="eastAsia" w:ascii="宋体" w:hAnsi="宋体" w:cs="宋体"/>
                <w:bCs/>
                <w:szCs w:val="21"/>
              </w:rPr>
              <w:t>响和</w:t>
            </w:r>
          </w:p>
          <w:p w14:paraId="531A6ABC">
            <w:pPr>
              <w:adjustRightInd w:val="0"/>
              <w:snapToGrid w:val="0"/>
              <w:jc w:val="center"/>
              <w:rPr>
                <w:rFonts w:hint="eastAsia" w:ascii="宋体" w:hAnsi="宋体" w:cs="宋体"/>
                <w:bCs/>
                <w:szCs w:val="21"/>
              </w:rPr>
            </w:pPr>
            <w:r>
              <w:rPr>
                <w:rFonts w:hint="eastAsia" w:ascii="宋体" w:hAnsi="宋体" w:cs="宋体"/>
                <w:bCs/>
                <w:szCs w:val="21"/>
              </w:rPr>
              <w:t>保护</w:t>
            </w:r>
          </w:p>
          <w:p w14:paraId="22D5C8A9">
            <w:pPr>
              <w:adjustRightInd w:val="0"/>
              <w:snapToGrid w:val="0"/>
              <w:jc w:val="center"/>
              <w:rPr>
                <w:rFonts w:ascii="宋体" w:hAnsi="宋体" w:cs="宋体"/>
                <w:bCs/>
                <w:szCs w:val="21"/>
              </w:rPr>
            </w:pPr>
            <w:r>
              <w:rPr>
                <w:rFonts w:hint="eastAsia" w:ascii="宋体" w:hAnsi="宋体" w:cs="宋体"/>
                <w:bCs/>
                <w:szCs w:val="21"/>
              </w:rPr>
              <w:t>措施</w:t>
            </w:r>
          </w:p>
        </w:tc>
        <w:tc>
          <w:tcPr>
            <w:tcW w:w="8506" w:type="dxa"/>
            <w:noWrap w:val="0"/>
            <w:vAlign w:val="center"/>
          </w:tcPr>
          <w:p w14:paraId="04ADC3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spacing w:val="0"/>
                <w:sz w:val="24"/>
                <w:szCs w:val="24"/>
              </w:rPr>
            </w:pPr>
            <w:r>
              <w:rPr>
                <w:rFonts w:hint="default" w:ascii="Times New Roman" w:hAnsi="Times New Roman" w:cs="Times New Roman"/>
                <w:b/>
                <w:bCs w:val="0"/>
                <w:spacing w:val="0"/>
                <w:sz w:val="24"/>
                <w:szCs w:val="24"/>
              </w:rPr>
              <w:t>4.</w:t>
            </w:r>
            <w:r>
              <w:rPr>
                <w:rFonts w:hint="eastAsia" w:cs="Times New Roman"/>
                <w:b/>
                <w:bCs w:val="0"/>
                <w:spacing w:val="0"/>
                <w:sz w:val="24"/>
                <w:szCs w:val="24"/>
                <w:lang w:val="en-US" w:eastAsia="zh-CN"/>
              </w:rPr>
              <w:t>2运营</w:t>
            </w:r>
            <w:r>
              <w:rPr>
                <w:rFonts w:hint="default" w:ascii="Times New Roman" w:hAnsi="Times New Roman" w:cs="Times New Roman"/>
                <w:b/>
                <w:bCs w:val="0"/>
                <w:spacing w:val="0"/>
                <w:sz w:val="24"/>
                <w:szCs w:val="24"/>
              </w:rPr>
              <w:t>期环境影响及保护措施</w:t>
            </w:r>
          </w:p>
          <w:p w14:paraId="73DB2AD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val="0"/>
                <w:spacing w:val="0"/>
                <w:sz w:val="24"/>
                <w:szCs w:val="24"/>
              </w:rPr>
            </w:pPr>
            <w:r>
              <w:rPr>
                <w:rFonts w:hint="default" w:ascii="Times New Roman" w:hAnsi="Times New Roman" w:cs="Times New Roman"/>
                <w:b/>
                <w:bCs w:val="0"/>
                <w:spacing w:val="0"/>
                <w:sz w:val="24"/>
                <w:szCs w:val="24"/>
              </w:rPr>
              <w:t>4.2.1 废气环境影响和保护措施</w:t>
            </w:r>
          </w:p>
          <w:p w14:paraId="01B1E4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default" w:ascii="Times New Roman" w:hAnsi="Times New Roman" w:cs="Times New Roman"/>
                <w:b w:val="0"/>
                <w:bCs/>
                <w:spacing w:val="0"/>
                <w:sz w:val="24"/>
                <w:szCs w:val="24"/>
              </w:rPr>
              <w:t>项目不设置食堂，不涉及餐饮油烟。项目废气主要为宠物的排泄物所产生的臭味、医废</w:t>
            </w:r>
            <w:r>
              <w:rPr>
                <w:rFonts w:hint="eastAsia" w:cs="Times New Roman"/>
                <w:b w:val="0"/>
                <w:bCs/>
                <w:spacing w:val="0"/>
                <w:sz w:val="24"/>
                <w:szCs w:val="24"/>
                <w:lang w:val="en-US" w:eastAsia="zh-CN"/>
              </w:rPr>
              <w:t>点</w:t>
            </w:r>
            <w:r>
              <w:rPr>
                <w:rFonts w:hint="default" w:ascii="Times New Roman" w:hAnsi="Times New Roman" w:cs="Times New Roman"/>
                <w:b w:val="0"/>
                <w:bCs/>
                <w:spacing w:val="0"/>
                <w:sz w:val="24"/>
                <w:szCs w:val="24"/>
              </w:rPr>
              <w:t>异味和宠物自身产生的少量异味及</w:t>
            </w:r>
            <w:r>
              <w:rPr>
                <w:rFonts w:hint="eastAsia" w:cs="Times New Roman"/>
                <w:b w:val="0"/>
                <w:bCs/>
                <w:spacing w:val="0"/>
                <w:sz w:val="24"/>
                <w:szCs w:val="24"/>
                <w:lang w:eastAsia="zh-CN"/>
              </w:rPr>
              <w:t>消毒设施</w:t>
            </w:r>
            <w:r>
              <w:rPr>
                <w:rFonts w:hint="default" w:ascii="Times New Roman" w:hAnsi="Times New Roman" w:cs="Times New Roman"/>
                <w:b w:val="0"/>
                <w:bCs/>
                <w:spacing w:val="0"/>
                <w:sz w:val="24"/>
                <w:szCs w:val="24"/>
              </w:rPr>
              <w:t>异味。</w:t>
            </w:r>
          </w:p>
          <w:p w14:paraId="29CBBEA4">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kern w:val="3"/>
                <w:sz w:val="24"/>
                <w:szCs w:val="24"/>
              </w:rPr>
            </w:pPr>
            <w:r>
              <w:rPr>
                <w:rFonts w:hint="default" w:ascii="Times New Roman" w:hAnsi="Times New Roman" w:cs="Times New Roman"/>
                <w:b w:val="0"/>
                <w:bCs/>
                <w:spacing w:val="0"/>
                <w:kern w:val="3"/>
                <w:sz w:val="24"/>
                <w:szCs w:val="24"/>
              </w:rPr>
              <w:t>宠物的排泄物所产生的臭味及宠物自身的异味</w:t>
            </w:r>
          </w:p>
          <w:p w14:paraId="68B353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highlight w:val="none"/>
              </w:rPr>
            </w:pPr>
            <w:r>
              <w:rPr>
                <w:rFonts w:hint="default" w:ascii="Times New Roman" w:hAnsi="Times New Roman" w:cs="Times New Roman"/>
                <w:b w:val="0"/>
                <w:bCs/>
                <w:spacing w:val="0"/>
                <w:kern w:val="3"/>
                <w:sz w:val="24"/>
                <w:szCs w:val="24"/>
              </w:rPr>
              <w:t>宠物医院在猫笼内设置有猫砂盒或用于收集猫粪和猫尿，狗笼内设置排便与排尿盒，项目接诊的宠物产生的</w:t>
            </w:r>
            <w:r>
              <w:rPr>
                <w:rFonts w:hint="eastAsia" w:ascii="Times New Roman" w:hAnsi="Times New Roman" w:cs="Times New Roman"/>
                <w:b w:val="0"/>
                <w:bCs/>
                <w:spacing w:val="0"/>
                <w:kern w:val="3"/>
                <w:sz w:val="24"/>
                <w:szCs w:val="24"/>
                <w:lang w:val="en-US" w:eastAsia="zh-CN"/>
              </w:rPr>
              <w:t>宠物</w:t>
            </w:r>
            <w:r>
              <w:rPr>
                <w:rFonts w:hint="default" w:ascii="Times New Roman" w:hAnsi="Times New Roman" w:cs="Times New Roman"/>
                <w:b w:val="0"/>
                <w:bCs/>
                <w:spacing w:val="0"/>
                <w:kern w:val="3"/>
                <w:sz w:val="24"/>
                <w:szCs w:val="24"/>
              </w:rPr>
              <w:t>排泄物日常由专人及时进行更换清理</w:t>
            </w:r>
            <w:r>
              <w:rPr>
                <w:rFonts w:hint="default" w:ascii="Times New Roman" w:hAnsi="Times New Roman" w:cs="Times New Roman"/>
                <w:b w:val="0"/>
                <w:bCs/>
                <w:spacing w:val="0"/>
                <w:kern w:val="3"/>
                <w:sz w:val="24"/>
                <w:szCs w:val="24"/>
                <w:highlight w:val="none"/>
              </w:rPr>
              <w:t>。项目设置的住院病房</w:t>
            </w:r>
            <w:r>
              <w:rPr>
                <w:rFonts w:hint="eastAsia" w:cs="Times New Roman"/>
                <w:b w:val="0"/>
                <w:bCs/>
                <w:spacing w:val="0"/>
                <w:kern w:val="3"/>
                <w:sz w:val="24"/>
                <w:szCs w:val="24"/>
                <w:highlight w:val="none"/>
                <w:lang w:val="en-US" w:eastAsia="zh-CN"/>
              </w:rPr>
              <w:t>中除隔离室外，住院区</w:t>
            </w:r>
            <w:r>
              <w:rPr>
                <w:rFonts w:hint="default" w:ascii="Times New Roman" w:hAnsi="Times New Roman" w:cs="Times New Roman"/>
                <w:b w:val="0"/>
                <w:bCs/>
                <w:spacing w:val="0"/>
                <w:kern w:val="3"/>
                <w:sz w:val="24"/>
                <w:szCs w:val="24"/>
                <w:highlight w:val="none"/>
              </w:rPr>
              <w:t>设置</w:t>
            </w:r>
            <w:r>
              <w:rPr>
                <w:rFonts w:hint="eastAsia" w:cs="Times New Roman"/>
                <w:b w:val="0"/>
                <w:bCs/>
                <w:spacing w:val="0"/>
                <w:kern w:val="3"/>
                <w:sz w:val="24"/>
                <w:szCs w:val="24"/>
                <w:highlight w:val="none"/>
                <w:lang w:val="en-US" w:eastAsia="zh-CN"/>
              </w:rPr>
              <w:t>了</w:t>
            </w:r>
            <w:r>
              <w:rPr>
                <w:rFonts w:hint="default" w:ascii="Times New Roman" w:hAnsi="Times New Roman" w:cs="Times New Roman"/>
                <w:b w:val="0"/>
                <w:bCs/>
                <w:spacing w:val="0"/>
                <w:kern w:val="3"/>
                <w:sz w:val="24"/>
                <w:szCs w:val="24"/>
                <w:highlight w:val="none"/>
              </w:rPr>
              <w:t>窗户，室内通过空调系统通风换气</w:t>
            </w:r>
            <w:r>
              <w:rPr>
                <w:rFonts w:hint="eastAsia" w:ascii="Times New Roman" w:hAnsi="Times New Roman" w:cs="Times New Roman"/>
                <w:b w:val="0"/>
                <w:bCs/>
                <w:spacing w:val="0"/>
                <w:kern w:val="3"/>
                <w:sz w:val="24"/>
                <w:szCs w:val="24"/>
                <w:lang w:eastAsia="zh-CN"/>
              </w:rPr>
              <w:t>；</w:t>
            </w:r>
            <w:r>
              <w:rPr>
                <w:rFonts w:hint="eastAsia" w:cs="Times New Roman"/>
                <w:b w:val="0"/>
                <w:bCs/>
                <w:spacing w:val="0"/>
                <w:kern w:val="3"/>
                <w:sz w:val="24"/>
                <w:szCs w:val="24"/>
                <w:lang w:val="en-US" w:eastAsia="zh-CN"/>
              </w:rPr>
              <w:t>住院区</w:t>
            </w:r>
            <w:r>
              <w:rPr>
                <w:rFonts w:hint="default" w:ascii="Times New Roman" w:hAnsi="Times New Roman" w:cs="Times New Roman"/>
                <w:b w:val="0"/>
                <w:bCs/>
                <w:spacing w:val="0"/>
                <w:kern w:val="3"/>
                <w:sz w:val="24"/>
                <w:szCs w:val="24"/>
              </w:rPr>
              <w:t>内设有紫外线灯管对</w:t>
            </w:r>
            <w:r>
              <w:rPr>
                <w:rFonts w:hint="eastAsia" w:cs="Times New Roman"/>
                <w:b w:val="0"/>
                <w:bCs/>
                <w:spacing w:val="0"/>
                <w:kern w:val="3"/>
                <w:sz w:val="24"/>
                <w:szCs w:val="24"/>
                <w:lang w:val="en-US" w:eastAsia="zh-CN"/>
              </w:rPr>
              <w:t>住院区</w:t>
            </w:r>
            <w:r>
              <w:rPr>
                <w:rFonts w:hint="default" w:ascii="Times New Roman" w:hAnsi="Times New Roman" w:cs="Times New Roman"/>
                <w:b w:val="0"/>
                <w:bCs/>
                <w:spacing w:val="0"/>
                <w:kern w:val="3"/>
                <w:sz w:val="24"/>
                <w:szCs w:val="24"/>
              </w:rPr>
              <w:t>进行消毒杀菌，同时每天使用84消毒液等对医院进行消毒，通过加强通风换气，可减少恶臭污染</w:t>
            </w:r>
            <w:r>
              <w:rPr>
                <w:rFonts w:hint="eastAsia" w:cs="Times New Roman"/>
                <w:b w:val="0"/>
                <w:bCs/>
                <w:spacing w:val="0"/>
                <w:kern w:val="3"/>
                <w:sz w:val="24"/>
                <w:szCs w:val="24"/>
                <w:lang w:eastAsia="zh-CN"/>
              </w:rPr>
              <w:t>，</w:t>
            </w:r>
            <w:r>
              <w:rPr>
                <w:rFonts w:hint="eastAsia" w:cs="Times New Roman"/>
                <w:b w:val="0"/>
                <w:bCs/>
                <w:spacing w:val="0"/>
                <w:kern w:val="3"/>
                <w:sz w:val="24"/>
                <w:szCs w:val="24"/>
                <w:lang w:val="en-US" w:eastAsia="zh-CN"/>
              </w:rPr>
              <w:t>空调外机排口面对公路，</w:t>
            </w:r>
            <w:r>
              <w:rPr>
                <w:rFonts w:hint="default" w:ascii="Times New Roman" w:hAnsi="Times New Roman" w:cs="Times New Roman"/>
                <w:b w:val="0"/>
                <w:bCs/>
                <w:spacing w:val="0"/>
                <w:kern w:val="3"/>
                <w:sz w:val="24"/>
                <w:szCs w:val="24"/>
              </w:rPr>
              <w:t>对大气的影响较小。</w:t>
            </w:r>
            <w:r>
              <w:rPr>
                <w:rFonts w:hint="eastAsia" w:cs="Times New Roman"/>
                <w:b w:val="0"/>
                <w:bCs/>
                <w:sz w:val="24"/>
                <w:szCs w:val="24"/>
                <w:highlight w:val="none"/>
                <w:lang w:val="en-US" w:eastAsia="zh-CN"/>
              </w:rPr>
              <w:t>对于检验诊断出存在</w:t>
            </w:r>
            <w:r>
              <w:rPr>
                <w:rFonts w:hint="default" w:ascii="Times New Roman" w:hAnsi="Times New Roman" w:eastAsia="宋体" w:cs="Times New Roman"/>
                <w:b w:val="0"/>
                <w:bCs/>
                <w:sz w:val="24"/>
                <w:szCs w:val="24"/>
                <w:highlight w:val="none"/>
                <w:lang w:eastAsia="zh-CN"/>
              </w:rPr>
              <w:t>人畜交叉感染传染病的宠物</w:t>
            </w:r>
            <w:r>
              <w:rPr>
                <w:rFonts w:hint="default" w:ascii="Times New Roman" w:hAnsi="Times New Roman" w:cs="Times New Roman"/>
                <w:b w:val="0"/>
                <w:bCs/>
                <w:sz w:val="24"/>
                <w:szCs w:val="24"/>
                <w:highlight w:val="none"/>
                <w:vertAlign w:val="baseline"/>
                <w:lang w:val="en-US" w:eastAsia="zh-CN"/>
              </w:rPr>
              <w:t>，宠物医院将在</w:t>
            </w:r>
            <w:r>
              <w:rPr>
                <w:rFonts w:hint="eastAsia" w:cs="Times New Roman"/>
                <w:b w:val="0"/>
                <w:bCs/>
                <w:sz w:val="24"/>
                <w:szCs w:val="24"/>
                <w:highlight w:val="none"/>
                <w:vertAlign w:val="baseline"/>
                <w:lang w:val="en-US" w:eastAsia="zh-CN"/>
              </w:rPr>
              <w:t>隔离室</w:t>
            </w:r>
            <w:r>
              <w:rPr>
                <w:rFonts w:hint="default" w:ascii="Times New Roman" w:hAnsi="Times New Roman" w:cs="Times New Roman"/>
                <w:b w:val="0"/>
                <w:bCs/>
                <w:sz w:val="24"/>
                <w:szCs w:val="24"/>
                <w:highlight w:val="none"/>
                <w:vertAlign w:val="baseline"/>
                <w:lang w:val="en-US" w:eastAsia="zh-CN"/>
              </w:rPr>
              <w:t>采取隔离措施并立即将患病动物转移至专业的传染病防治医院</w:t>
            </w:r>
            <w:r>
              <w:rPr>
                <w:rFonts w:hint="eastAsia" w:cs="Times New Roman"/>
                <w:b w:val="0"/>
                <w:bCs/>
                <w:sz w:val="24"/>
                <w:szCs w:val="24"/>
                <w:highlight w:val="none"/>
                <w:vertAlign w:val="baseline"/>
                <w:lang w:val="en-US" w:eastAsia="zh-CN"/>
              </w:rPr>
              <w:t>，并在事后对隔离室、诊断室等涉及</w:t>
            </w:r>
            <w:r>
              <w:rPr>
                <w:rFonts w:hint="default" w:ascii="Times New Roman" w:hAnsi="Times New Roman" w:eastAsia="宋体" w:cs="Times New Roman"/>
                <w:b w:val="0"/>
                <w:bCs/>
                <w:sz w:val="24"/>
                <w:szCs w:val="24"/>
                <w:highlight w:val="none"/>
                <w:lang w:eastAsia="zh-CN"/>
              </w:rPr>
              <w:t>人畜交叉感染传染病的宠物</w:t>
            </w:r>
            <w:r>
              <w:rPr>
                <w:rFonts w:hint="eastAsia" w:cs="Times New Roman"/>
                <w:b w:val="0"/>
                <w:bCs/>
                <w:sz w:val="24"/>
                <w:szCs w:val="24"/>
                <w:highlight w:val="none"/>
                <w:lang w:val="en-US" w:eastAsia="zh-CN"/>
              </w:rPr>
              <w:t>的地方使用84消毒液进行消毒</w:t>
            </w:r>
            <w:r>
              <w:rPr>
                <w:rFonts w:hint="eastAsia" w:cs="Times New Roman"/>
                <w:b w:val="0"/>
                <w:bCs/>
                <w:sz w:val="24"/>
                <w:szCs w:val="24"/>
                <w:highlight w:val="none"/>
                <w:vertAlign w:val="baseline"/>
                <w:lang w:val="en-US" w:eastAsia="zh-CN"/>
              </w:rPr>
              <w:t>。</w:t>
            </w:r>
          </w:p>
          <w:p w14:paraId="3CE5AE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eastAsia" w:ascii="Times New Roman" w:hAnsi="Times New Roman" w:cs="Times New Roman"/>
                <w:b w:val="0"/>
                <w:bCs/>
                <w:spacing w:val="0"/>
                <w:sz w:val="24"/>
                <w:szCs w:val="24"/>
                <w:lang w:eastAsia="zh-CN"/>
              </w:rPr>
              <w:t>（</w:t>
            </w:r>
            <w:r>
              <w:rPr>
                <w:rFonts w:hint="eastAsia" w:ascii="Times New Roman" w:hAnsi="Times New Roman" w:cs="Times New Roman"/>
                <w:b w:val="0"/>
                <w:bCs/>
                <w:spacing w:val="0"/>
                <w:sz w:val="24"/>
                <w:szCs w:val="24"/>
                <w:lang w:val="en-US" w:eastAsia="zh-CN"/>
              </w:rPr>
              <w:t>2</w:t>
            </w:r>
            <w:r>
              <w:rPr>
                <w:rFonts w:hint="eastAsia" w:ascii="Times New Roman" w:hAnsi="Times New Roman" w:cs="Times New Roman"/>
                <w:b w:val="0"/>
                <w:bCs/>
                <w:spacing w:val="0"/>
                <w:sz w:val="24"/>
                <w:szCs w:val="24"/>
                <w:lang w:eastAsia="zh-CN"/>
              </w:rPr>
              <w:t>）</w:t>
            </w:r>
            <w:r>
              <w:rPr>
                <w:rFonts w:hint="eastAsia" w:cs="Times New Roman"/>
                <w:b w:val="0"/>
                <w:bCs/>
                <w:spacing w:val="0"/>
                <w:sz w:val="24"/>
                <w:szCs w:val="24"/>
                <w:lang w:eastAsia="zh-CN"/>
              </w:rPr>
              <w:t>医废点</w:t>
            </w:r>
            <w:r>
              <w:rPr>
                <w:rFonts w:hint="default" w:ascii="Times New Roman" w:hAnsi="Times New Roman" w:cs="Times New Roman"/>
                <w:b w:val="0"/>
                <w:bCs/>
                <w:spacing w:val="0"/>
                <w:sz w:val="24"/>
                <w:szCs w:val="24"/>
              </w:rPr>
              <w:t>异味</w:t>
            </w:r>
          </w:p>
          <w:p w14:paraId="760212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default" w:ascii="Times New Roman" w:hAnsi="Times New Roman" w:cs="Times New Roman"/>
                <w:b w:val="0"/>
                <w:bCs/>
                <w:spacing w:val="0"/>
                <w:sz w:val="24"/>
                <w:szCs w:val="24"/>
              </w:rPr>
              <w:t>本评价要求医疗废物采用专用的医废袋</w:t>
            </w:r>
            <w:r>
              <w:rPr>
                <w:rFonts w:hint="eastAsia" w:ascii="Times New Roman" w:hAnsi="Times New Roman" w:cs="Times New Roman"/>
                <w:b w:val="0"/>
                <w:bCs/>
                <w:spacing w:val="0"/>
                <w:sz w:val="24"/>
                <w:szCs w:val="24"/>
                <w:lang w:eastAsia="zh-CN"/>
              </w:rPr>
              <w:t>（</w:t>
            </w:r>
            <w:r>
              <w:rPr>
                <w:rFonts w:hint="default" w:ascii="Times New Roman" w:hAnsi="Times New Roman" w:cs="Times New Roman"/>
                <w:b w:val="0"/>
                <w:bCs/>
                <w:spacing w:val="0"/>
                <w:sz w:val="24"/>
                <w:szCs w:val="24"/>
              </w:rPr>
              <w:t>桶</w:t>
            </w:r>
            <w:r>
              <w:rPr>
                <w:rFonts w:hint="eastAsia" w:ascii="Times New Roman" w:hAnsi="Times New Roman" w:cs="Times New Roman"/>
                <w:b w:val="0"/>
                <w:bCs/>
                <w:spacing w:val="0"/>
                <w:sz w:val="24"/>
                <w:szCs w:val="24"/>
                <w:lang w:eastAsia="zh-CN"/>
              </w:rPr>
              <w:t>）</w:t>
            </w:r>
            <w:r>
              <w:rPr>
                <w:rFonts w:hint="default" w:ascii="Times New Roman" w:hAnsi="Times New Roman" w:cs="Times New Roman"/>
                <w:b w:val="0"/>
                <w:bCs/>
                <w:spacing w:val="0"/>
                <w:sz w:val="24"/>
                <w:szCs w:val="24"/>
              </w:rPr>
              <w:t>进行收集，当日无法清运则放置于</w:t>
            </w:r>
            <w:r>
              <w:rPr>
                <w:rFonts w:hint="eastAsia" w:cs="Times New Roman"/>
                <w:b w:val="0"/>
                <w:bCs/>
                <w:spacing w:val="0"/>
                <w:sz w:val="24"/>
                <w:szCs w:val="24"/>
                <w:lang w:eastAsia="zh-CN"/>
              </w:rPr>
              <w:t>医废点</w:t>
            </w:r>
            <w:r>
              <w:rPr>
                <w:rFonts w:hint="default" w:ascii="Times New Roman" w:hAnsi="Times New Roman" w:cs="Times New Roman"/>
                <w:b w:val="0"/>
                <w:bCs/>
                <w:spacing w:val="0"/>
                <w:sz w:val="24"/>
                <w:szCs w:val="24"/>
              </w:rPr>
              <w:t>内，储存期不能超过两天。每天做好医疗废物的密封、清运和消毒工作，同时加强医疗废物管理，做好暂存间的地面防渗处理，做好暂存间的防鼠、防蚊蝇等措施，定期进行</w:t>
            </w:r>
            <w:r>
              <w:rPr>
                <w:rFonts w:hint="eastAsia" w:cs="Times New Roman"/>
                <w:b w:val="0"/>
                <w:bCs/>
                <w:spacing w:val="0"/>
                <w:sz w:val="24"/>
                <w:szCs w:val="24"/>
                <w:lang w:eastAsia="zh-CN"/>
              </w:rPr>
              <w:t>医废点</w:t>
            </w:r>
            <w:r>
              <w:rPr>
                <w:rFonts w:hint="default" w:ascii="Times New Roman" w:hAnsi="Times New Roman" w:cs="Times New Roman"/>
                <w:b w:val="0"/>
                <w:bCs/>
                <w:spacing w:val="0"/>
                <w:sz w:val="24"/>
                <w:szCs w:val="24"/>
              </w:rPr>
              <w:t>存储设施、设备的清洁和消毒工作</w:t>
            </w:r>
            <w:r>
              <w:rPr>
                <w:rFonts w:hint="eastAsia" w:ascii="Times New Roman" w:hAnsi="Times New Roman" w:cs="Times New Roman"/>
                <w:b w:val="0"/>
                <w:bCs/>
                <w:spacing w:val="0"/>
                <w:sz w:val="24"/>
                <w:szCs w:val="24"/>
                <w:lang w:eastAsia="zh-CN"/>
              </w:rPr>
              <w:t>（</w:t>
            </w:r>
            <w:r>
              <w:rPr>
                <w:rFonts w:hint="default" w:ascii="Times New Roman" w:hAnsi="Times New Roman" w:cs="Times New Roman"/>
                <w:b w:val="0"/>
                <w:bCs/>
                <w:spacing w:val="0"/>
                <w:sz w:val="24"/>
                <w:szCs w:val="24"/>
              </w:rPr>
              <w:t>消毒方式为喷洒消毒剂消毒</w:t>
            </w:r>
            <w:r>
              <w:rPr>
                <w:rFonts w:hint="eastAsia" w:ascii="Times New Roman" w:hAnsi="Times New Roman" w:cs="Times New Roman"/>
                <w:b w:val="0"/>
                <w:bCs/>
                <w:spacing w:val="0"/>
                <w:sz w:val="24"/>
                <w:szCs w:val="24"/>
                <w:lang w:eastAsia="zh-CN"/>
              </w:rPr>
              <w:t>）</w:t>
            </w:r>
            <w:r>
              <w:rPr>
                <w:rFonts w:hint="default" w:ascii="Times New Roman" w:hAnsi="Times New Roman" w:cs="Times New Roman"/>
                <w:b w:val="0"/>
                <w:bCs/>
                <w:spacing w:val="0"/>
                <w:sz w:val="24"/>
                <w:szCs w:val="24"/>
              </w:rPr>
              <w:t>。</w:t>
            </w:r>
          </w:p>
          <w:p w14:paraId="1EE57B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eastAsia" w:ascii="Times New Roman" w:hAnsi="Times New Roman" w:cs="Times New Roman"/>
                <w:b w:val="0"/>
                <w:bCs/>
                <w:spacing w:val="0"/>
                <w:sz w:val="24"/>
                <w:szCs w:val="24"/>
                <w:lang w:eastAsia="zh-CN"/>
              </w:rPr>
              <w:t>（</w:t>
            </w:r>
            <w:r>
              <w:rPr>
                <w:rFonts w:hint="eastAsia" w:cs="Times New Roman"/>
                <w:b w:val="0"/>
                <w:bCs/>
                <w:spacing w:val="0"/>
                <w:sz w:val="24"/>
                <w:szCs w:val="24"/>
                <w:lang w:val="en-US" w:eastAsia="zh-CN"/>
              </w:rPr>
              <w:t>3</w:t>
            </w:r>
            <w:r>
              <w:rPr>
                <w:rFonts w:hint="eastAsia" w:ascii="Times New Roman" w:hAnsi="Times New Roman" w:cs="Times New Roman"/>
                <w:b w:val="0"/>
                <w:bCs/>
                <w:spacing w:val="0"/>
                <w:sz w:val="24"/>
                <w:szCs w:val="24"/>
                <w:lang w:eastAsia="zh-CN"/>
              </w:rPr>
              <w:t>）</w:t>
            </w:r>
            <w:r>
              <w:rPr>
                <w:rFonts w:hint="eastAsia" w:cs="Times New Roman"/>
                <w:b w:val="0"/>
                <w:bCs/>
                <w:spacing w:val="0"/>
                <w:sz w:val="24"/>
                <w:szCs w:val="24"/>
                <w:lang w:eastAsia="zh-CN"/>
              </w:rPr>
              <w:t>消毒设施</w:t>
            </w:r>
            <w:r>
              <w:rPr>
                <w:rFonts w:hint="default" w:ascii="Times New Roman" w:hAnsi="Times New Roman" w:cs="Times New Roman"/>
                <w:b w:val="0"/>
                <w:bCs/>
                <w:spacing w:val="0"/>
                <w:sz w:val="24"/>
                <w:szCs w:val="24"/>
              </w:rPr>
              <w:t>异味</w:t>
            </w:r>
          </w:p>
          <w:p w14:paraId="0E7AF3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default" w:ascii="Times New Roman" w:hAnsi="Times New Roman" w:cs="Times New Roman"/>
                <w:b w:val="0"/>
                <w:bCs/>
                <w:spacing w:val="0"/>
                <w:sz w:val="24"/>
                <w:szCs w:val="24"/>
                <w:highlight w:val="none"/>
              </w:rPr>
              <w:t>项目医疗废水采用</w:t>
            </w:r>
            <w:r>
              <w:rPr>
                <w:rFonts w:hint="eastAsia" w:cs="Times New Roman"/>
                <w:b w:val="0"/>
                <w:bCs/>
                <w:spacing w:val="0"/>
                <w:sz w:val="24"/>
                <w:szCs w:val="24"/>
                <w:highlight w:val="none"/>
                <w:lang w:eastAsia="zh-CN"/>
              </w:rPr>
              <w:t>消毒设施</w:t>
            </w:r>
            <w:r>
              <w:rPr>
                <w:rFonts w:hint="default" w:ascii="Times New Roman" w:hAnsi="Times New Roman" w:cs="Times New Roman"/>
                <w:b w:val="0"/>
                <w:bCs/>
                <w:spacing w:val="0"/>
                <w:sz w:val="24"/>
                <w:szCs w:val="24"/>
                <w:highlight w:val="none"/>
              </w:rPr>
              <w:t>处理，废水采用</w:t>
            </w:r>
            <w:r>
              <w:rPr>
                <w:rFonts w:hint="eastAsia" w:cs="Times New Roman"/>
                <w:snapToGrid w:val="0"/>
                <w:color w:val="auto"/>
                <w:kern w:val="0"/>
                <w:sz w:val="24"/>
                <w:highlight w:val="none"/>
                <w:lang w:val="en-US" w:eastAsia="zh-CN"/>
              </w:rPr>
              <w:t>二氧化氯消毒片消毒</w:t>
            </w:r>
            <w:r>
              <w:rPr>
                <w:rFonts w:hint="default" w:ascii="Times New Roman" w:hAnsi="Times New Roman" w:cs="Times New Roman"/>
                <w:b w:val="0"/>
                <w:bCs/>
                <w:spacing w:val="0"/>
                <w:sz w:val="24"/>
                <w:szCs w:val="24"/>
                <w:highlight w:val="none"/>
              </w:rPr>
              <w:t>。项目设置了</w:t>
            </w:r>
            <w:r>
              <w:rPr>
                <w:rFonts w:hint="eastAsia" w:cs="Times New Roman"/>
                <w:b w:val="0"/>
                <w:bCs/>
                <w:spacing w:val="0"/>
                <w:sz w:val="24"/>
                <w:szCs w:val="24"/>
                <w:highlight w:val="none"/>
                <w:lang w:val="en-US" w:eastAsia="zh-CN"/>
              </w:rPr>
              <w:t>2</w:t>
            </w:r>
            <w:r>
              <w:rPr>
                <w:rFonts w:hint="default" w:ascii="Times New Roman" w:hAnsi="Times New Roman" w:cs="Times New Roman"/>
                <w:b w:val="0"/>
                <w:bCs/>
                <w:spacing w:val="0"/>
                <w:sz w:val="24"/>
                <w:szCs w:val="24"/>
                <w:highlight w:val="none"/>
              </w:rPr>
              <w:t>台</w:t>
            </w:r>
            <w:r>
              <w:rPr>
                <w:rFonts w:hint="eastAsia" w:cs="Times New Roman"/>
                <w:b w:val="0"/>
                <w:bCs/>
                <w:spacing w:val="0"/>
                <w:sz w:val="24"/>
                <w:szCs w:val="24"/>
                <w:highlight w:val="none"/>
                <w:lang w:eastAsia="zh-CN"/>
              </w:rPr>
              <w:t>消毒设施</w:t>
            </w:r>
            <w:r>
              <w:rPr>
                <w:rFonts w:hint="default" w:ascii="Times New Roman" w:hAnsi="Times New Roman" w:cs="Times New Roman"/>
                <w:b w:val="0"/>
                <w:bCs/>
                <w:spacing w:val="0"/>
                <w:sz w:val="24"/>
                <w:szCs w:val="24"/>
                <w:highlight w:val="none"/>
              </w:rPr>
              <w:t>，</w:t>
            </w:r>
            <w:r>
              <w:rPr>
                <w:rFonts w:hint="eastAsia" w:cs="Times New Roman"/>
                <w:b w:val="0"/>
                <w:bCs/>
                <w:spacing w:val="0"/>
                <w:sz w:val="24"/>
                <w:szCs w:val="24"/>
                <w:highlight w:val="none"/>
                <w:lang w:val="en-US" w:eastAsia="zh-CN"/>
              </w:rPr>
              <w:t>分别</w:t>
            </w:r>
            <w:r>
              <w:rPr>
                <w:rFonts w:hint="default" w:ascii="Times New Roman" w:hAnsi="Times New Roman" w:cs="Times New Roman"/>
                <w:b w:val="0"/>
                <w:bCs/>
                <w:spacing w:val="0"/>
                <w:sz w:val="24"/>
                <w:szCs w:val="24"/>
                <w:highlight w:val="none"/>
              </w:rPr>
              <w:t>位于</w:t>
            </w:r>
            <w:r>
              <w:rPr>
                <w:rFonts w:hint="eastAsia" w:cs="Times New Roman"/>
                <w:b w:val="0"/>
                <w:bCs/>
                <w:spacing w:val="0"/>
                <w:sz w:val="24"/>
                <w:szCs w:val="24"/>
                <w:highlight w:val="none"/>
                <w:lang w:val="en-US" w:eastAsia="zh-CN"/>
              </w:rPr>
              <w:t>手术室水槽和卫生间水槽下</w:t>
            </w:r>
            <w:r>
              <w:rPr>
                <w:rFonts w:hint="default" w:ascii="Times New Roman" w:hAnsi="Times New Roman" w:cs="Times New Roman"/>
                <w:b w:val="0"/>
                <w:bCs/>
                <w:spacing w:val="0"/>
                <w:sz w:val="24"/>
                <w:szCs w:val="24"/>
                <w:highlight w:val="none"/>
              </w:rPr>
              <w:t>，均位于室内。</w:t>
            </w:r>
            <w:r>
              <w:rPr>
                <w:rFonts w:hint="eastAsia" w:cs="Times New Roman"/>
                <w:b w:val="0"/>
                <w:bCs/>
                <w:spacing w:val="0"/>
                <w:sz w:val="24"/>
                <w:szCs w:val="24"/>
                <w:highlight w:val="none"/>
                <w:lang w:val="en-US" w:eastAsia="zh-CN"/>
              </w:rPr>
              <w:t>对于暂时未能处理的医疗废水，应使用密闭桶进行暂存，并使用</w:t>
            </w:r>
            <w:r>
              <w:rPr>
                <w:rFonts w:hint="eastAsia" w:cs="Times New Roman"/>
                <w:snapToGrid w:val="0"/>
                <w:color w:val="auto"/>
                <w:kern w:val="0"/>
                <w:sz w:val="24"/>
                <w:highlight w:val="none"/>
                <w:lang w:val="en-US" w:eastAsia="zh-CN"/>
              </w:rPr>
              <w:t>二氧化氯消毒片</w:t>
            </w:r>
            <w:r>
              <w:rPr>
                <w:rFonts w:hint="eastAsia" w:cs="Times New Roman"/>
                <w:b w:val="0"/>
                <w:bCs/>
                <w:spacing w:val="0"/>
                <w:sz w:val="24"/>
                <w:szCs w:val="24"/>
                <w:highlight w:val="none"/>
                <w:lang w:val="en-US" w:eastAsia="zh-CN"/>
              </w:rPr>
              <w:t>进行消毒杀菌，避免暂存过程中产生异味。</w:t>
            </w:r>
            <w:r>
              <w:rPr>
                <w:rFonts w:hint="default" w:ascii="Times New Roman" w:hAnsi="Times New Roman" w:cs="Times New Roman"/>
                <w:b w:val="0"/>
                <w:bCs/>
                <w:spacing w:val="0"/>
                <w:sz w:val="24"/>
                <w:szCs w:val="24"/>
                <w:highlight w:val="none"/>
              </w:rPr>
              <w:t>医疗废水在</w:t>
            </w:r>
            <w:r>
              <w:rPr>
                <w:rFonts w:hint="eastAsia" w:cs="Times New Roman"/>
                <w:b w:val="0"/>
                <w:bCs/>
                <w:spacing w:val="0"/>
                <w:sz w:val="24"/>
                <w:szCs w:val="24"/>
                <w:highlight w:val="none"/>
                <w:lang w:eastAsia="zh-CN"/>
              </w:rPr>
              <w:t>消毒设施</w:t>
            </w:r>
            <w:r>
              <w:rPr>
                <w:rFonts w:hint="default" w:ascii="Times New Roman" w:hAnsi="Times New Roman" w:cs="Times New Roman"/>
                <w:b w:val="0"/>
                <w:bCs/>
                <w:spacing w:val="0"/>
                <w:sz w:val="24"/>
                <w:szCs w:val="24"/>
                <w:highlight w:val="none"/>
              </w:rPr>
              <w:t>内停留时间较短，且</w:t>
            </w:r>
            <w:r>
              <w:rPr>
                <w:rFonts w:hint="eastAsia" w:cs="Times New Roman"/>
                <w:b w:val="0"/>
                <w:bCs/>
                <w:spacing w:val="0"/>
                <w:sz w:val="24"/>
                <w:szCs w:val="24"/>
                <w:highlight w:val="none"/>
                <w:lang w:eastAsia="zh-CN"/>
              </w:rPr>
              <w:t>消毒设施</w:t>
            </w:r>
            <w:r>
              <w:rPr>
                <w:rFonts w:hint="default" w:ascii="Times New Roman" w:hAnsi="Times New Roman" w:cs="Times New Roman"/>
                <w:b w:val="0"/>
                <w:bCs/>
                <w:spacing w:val="0"/>
                <w:sz w:val="24"/>
                <w:szCs w:val="24"/>
                <w:highlight w:val="none"/>
              </w:rPr>
              <w:t>密闭，则产生异味强度较小，因此不会对周边环境产生影响。本评价要求建设单位加强管理，确保</w:t>
            </w:r>
            <w:r>
              <w:rPr>
                <w:rFonts w:hint="eastAsia" w:cs="Times New Roman"/>
                <w:b w:val="0"/>
                <w:bCs/>
                <w:spacing w:val="0"/>
                <w:sz w:val="24"/>
                <w:szCs w:val="24"/>
                <w:highlight w:val="none"/>
                <w:lang w:eastAsia="zh-CN"/>
              </w:rPr>
              <w:t>消毒设施</w:t>
            </w:r>
            <w:r>
              <w:rPr>
                <w:rFonts w:hint="default" w:ascii="Times New Roman" w:hAnsi="Times New Roman" w:cs="Times New Roman"/>
                <w:b w:val="0"/>
                <w:bCs/>
                <w:spacing w:val="0"/>
                <w:sz w:val="24"/>
                <w:szCs w:val="24"/>
                <w:highlight w:val="none"/>
              </w:rPr>
              <w:t>异味不扰民。</w:t>
            </w:r>
          </w:p>
          <w:p w14:paraId="203808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eastAsia" w:cs="Times New Roman"/>
                <w:b w:val="0"/>
                <w:bCs/>
                <w:spacing w:val="0"/>
                <w:sz w:val="24"/>
                <w:szCs w:val="24"/>
                <w:lang w:val="en-US" w:eastAsia="zh-CN"/>
              </w:rPr>
              <w:t>本项目空调外机排气口面对公路，不面对敏感目标，异味对于敏感目标的影响较小。</w:t>
            </w:r>
          </w:p>
          <w:p w14:paraId="5E7024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pacing w:val="0"/>
                <w:sz w:val="24"/>
                <w:szCs w:val="24"/>
              </w:rPr>
            </w:pPr>
            <w:r>
              <w:rPr>
                <w:rFonts w:hint="default" w:ascii="Times New Roman" w:hAnsi="Times New Roman" w:cs="Times New Roman"/>
                <w:b w:val="0"/>
                <w:bCs/>
                <w:spacing w:val="0"/>
                <w:sz w:val="24"/>
                <w:szCs w:val="24"/>
              </w:rPr>
              <w:t>综上所述，项目营运期室内空气经过空调系统加强通风、按时进行紫外线消毒后，能有效降低空气中的异味，对周围环境影响较小。</w:t>
            </w:r>
          </w:p>
          <w:p w14:paraId="61F6DE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b/>
                <w:bCs w:val="0"/>
                <w:spacing w:val="0"/>
                <w:sz w:val="24"/>
                <w:szCs w:val="24"/>
              </w:rPr>
            </w:pPr>
            <w:r>
              <w:rPr>
                <w:rFonts w:hint="eastAsia" w:ascii="Times New Roman" w:hAnsi="Times New Roman" w:cs="Times New Roman"/>
                <w:b/>
                <w:bCs w:val="0"/>
                <w:spacing w:val="0"/>
                <w:sz w:val="24"/>
                <w:szCs w:val="24"/>
              </w:rPr>
              <w:t>4.2.2 废水环境影响及保护措施</w:t>
            </w:r>
          </w:p>
          <w:p w14:paraId="74A6B21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Times New Roman" w:hAnsi="Times New Roman" w:cs="Times New Roman"/>
                <w:b/>
                <w:bCs w:val="0"/>
                <w:spacing w:val="0"/>
                <w:sz w:val="24"/>
                <w:szCs w:val="24"/>
              </w:rPr>
            </w:pPr>
            <w:r>
              <w:rPr>
                <w:rFonts w:hint="eastAsia" w:ascii="Times New Roman" w:hAnsi="Times New Roman" w:cs="Times New Roman"/>
                <w:b/>
                <w:bCs w:val="0"/>
                <w:spacing w:val="0"/>
                <w:sz w:val="24"/>
                <w:szCs w:val="24"/>
              </w:rPr>
              <w:t>4.2.2.1 废水产生源强</w:t>
            </w:r>
          </w:p>
          <w:p w14:paraId="4A0A4D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spacing w:val="0"/>
                <w:sz w:val="24"/>
                <w:szCs w:val="24"/>
              </w:rPr>
            </w:pPr>
            <w:r>
              <w:rPr>
                <w:rFonts w:hint="eastAsia" w:ascii="Times New Roman" w:hAnsi="Times New Roman" w:cs="Times New Roman"/>
                <w:b w:val="0"/>
                <w:bCs/>
                <w:spacing w:val="0"/>
                <w:sz w:val="24"/>
                <w:szCs w:val="24"/>
              </w:rPr>
              <w:t>项目营运期废水主要是生活污水、医疗废水</w:t>
            </w:r>
            <w:r>
              <w:rPr>
                <w:rFonts w:hint="eastAsia" w:cs="Times New Roman"/>
                <w:b w:val="0"/>
                <w:bCs/>
                <w:spacing w:val="0"/>
                <w:sz w:val="24"/>
                <w:szCs w:val="24"/>
                <w:lang w:eastAsia="zh-CN"/>
              </w:rPr>
              <w:t>、</w:t>
            </w:r>
            <w:r>
              <w:rPr>
                <w:rFonts w:hint="eastAsia" w:cs="Times New Roman"/>
                <w:b w:val="0"/>
                <w:bCs/>
                <w:spacing w:val="0"/>
                <w:sz w:val="24"/>
                <w:szCs w:val="24"/>
                <w:lang w:val="en-US" w:eastAsia="zh-CN"/>
              </w:rPr>
              <w:t>其他污水</w:t>
            </w:r>
            <w:r>
              <w:rPr>
                <w:rFonts w:hint="eastAsia" w:ascii="Times New Roman" w:hAnsi="Times New Roman" w:cs="Times New Roman"/>
                <w:b w:val="0"/>
                <w:bCs/>
                <w:spacing w:val="0"/>
                <w:sz w:val="24"/>
                <w:szCs w:val="24"/>
              </w:rPr>
              <w:t>。生活污水包括职工生活污水、流动顾客废水</w:t>
            </w:r>
            <w:r>
              <w:rPr>
                <w:rFonts w:hint="eastAsia" w:cs="Times New Roman"/>
                <w:b w:val="0"/>
                <w:bCs/>
                <w:spacing w:val="0"/>
                <w:sz w:val="24"/>
                <w:szCs w:val="24"/>
                <w:lang w:val="en-US" w:eastAsia="zh-CN"/>
              </w:rPr>
              <w:t>。其他污水包括</w:t>
            </w:r>
            <w:r>
              <w:rPr>
                <w:rFonts w:hint="eastAsia" w:ascii="Times New Roman" w:hAnsi="Times New Roman" w:eastAsia="宋体" w:cs="Times New Roman"/>
                <w:color w:val="auto"/>
                <w:kern w:val="2"/>
                <w:sz w:val="24"/>
                <w:szCs w:val="24"/>
                <w:highlight w:val="none"/>
                <w:lang w:val="en-US" w:eastAsia="zh-CN" w:bidi="ar-SA"/>
              </w:rPr>
              <w:t>地面清洁废水</w:t>
            </w:r>
            <w:r>
              <w:rPr>
                <w:rFonts w:hint="eastAsia" w:cs="Times New Roman"/>
                <w:color w:val="auto"/>
                <w:kern w:val="2"/>
                <w:sz w:val="24"/>
                <w:szCs w:val="24"/>
                <w:highlight w:val="none"/>
                <w:lang w:val="en-US" w:eastAsia="zh-CN" w:bidi="ar-SA"/>
              </w:rPr>
              <w:t>和工服清洗污水</w:t>
            </w:r>
            <w:r>
              <w:rPr>
                <w:rFonts w:hint="eastAsia" w:ascii="Times New Roman" w:hAnsi="Times New Roman" w:cs="Times New Roman"/>
                <w:b w:val="0"/>
                <w:bCs/>
                <w:spacing w:val="0"/>
                <w:sz w:val="24"/>
                <w:szCs w:val="24"/>
              </w:rPr>
              <w:t>。</w:t>
            </w:r>
          </w:p>
          <w:p w14:paraId="041DD501">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（1）医疗</w:t>
            </w:r>
            <w:r>
              <w:rPr>
                <w:rFonts w:hint="eastAsia" w:ascii="Times New Roman" w:hAnsi="Times New Roman" w:eastAsia="宋体" w:cs="Times New Roman"/>
                <w:color w:val="auto"/>
                <w:kern w:val="2"/>
                <w:sz w:val="24"/>
                <w:szCs w:val="24"/>
                <w:highlight w:val="none"/>
                <w:lang w:val="en-US" w:eastAsia="zh-CN" w:bidi="ar-SA"/>
              </w:rPr>
              <w:t>废水</w:t>
            </w:r>
          </w:p>
          <w:p w14:paraId="4B634B7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本项目医疗废水主要为</w:t>
            </w:r>
            <w:r>
              <w:rPr>
                <w:rFonts w:hint="eastAsia" w:ascii="Times New Roman" w:hAnsi="Times New Roman" w:cs="Times New Roman"/>
                <w:b w:val="0"/>
                <w:bCs/>
                <w:spacing w:val="0"/>
                <w:sz w:val="24"/>
                <w:szCs w:val="24"/>
              </w:rPr>
              <w:t>诊疗废水、宠物笼清洗废水、手术器械清洗废水</w:t>
            </w:r>
            <w:r>
              <w:rPr>
                <w:rFonts w:hint="eastAsia" w:cs="Times New Roman"/>
                <w:b w:val="0"/>
                <w:bCs/>
                <w:spacing w:val="0"/>
                <w:sz w:val="24"/>
                <w:szCs w:val="24"/>
                <w:lang w:eastAsia="zh-CN"/>
              </w:rPr>
              <w:t>、</w:t>
            </w:r>
            <w:r>
              <w:rPr>
                <w:rFonts w:hint="eastAsia" w:cs="Times New Roman"/>
                <w:b w:val="0"/>
                <w:bCs/>
                <w:spacing w:val="0"/>
                <w:sz w:val="24"/>
                <w:szCs w:val="24"/>
                <w:lang w:val="en-US" w:eastAsia="zh-CN"/>
              </w:rPr>
              <w:t>手术废水</w:t>
            </w:r>
            <w:r>
              <w:rPr>
                <w:rFonts w:hint="eastAsia"/>
                <w:color w:val="auto"/>
                <w:sz w:val="24"/>
                <w:szCs w:val="24"/>
                <w:highlight w:val="none"/>
                <w:lang w:val="en-US" w:eastAsia="zh-CN"/>
              </w:rPr>
              <w:t>。</w:t>
            </w:r>
            <w:r>
              <w:rPr>
                <w:rFonts w:hint="eastAsia" w:cs="Times New Roman"/>
                <w:color w:val="auto"/>
                <w:kern w:val="2"/>
                <w:sz w:val="24"/>
                <w:szCs w:val="24"/>
                <w:highlight w:val="none"/>
                <w:lang w:val="en-US" w:eastAsia="zh-CN" w:bidi="ar-SA"/>
              </w:rPr>
              <w:t>该动物医院化验室采用试纸条或试纸块沾取血液和尿液进行化验，化验过程中无用水，因此期间不会产生化验废水，使用之后的试纸条和试纸块计入医疗废物进行处理，不产生化验废水。</w:t>
            </w:r>
          </w:p>
          <w:p w14:paraId="42DA5E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spacing w:val="0"/>
                <w:sz w:val="24"/>
                <w:szCs w:val="24"/>
              </w:rPr>
            </w:pPr>
            <w:r>
              <w:rPr>
                <w:rFonts w:hint="eastAsia"/>
                <w:color w:val="auto"/>
                <w:sz w:val="24"/>
                <w:szCs w:val="24"/>
                <w:highlight w:val="none"/>
                <w:lang w:val="en-US" w:eastAsia="zh-CN"/>
              </w:rPr>
              <w:t>根据水平衡分析，本项目医疗废水排放量为</w:t>
            </w:r>
            <w:r>
              <w:rPr>
                <w:rFonts w:hint="eastAsia" w:cs="Times New Roman"/>
                <w:color w:val="000000"/>
                <w:sz w:val="24"/>
                <w:highlight w:val="none"/>
                <w:lang w:val="en-US" w:eastAsia="zh-CN"/>
              </w:rPr>
              <w:t>0.4185</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d</w:t>
            </w:r>
            <w:r>
              <w:rPr>
                <w:rFonts w:hint="eastAsia"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152.7525</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a</w:t>
            </w:r>
            <w:r>
              <w:rPr>
                <w:rFonts w:hint="eastAsia"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其水质最大的特点是细菌、粪大肠菌群含量较高，</w:t>
            </w:r>
            <w:r>
              <w:rPr>
                <w:rFonts w:hint="eastAsia" w:ascii="Times New Roman" w:hAnsi="Times New Roman" w:eastAsia="宋体" w:cs="Times New Roman"/>
                <w:color w:val="000000"/>
                <w:sz w:val="24"/>
                <w:highlight w:val="none"/>
                <w:lang w:val="en-US" w:eastAsia="zh-CN"/>
              </w:rPr>
              <w:t>主要污染因子为pH、COD、SS、BOD</w:t>
            </w:r>
            <w:r>
              <w:rPr>
                <w:rFonts w:hint="eastAsia" w:ascii="Times New Roman" w:hAnsi="Times New Roman" w:eastAsia="宋体" w:cs="Times New Roman"/>
                <w:color w:val="000000"/>
                <w:sz w:val="24"/>
                <w:highlight w:val="none"/>
                <w:vertAlign w:val="subscript"/>
                <w:lang w:val="en-US" w:eastAsia="zh-CN"/>
              </w:rPr>
              <w:t>5</w:t>
            </w:r>
            <w:r>
              <w:rPr>
                <w:rFonts w:hint="eastAsia" w:ascii="Times New Roman" w:hAnsi="Times New Roman" w:eastAsia="宋体" w:cs="Times New Roman"/>
                <w:color w:val="000000"/>
                <w:sz w:val="24"/>
                <w:highlight w:val="none"/>
                <w:lang w:val="en-US" w:eastAsia="zh-CN"/>
              </w:rPr>
              <w:t>、氨氮</w:t>
            </w:r>
            <w:r>
              <w:rPr>
                <w:rFonts w:hint="eastAsia" w:cs="Times New Roman"/>
                <w:color w:val="000000"/>
                <w:sz w:val="24"/>
                <w:highlight w:val="none"/>
                <w:lang w:val="en-US" w:eastAsia="zh-CN"/>
              </w:rPr>
              <w:t>、</w:t>
            </w:r>
            <w:r>
              <w:rPr>
                <w:rFonts w:hint="eastAsia" w:ascii="Times New Roman" w:hAnsi="Times New Roman" w:eastAsia="宋体" w:cs="Times New Roman"/>
                <w:color w:val="000000"/>
                <w:sz w:val="24"/>
                <w:highlight w:val="none"/>
                <w:lang w:val="en-US" w:eastAsia="zh-CN"/>
              </w:rPr>
              <w:t>粪大肠菌群</w:t>
            </w:r>
            <w:r>
              <w:rPr>
                <w:rFonts w:hint="eastAsia" w:cs="Times New Roman"/>
                <w:color w:val="000000"/>
                <w:sz w:val="24"/>
                <w:highlight w:val="none"/>
                <w:lang w:val="en-US" w:eastAsia="zh-CN"/>
              </w:rPr>
              <w:t>和总余氯</w:t>
            </w:r>
            <w:r>
              <w:rPr>
                <w:rFonts w:hint="eastAsia" w:ascii="Times New Roman" w:hAnsi="Times New Roman" w:eastAsia="宋体" w:cs="Times New Roman"/>
                <w:color w:val="000000"/>
                <w:sz w:val="24"/>
                <w:highlight w:val="none"/>
                <w:lang w:val="en-US" w:eastAsia="zh-CN"/>
              </w:rPr>
              <w:t>，</w:t>
            </w:r>
            <w:r>
              <w:rPr>
                <w:rFonts w:hint="eastAsia" w:cs="Times New Roman"/>
                <w:color w:val="000000"/>
                <w:sz w:val="24"/>
                <w:highlight w:val="none"/>
                <w:lang w:val="en-US" w:eastAsia="zh-CN"/>
              </w:rPr>
              <w:t>本项目医疗废水水质浓度参考《医院污水处理工程技术规范》（HJ 2029-2013）中经验数据进行分析，即</w:t>
            </w:r>
            <w:r>
              <w:rPr>
                <w:rFonts w:hint="eastAsia" w:ascii="Times New Roman" w:hAnsi="Times New Roman" w:eastAsia="宋体" w:cs="Times New Roman"/>
                <w:color w:val="auto"/>
                <w:sz w:val="24"/>
                <w:szCs w:val="24"/>
                <w:lang w:eastAsia="zh-CN"/>
              </w:rPr>
              <w:t>主要污染指标浓度为：</w:t>
            </w:r>
            <w:r>
              <w:rPr>
                <w:rFonts w:hint="eastAsia" w:ascii="Times New Roman" w:hAnsi="Times New Roman" w:eastAsia="宋体" w:cs="Times New Roman"/>
                <w:color w:val="000000"/>
                <w:sz w:val="24"/>
                <w:highlight w:val="none"/>
                <w:lang w:val="en-US" w:eastAsia="zh-CN"/>
              </w:rPr>
              <w:t>pH：6~9、</w:t>
            </w:r>
            <w:r>
              <w:rPr>
                <w:rFonts w:hint="eastAsia" w:ascii="Times New Roman" w:hAnsi="Times New Roman" w:eastAsia="宋体" w:cs="Times New Roman"/>
                <w:color w:val="auto"/>
                <w:sz w:val="24"/>
                <w:szCs w:val="24"/>
                <w:lang w:eastAsia="zh-CN"/>
              </w:rPr>
              <w:t>COD：</w:t>
            </w:r>
            <w:r>
              <w:rPr>
                <w:rFonts w:hint="eastAsia" w:cs="Times New Roman"/>
                <w:color w:val="auto"/>
                <w:sz w:val="24"/>
                <w:szCs w:val="24"/>
                <w:lang w:val="en-US" w:eastAsia="zh-CN"/>
              </w:rPr>
              <w:t>250</w:t>
            </w:r>
            <w:r>
              <w:rPr>
                <w:rFonts w:hint="eastAsia" w:ascii="Times New Roman" w:hAnsi="Times New Roman" w:eastAsia="宋体" w:cs="Times New Roman"/>
                <w:color w:val="auto"/>
                <w:sz w:val="24"/>
                <w:szCs w:val="24"/>
                <w:lang w:eastAsia="zh-CN"/>
              </w:rPr>
              <w:t>mg/L、SS：</w:t>
            </w:r>
            <w:r>
              <w:rPr>
                <w:rFonts w:hint="eastAsia" w:cs="Times New Roman"/>
                <w:color w:val="auto"/>
                <w:sz w:val="24"/>
                <w:szCs w:val="24"/>
                <w:lang w:val="en-US" w:eastAsia="zh-CN"/>
              </w:rPr>
              <w:t>80</w:t>
            </w:r>
            <w:r>
              <w:rPr>
                <w:rFonts w:hint="eastAsia" w:ascii="Times New Roman" w:hAnsi="Times New Roman" w:eastAsia="宋体" w:cs="Times New Roman"/>
                <w:color w:val="auto"/>
                <w:sz w:val="24"/>
                <w:szCs w:val="24"/>
                <w:lang w:eastAsia="zh-CN"/>
              </w:rPr>
              <w:t>mg/L</w:t>
            </w:r>
            <w:r>
              <w:rPr>
                <w:rFonts w:hint="eastAsia" w:eastAsia="宋体" w:cs="Times New Roman"/>
                <w:color w:val="auto"/>
                <w:sz w:val="24"/>
                <w:szCs w:val="24"/>
                <w:lang w:eastAsia="zh-CN"/>
              </w:rPr>
              <w:t>、</w:t>
            </w:r>
            <w:r>
              <w:rPr>
                <w:rFonts w:hint="eastAsia" w:ascii="Times New Roman" w:hAnsi="Times New Roman" w:eastAsia="宋体" w:cs="Times New Roman"/>
                <w:color w:val="000000"/>
                <w:sz w:val="24"/>
                <w:highlight w:val="none"/>
                <w:lang w:val="en-US" w:eastAsia="zh-CN"/>
              </w:rPr>
              <w:t>BOD</w:t>
            </w:r>
            <w:r>
              <w:rPr>
                <w:rFonts w:hint="eastAsia" w:ascii="Times New Roman" w:hAnsi="Times New Roman" w:eastAsia="宋体" w:cs="Times New Roman"/>
                <w:color w:val="000000"/>
                <w:sz w:val="24"/>
                <w:highlight w:val="none"/>
                <w:vertAlign w:val="subscript"/>
                <w:lang w:val="en-US" w:eastAsia="zh-CN"/>
              </w:rPr>
              <w:t>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100</w:t>
            </w:r>
            <w:r>
              <w:rPr>
                <w:rFonts w:hint="eastAsia" w:ascii="Times New Roman" w:hAnsi="Times New Roman" w:eastAsia="宋体" w:cs="Times New Roman"/>
                <w:color w:val="auto"/>
                <w:sz w:val="24"/>
                <w:szCs w:val="24"/>
                <w:lang w:eastAsia="zh-CN"/>
              </w:rPr>
              <w:t>mg/L</w:t>
            </w:r>
            <w:r>
              <w:rPr>
                <w:rFonts w:hint="eastAsia" w:ascii="Times New Roman" w:hAnsi="Times New Roman" w:eastAsia="宋体" w:cs="Times New Roman"/>
                <w:color w:val="000000"/>
                <w:sz w:val="24"/>
                <w:highlight w:val="none"/>
                <w:lang w:val="en-US" w:eastAsia="zh-CN"/>
              </w:rPr>
              <w:t>、</w:t>
            </w:r>
            <w:r>
              <w:rPr>
                <w:rFonts w:hint="eastAsia" w:ascii="Times New Roman" w:hAnsi="Times New Roman" w:eastAsia="宋体" w:cs="Times New Roman"/>
                <w:color w:val="auto"/>
                <w:sz w:val="24"/>
                <w:szCs w:val="24"/>
                <w:highlight w:val="none"/>
                <w:lang w:val="en-US" w:eastAsia="zh-CN"/>
              </w:rPr>
              <w:t>氨氮：</w:t>
            </w:r>
            <w:r>
              <w:rPr>
                <w:rFonts w:hint="eastAsia" w:cs="Times New Roman"/>
                <w:color w:val="auto"/>
                <w:sz w:val="24"/>
                <w:szCs w:val="24"/>
                <w:highlight w:val="none"/>
                <w:lang w:val="en-US" w:eastAsia="zh-CN"/>
              </w:rPr>
              <w:t>30</w:t>
            </w:r>
            <w:r>
              <w:rPr>
                <w:rFonts w:hint="eastAsia" w:ascii="Times New Roman" w:hAnsi="Times New Roman" w:eastAsia="宋体" w:cs="Times New Roman"/>
                <w:color w:val="auto"/>
                <w:sz w:val="24"/>
                <w:szCs w:val="24"/>
                <w:highlight w:val="none"/>
                <w:lang w:eastAsia="zh-CN"/>
              </w:rPr>
              <w:t>mg/L</w:t>
            </w:r>
            <w:r>
              <w:rPr>
                <w:rFonts w:hint="eastAsia" w:cs="Times New Roman"/>
                <w:color w:val="auto"/>
                <w:sz w:val="24"/>
                <w:szCs w:val="24"/>
                <w:highlight w:val="none"/>
                <w:lang w:eastAsia="zh-CN"/>
              </w:rPr>
              <w:t>、</w:t>
            </w:r>
            <w:r>
              <w:rPr>
                <w:rFonts w:hint="eastAsia" w:ascii="Times New Roman" w:hAnsi="Times New Roman" w:eastAsia="宋体" w:cs="Times New Roman"/>
                <w:color w:val="000000"/>
                <w:sz w:val="24"/>
                <w:highlight w:val="none"/>
                <w:lang w:val="en-US" w:eastAsia="zh-CN"/>
              </w:rPr>
              <w:t>粪大肠菌群：1.6×10</w:t>
            </w:r>
            <w:r>
              <w:rPr>
                <w:rFonts w:hint="eastAsia" w:ascii="Times New Roman" w:hAnsi="Times New Roman" w:eastAsia="宋体" w:cs="Times New Roman"/>
                <w:color w:val="000000"/>
                <w:sz w:val="24"/>
                <w:highlight w:val="none"/>
                <w:vertAlign w:val="superscript"/>
                <w:lang w:val="en-US" w:eastAsia="zh-CN"/>
              </w:rPr>
              <w:t>8</w:t>
            </w:r>
            <w:r>
              <w:rPr>
                <w:rFonts w:hint="eastAsia" w:ascii="Times New Roman" w:hAnsi="Times New Roman" w:eastAsia="宋体" w:cs="Times New Roman"/>
                <w:color w:val="000000"/>
                <w:sz w:val="24"/>
                <w:highlight w:val="none"/>
                <w:lang w:val="en-US" w:eastAsia="zh-CN"/>
              </w:rPr>
              <w:t>个/L。</w:t>
            </w:r>
            <w:r>
              <w:rPr>
                <w:rFonts w:hint="eastAsia"/>
                <w:color w:val="auto"/>
                <w:sz w:val="24"/>
                <w:szCs w:val="24"/>
                <w:highlight w:val="none"/>
                <w:lang w:val="en-US" w:eastAsia="zh-CN"/>
              </w:rPr>
              <w:t>本项目医疗废水经消毒设施处理后进入生化池，总余氯污染因子在消毒处理后产生，为保证废水消毒效果，对消毒设备废水污染物粪大肠菌群、总余氯排放限值进行控制，参照《医疗机构水污染物排放标准》（GB 18466-2005），要求总余氯浓度限值2~8mg/L，粪大肠菌群限值5000MPN/L。</w:t>
            </w:r>
          </w:p>
          <w:p w14:paraId="52D6C5D5">
            <w:pPr>
              <w:pStyle w:val="51"/>
              <w:spacing w:line="360" w:lineRule="auto"/>
              <w:ind w:firstLine="480"/>
              <w:rPr>
                <w:rFonts w:hint="default"/>
                <w:color w:val="auto"/>
                <w:sz w:val="24"/>
                <w:szCs w:val="24"/>
                <w:highlight w:val="none"/>
                <w:lang w:val="en-US" w:eastAsia="zh-CN"/>
              </w:rPr>
            </w:pPr>
            <w:r>
              <w:rPr>
                <w:rFonts w:hint="eastAsia"/>
                <w:color w:val="auto"/>
                <w:sz w:val="24"/>
                <w:szCs w:val="24"/>
                <w:highlight w:val="none"/>
                <w:lang w:val="en-US" w:eastAsia="zh-CN"/>
              </w:rPr>
              <w:t>（2）其他废水</w:t>
            </w:r>
          </w:p>
          <w:p w14:paraId="0F981C06">
            <w:pPr>
              <w:pStyle w:val="51"/>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本项目其他废水主要为</w:t>
            </w:r>
            <w:r>
              <w:rPr>
                <w:rFonts w:hint="eastAsia" w:ascii="Times New Roman" w:hAnsi="Times New Roman" w:eastAsia="宋体" w:cs="Times New Roman"/>
                <w:color w:val="auto"/>
                <w:kern w:val="2"/>
                <w:sz w:val="24"/>
                <w:szCs w:val="24"/>
                <w:highlight w:val="none"/>
                <w:lang w:val="en-US" w:eastAsia="zh-CN" w:bidi="ar-SA"/>
              </w:rPr>
              <w:t>地面清洁废水</w:t>
            </w:r>
            <w:r>
              <w:rPr>
                <w:rFonts w:hint="eastAsia" w:cs="Times New Roman"/>
                <w:color w:val="auto"/>
                <w:kern w:val="2"/>
                <w:sz w:val="24"/>
                <w:szCs w:val="24"/>
                <w:highlight w:val="none"/>
                <w:lang w:val="en-US" w:eastAsia="zh-CN" w:bidi="ar-SA"/>
              </w:rPr>
              <w:t>和工服清洗污水</w:t>
            </w:r>
            <w:r>
              <w:rPr>
                <w:rFonts w:hint="eastAsia" w:ascii="Times New Roman" w:hAnsi="Times New Roman" w:eastAsia="宋体" w:cs="Times New Roman"/>
                <w:color w:val="auto"/>
                <w:kern w:val="2"/>
                <w:sz w:val="24"/>
                <w:szCs w:val="24"/>
                <w:highlight w:val="none"/>
                <w:lang w:val="en-US" w:eastAsia="zh-CN" w:bidi="ar-SA"/>
              </w:rPr>
              <w:t>。</w:t>
            </w:r>
          </w:p>
          <w:p w14:paraId="36E5FA70">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地面清洁污水</w:t>
            </w:r>
          </w:p>
          <w:p w14:paraId="3ED2410A">
            <w:pPr>
              <w:pStyle w:val="51"/>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根据水平衡分析，本项目地面清洁废水排放量为</w:t>
            </w:r>
            <w:r>
              <w:rPr>
                <w:rFonts w:hint="eastAsia" w:cs="Times New Roman"/>
                <w:color w:val="000000"/>
                <w:sz w:val="24"/>
                <w:highlight w:val="none"/>
                <w:lang w:val="en-US" w:eastAsia="zh-CN"/>
              </w:rPr>
              <w:t>0.216</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dmax</w:t>
            </w:r>
            <w:r>
              <w:rPr>
                <w:rFonts w:hint="eastAsia"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78.84</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a</w:t>
            </w:r>
            <w:r>
              <w:rPr>
                <w:rFonts w:hint="eastAsia" w:ascii="Times New Roman" w:hAnsi="Times New Roman" w:eastAsia="宋体" w:cs="Times New Roman"/>
                <w:color w:val="000000"/>
                <w:sz w:val="24"/>
                <w:highlight w:val="none"/>
                <w:lang w:eastAsia="zh-CN"/>
              </w:rPr>
              <w:t>），</w:t>
            </w:r>
            <w:r>
              <w:rPr>
                <w:rFonts w:ascii="Times New Roman" w:hAnsi="Times New Roman" w:eastAsia="宋体" w:cs="Times New Roman"/>
                <w:color w:val="auto"/>
                <w:kern w:val="2"/>
                <w:sz w:val="24"/>
                <w:szCs w:val="24"/>
                <w:highlight w:val="none"/>
                <w:lang w:val="en-US" w:eastAsia="zh-CN" w:bidi="ar-SA"/>
              </w:rPr>
              <w:t>主要污染物为</w:t>
            </w:r>
            <w:r>
              <w:rPr>
                <w:rFonts w:hint="eastAsia" w:ascii="Times New Roman" w:hAnsi="Times New Roman" w:eastAsia="宋体" w:cs="Times New Roman"/>
                <w:color w:val="000000"/>
                <w:sz w:val="24"/>
                <w:highlight w:val="none"/>
                <w:lang w:val="en-US" w:eastAsia="zh-CN"/>
              </w:rPr>
              <w:t>pH、</w:t>
            </w:r>
            <w:r>
              <w:rPr>
                <w:rFonts w:ascii="Times New Roman" w:hAnsi="Times New Roman" w:eastAsia="宋体" w:cs="Times New Roman"/>
                <w:color w:val="auto"/>
                <w:sz w:val="24"/>
                <w:szCs w:val="24"/>
                <w:highlight w:val="none"/>
              </w:rPr>
              <w:t>COD</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cs="Times New Roman"/>
                <w:color w:val="auto"/>
                <w:sz w:val="24"/>
                <w:szCs w:val="24"/>
                <w:highlight w:val="none"/>
              </w:rPr>
              <w:t>SS</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eastAsia="zh-CN"/>
              </w:rPr>
              <w:t>，主要污染指标浓度为：</w:t>
            </w:r>
            <w:r>
              <w:rPr>
                <w:rFonts w:hint="eastAsia" w:ascii="Times New Roman" w:hAnsi="Times New Roman" w:eastAsia="宋体" w:cs="Times New Roman"/>
                <w:color w:val="000000"/>
                <w:sz w:val="24"/>
                <w:highlight w:val="none"/>
                <w:lang w:val="en-US" w:eastAsia="zh-CN"/>
              </w:rPr>
              <w:t>pH：6~9、</w:t>
            </w:r>
            <w:r>
              <w:rPr>
                <w:rFonts w:hint="eastAsia" w:ascii="Times New Roman" w:hAnsi="Times New Roman" w:eastAsia="宋体" w:cs="Times New Roman"/>
                <w:color w:val="auto"/>
                <w:sz w:val="24"/>
                <w:szCs w:val="24"/>
                <w:highlight w:val="none"/>
                <w:lang w:eastAsia="zh-CN"/>
              </w:rPr>
              <w:t>COD：</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eastAsia="zh-CN"/>
              </w:rPr>
              <w:t>mg/L、SS：</w:t>
            </w:r>
            <w:r>
              <w:rPr>
                <w:rFonts w:hint="eastAsia" w:cs="Times New Roman"/>
                <w:color w:val="auto"/>
                <w:sz w:val="24"/>
                <w:szCs w:val="24"/>
                <w:highlight w:val="none"/>
                <w:lang w:val="en-US" w:eastAsia="zh-CN"/>
              </w:rPr>
              <w:t>350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：400</w:t>
            </w:r>
            <w:r>
              <w:rPr>
                <w:rFonts w:hint="eastAsia" w:ascii="Times New Roman" w:hAnsi="Times New Roman" w:eastAsia="宋体" w:cs="Times New Roman"/>
                <w:color w:val="auto"/>
                <w:sz w:val="24"/>
                <w:szCs w:val="24"/>
                <w:highlight w:val="none"/>
                <w:lang w:eastAsia="zh-CN"/>
              </w:rPr>
              <w:t>mg/L。</w:t>
            </w:r>
          </w:p>
          <w:p w14:paraId="4A1B89C1">
            <w:pPr>
              <w:widowControl w:val="0"/>
              <w:spacing w:line="360" w:lineRule="auto"/>
              <w:ind w:firstLine="480" w:firstLineChars="200"/>
              <w:jc w:val="both"/>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②工服清洗污水</w:t>
            </w:r>
          </w:p>
          <w:p w14:paraId="54C8F799">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lang w:val="en-US" w:eastAsia="zh-CN"/>
              </w:rPr>
              <w:t>根据水平衡分析，本项目</w:t>
            </w:r>
            <w:r>
              <w:rPr>
                <w:rFonts w:hint="eastAsia" w:cs="Times New Roman"/>
                <w:color w:val="auto"/>
                <w:kern w:val="2"/>
                <w:sz w:val="24"/>
                <w:szCs w:val="24"/>
                <w:highlight w:val="none"/>
                <w:lang w:val="en-US" w:eastAsia="zh-CN" w:bidi="ar-SA"/>
              </w:rPr>
              <w:t>工服清洗污水</w:t>
            </w:r>
            <w:r>
              <w:rPr>
                <w:rFonts w:hint="eastAsia"/>
                <w:color w:val="auto"/>
                <w:sz w:val="24"/>
                <w:szCs w:val="24"/>
                <w:highlight w:val="none"/>
                <w:lang w:val="en-US" w:eastAsia="zh-CN"/>
              </w:rPr>
              <w:t>排放量为</w:t>
            </w:r>
            <w:r>
              <w:rPr>
                <w:rFonts w:hint="eastAsia" w:cs="Times New Roman"/>
                <w:color w:val="000000"/>
                <w:sz w:val="24"/>
                <w:highlight w:val="none"/>
                <w:lang w:val="en-US" w:eastAsia="zh-CN"/>
              </w:rPr>
              <w:t>0.27</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d</w:t>
            </w:r>
            <w:r>
              <w:rPr>
                <w:rFonts w:hint="eastAsia" w:ascii="Times New Roman" w:hAnsi="Times New Roman" w:eastAsia="宋体" w:cs="Times New Roman"/>
                <w:color w:val="000000"/>
                <w:sz w:val="24"/>
                <w:highlight w:val="none"/>
                <w:lang w:eastAsia="zh-CN"/>
              </w:rPr>
              <w:t>（</w:t>
            </w:r>
            <w:r>
              <w:rPr>
                <w:rFonts w:hint="eastAsia" w:cs="Times New Roman"/>
                <w:color w:val="000000"/>
                <w:sz w:val="24"/>
                <w:highlight w:val="none"/>
                <w:lang w:val="en-US" w:eastAsia="zh-CN"/>
              </w:rPr>
              <w:t>98.55</w:t>
            </w:r>
            <w:r>
              <w:rPr>
                <w:rFonts w:hint="default" w:ascii="Times New Roman" w:hAnsi="Times New Roman" w:eastAsia="宋体" w:cs="Times New Roman"/>
                <w:color w:val="000000"/>
                <w:sz w:val="24"/>
                <w:highlight w:val="none"/>
              </w:rPr>
              <w:t>m</w:t>
            </w:r>
            <w:r>
              <w:rPr>
                <w:rFonts w:hint="default" w:ascii="Times New Roman" w:hAnsi="Times New Roman" w:eastAsia="宋体" w:cs="Times New Roman"/>
                <w:color w:val="000000"/>
                <w:sz w:val="24"/>
                <w:highlight w:val="none"/>
                <w:vertAlign w:val="superscript"/>
              </w:rPr>
              <w:t>3</w:t>
            </w:r>
            <w:r>
              <w:rPr>
                <w:rFonts w:hint="default" w:ascii="Times New Roman" w:hAnsi="Times New Roman" w:eastAsia="宋体" w:cs="Times New Roman"/>
                <w:color w:val="000000"/>
                <w:sz w:val="24"/>
                <w:highlight w:val="none"/>
              </w:rPr>
              <w:t>/</w:t>
            </w:r>
            <w:r>
              <w:rPr>
                <w:rFonts w:hint="eastAsia" w:ascii="Times New Roman" w:hAnsi="Times New Roman" w:eastAsia="宋体" w:cs="Times New Roman"/>
                <w:color w:val="000000"/>
                <w:sz w:val="24"/>
                <w:highlight w:val="none"/>
                <w:lang w:val="en-US" w:eastAsia="zh-CN"/>
              </w:rPr>
              <w:t>a</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主要污染因子为pH、COD、SS、LAS、总磷，</w:t>
            </w:r>
            <w:r>
              <w:rPr>
                <w:rFonts w:hint="eastAsia" w:ascii="Times New Roman" w:hAnsi="Times New Roman" w:eastAsia="宋体" w:cs="Times New Roman"/>
                <w:color w:val="auto"/>
                <w:sz w:val="24"/>
                <w:szCs w:val="24"/>
                <w:highlight w:val="none"/>
                <w:lang w:eastAsia="zh-CN"/>
              </w:rPr>
              <w:t>主要污染指标浓度为：</w:t>
            </w:r>
            <w:r>
              <w:rPr>
                <w:rFonts w:hint="eastAsia" w:ascii="Times New Roman" w:hAnsi="Times New Roman" w:eastAsia="宋体" w:cs="Times New Roman"/>
                <w:color w:val="000000"/>
                <w:sz w:val="24"/>
                <w:highlight w:val="none"/>
                <w:lang w:val="en-US" w:eastAsia="zh-CN"/>
              </w:rPr>
              <w:t>pH：6~9、</w:t>
            </w:r>
            <w:r>
              <w:rPr>
                <w:rFonts w:hint="eastAsia" w:ascii="Times New Roman" w:hAnsi="Times New Roman" w:eastAsia="宋体" w:cs="Times New Roman"/>
                <w:color w:val="auto"/>
                <w:sz w:val="24"/>
                <w:szCs w:val="24"/>
                <w:highlight w:val="none"/>
                <w:lang w:eastAsia="zh-CN"/>
              </w:rPr>
              <w:t>COD：</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eastAsia="zh-CN"/>
              </w:rPr>
              <w:t>mg/L、SS：</w:t>
            </w:r>
            <w:r>
              <w:rPr>
                <w:rFonts w:hint="eastAsia" w:cs="Times New Roman"/>
                <w:color w:val="auto"/>
                <w:sz w:val="24"/>
                <w:szCs w:val="24"/>
                <w:highlight w:val="none"/>
                <w:lang w:val="en-US" w:eastAsia="zh-CN"/>
              </w:rPr>
              <w:t>350</w:t>
            </w:r>
            <w:r>
              <w:rPr>
                <w:rFonts w:hint="eastAsia" w:ascii="Times New Roman" w:hAnsi="Times New Roman" w:eastAsia="宋体" w:cs="Times New Roman"/>
                <w:color w:val="auto"/>
                <w:sz w:val="24"/>
                <w:szCs w:val="24"/>
                <w:highlight w:val="none"/>
                <w:lang w:eastAsia="zh-CN"/>
              </w:rPr>
              <w:t>mg/L</w:t>
            </w:r>
            <w:r>
              <w:rPr>
                <w:rFonts w:hint="eastAsia" w:cs="Times New Roman"/>
                <w:color w:val="auto"/>
                <w:sz w:val="24"/>
                <w:szCs w:val="24"/>
                <w:highlight w:val="none"/>
                <w:lang w:eastAsia="zh-CN"/>
              </w:rPr>
              <w:t>、</w:t>
            </w:r>
            <w:r>
              <w:rPr>
                <w:rFonts w:hint="eastAsia" w:ascii="Times New Roman" w:hAnsi="Times New Roman" w:eastAsia="宋体" w:cs="Times New Roman"/>
                <w:color w:val="000000"/>
                <w:sz w:val="24"/>
                <w:highlight w:val="none"/>
                <w:lang w:val="en-US" w:eastAsia="zh-CN"/>
              </w:rPr>
              <w:t>LAS：30</w:t>
            </w:r>
            <w:r>
              <w:rPr>
                <w:rFonts w:hint="eastAsia" w:ascii="Times New Roman" w:hAnsi="Times New Roman" w:eastAsia="宋体" w:cs="Times New Roman"/>
                <w:color w:val="auto"/>
                <w:sz w:val="24"/>
                <w:szCs w:val="24"/>
                <w:highlight w:val="none"/>
                <w:lang w:eastAsia="zh-CN"/>
              </w:rPr>
              <w:t>mg/L、</w:t>
            </w:r>
            <w:r>
              <w:rPr>
                <w:rFonts w:hint="eastAsia" w:ascii="Times New Roman" w:hAnsi="Times New Roman" w:eastAsia="宋体" w:cs="Times New Roman"/>
                <w:color w:val="000000"/>
                <w:sz w:val="24"/>
                <w:highlight w:val="none"/>
                <w:lang w:val="en-US" w:eastAsia="zh-CN"/>
              </w:rPr>
              <w:t>总磷：10</w:t>
            </w:r>
            <w:r>
              <w:rPr>
                <w:rFonts w:hint="eastAsia" w:ascii="Times New Roman" w:hAnsi="Times New Roman" w:eastAsia="宋体" w:cs="Times New Roman"/>
                <w:color w:val="auto"/>
                <w:sz w:val="24"/>
                <w:szCs w:val="24"/>
                <w:highlight w:val="none"/>
                <w:lang w:eastAsia="zh-CN"/>
              </w:rPr>
              <w:t>mg/L。</w:t>
            </w:r>
          </w:p>
          <w:p w14:paraId="1D88299A">
            <w:pPr>
              <w:widowControl w:val="0"/>
              <w:spacing w:line="360" w:lineRule="auto"/>
              <w:ind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）生活污水</w:t>
            </w:r>
          </w:p>
          <w:p w14:paraId="307C544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本项目生活污水主要为</w:t>
            </w:r>
            <w:r>
              <w:rPr>
                <w:rFonts w:hint="eastAsia" w:ascii="Times New Roman" w:hAnsi="Times New Roman" w:eastAsia="宋体" w:cs="Times New Roman"/>
                <w:color w:val="auto"/>
                <w:kern w:val="2"/>
                <w:sz w:val="24"/>
                <w:szCs w:val="24"/>
                <w:highlight w:val="none"/>
                <w:lang w:val="en-US" w:eastAsia="zh-CN" w:bidi="ar-SA"/>
              </w:rPr>
              <w:t>员工生活污水和流动顾客污水</w:t>
            </w:r>
            <w:r>
              <w:rPr>
                <w:rFonts w:hint="eastAsia" w:cs="Times New Roman"/>
                <w:color w:val="auto"/>
                <w:kern w:val="2"/>
                <w:sz w:val="24"/>
                <w:szCs w:val="24"/>
                <w:highlight w:val="none"/>
                <w:lang w:val="en-US" w:eastAsia="zh-CN" w:bidi="ar-SA"/>
              </w:rPr>
              <w:t>。</w:t>
            </w:r>
          </w:p>
          <w:p w14:paraId="3F377F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①员工生活污水</w:t>
            </w:r>
          </w:p>
          <w:p w14:paraId="58031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lang w:val="en-US" w:eastAsia="zh-CN"/>
              </w:rPr>
              <w:t>根据水平衡分析，本项目员工生活污水排放量为</w:t>
            </w:r>
            <w:r>
              <w:rPr>
                <w:rFonts w:hint="eastAsia" w:cs="Times New Roman"/>
                <w:color w:val="000000"/>
                <w:sz w:val="24"/>
                <w:szCs w:val="24"/>
                <w:highlight w:val="none"/>
                <w:lang w:val="en-US" w:eastAsia="zh-CN"/>
              </w:rPr>
              <w:t>0.27</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d</w:t>
            </w:r>
            <w:r>
              <w:rPr>
                <w:rFonts w:hint="eastAsia" w:ascii="Times New Roman" w:hAnsi="Times New Roman" w:eastAsia="宋体" w:cs="Times New Roman"/>
                <w:color w:val="000000"/>
                <w:sz w:val="24"/>
                <w:szCs w:val="24"/>
                <w:highlight w:val="none"/>
                <w:lang w:eastAsia="zh-CN"/>
              </w:rPr>
              <w:t>（</w:t>
            </w:r>
            <w:r>
              <w:rPr>
                <w:rFonts w:hint="eastAsia" w:cs="Times New Roman"/>
                <w:color w:val="000000"/>
                <w:sz w:val="24"/>
                <w:szCs w:val="24"/>
                <w:highlight w:val="none"/>
                <w:lang w:val="en-US" w:eastAsia="zh-CN"/>
              </w:rPr>
              <w:t>98.55</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a</w:t>
            </w:r>
            <w:r>
              <w:rPr>
                <w:rFonts w:hint="eastAsia" w:ascii="Times New Roman" w:hAnsi="Times New Roman" w:eastAsia="宋体" w:cs="Times New Roman"/>
                <w:color w:val="000000"/>
                <w:sz w:val="24"/>
                <w:szCs w:val="24"/>
                <w:highlight w:val="none"/>
                <w:lang w:eastAsia="zh-CN"/>
              </w:rPr>
              <w:t>），</w:t>
            </w:r>
            <w:r>
              <w:rPr>
                <w:rFonts w:ascii="Times New Roman" w:hAnsi="Times New Roman" w:eastAsia="宋体" w:cs="Times New Roman"/>
                <w:color w:val="auto"/>
                <w:kern w:val="2"/>
                <w:sz w:val="24"/>
                <w:szCs w:val="24"/>
                <w:highlight w:val="none"/>
                <w:lang w:val="en-US" w:eastAsia="zh-CN" w:bidi="ar-SA"/>
              </w:rPr>
              <w:t>主要污染物为</w:t>
            </w:r>
            <w:r>
              <w:rPr>
                <w:rFonts w:hint="eastAsia" w:ascii="Times New Roman" w:hAnsi="Times New Roman" w:eastAsia="宋体" w:cs="Times New Roman"/>
                <w:color w:val="000000"/>
                <w:sz w:val="24"/>
                <w:szCs w:val="24"/>
                <w:highlight w:val="none"/>
                <w:lang w:val="en-US" w:eastAsia="zh-CN"/>
              </w:rPr>
              <w:t>pH、</w:t>
            </w:r>
            <w:r>
              <w:rPr>
                <w:rFonts w:ascii="Times New Roman" w:hAnsi="Times New Roman" w:eastAsia="宋体" w:cs="Times New Roman"/>
                <w:color w:val="auto"/>
                <w:kern w:val="2"/>
                <w:sz w:val="24"/>
                <w:szCs w:val="24"/>
                <w:highlight w:val="none"/>
                <w:lang w:val="en-US" w:eastAsia="zh-CN" w:bidi="ar-SA"/>
              </w:rPr>
              <w:t>COD、SS</w:t>
            </w:r>
            <w:r>
              <w:rPr>
                <w:rFonts w:ascii="Times New Roman" w:hAnsi="Times New Roman" w:eastAsia="宋体" w:cs="Times New Roman"/>
                <w:bCs/>
                <w:color w:val="auto"/>
                <w:kern w:val="2"/>
                <w:sz w:val="24"/>
                <w:szCs w:val="24"/>
                <w:highlight w:val="none"/>
                <w:lang w:val="en-US" w:eastAsia="zh-CN" w:bidi="en-US"/>
              </w:rPr>
              <w:t>、</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氨氮</w:t>
            </w:r>
            <w:r>
              <w:rPr>
                <w:rFonts w:hint="eastAsia" w:cs="Times New Roman"/>
                <w:color w:val="auto"/>
                <w:kern w:val="2"/>
                <w:sz w:val="24"/>
                <w:szCs w:val="24"/>
                <w:highlight w:val="none"/>
                <w:lang w:val="en-US" w:eastAsia="zh-CN" w:bidi="ar-SA"/>
              </w:rPr>
              <w:t>、总磷</w:t>
            </w:r>
            <w:r>
              <w:rPr>
                <w:rFonts w:hint="eastAsia" w:ascii="Times New Roman" w:hAnsi="Times New Roman" w:eastAsia="宋体" w:cs="Times New Roman"/>
                <w:color w:val="auto"/>
                <w:kern w:val="2"/>
                <w:sz w:val="24"/>
                <w:szCs w:val="24"/>
                <w:highlight w:val="none"/>
                <w:lang w:val="en-US" w:eastAsia="zh-CN" w:bidi="ar-SA"/>
              </w:rPr>
              <w:t>，主要污染指标浓度为：pH：6~9、COD：550mg/L、SS：400mg/L、</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：350mg/L、氨氮</w:t>
            </w:r>
            <w:r>
              <w:rPr>
                <w:rFonts w:hint="eastAsia" w:ascii="Times New Roman" w:hAnsi="Times New Roman" w:eastAsia="宋体" w:cs="Times New Roman"/>
                <w:bCs/>
                <w:color w:val="auto"/>
                <w:kern w:val="2"/>
                <w:sz w:val="24"/>
                <w:szCs w:val="24"/>
                <w:highlight w:val="none"/>
                <w:lang w:val="en-US" w:eastAsia="zh-CN" w:bidi="en-US"/>
              </w:rPr>
              <w:t>：4</w:t>
            </w:r>
            <w:r>
              <w:rPr>
                <w:rFonts w:hint="eastAsia" w:cs="Times New Roman"/>
                <w:bCs/>
                <w:color w:val="auto"/>
                <w:kern w:val="2"/>
                <w:sz w:val="24"/>
                <w:szCs w:val="24"/>
                <w:highlight w:val="none"/>
                <w:lang w:val="en-US" w:eastAsia="zh-CN" w:bidi="en-US"/>
              </w:rPr>
              <w:t>5</w:t>
            </w:r>
            <w:r>
              <w:rPr>
                <w:rFonts w:hint="eastAsia" w:ascii="Times New Roman" w:hAnsi="Times New Roman" w:eastAsia="宋体" w:cs="Times New Roman"/>
                <w:color w:val="auto"/>
                <w:kern w:val="2"/>
                <w:sz w:val="24"/>
                <w:szCs w:val="24"/>
                <w:highlight w:val="none"/>
                <w:lang w:val="en-US" w:eastAsia="zh-CN" w:bidi="ar-SA"/>
              </w:rPr>
              <w:t>mg/L</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rPr>
              <w:t>总磷：10</w:t>
            </w:r>
            <w:r>
              <w:rPr>
                <w:rFonts w:hint="eastAsia" w:ascii="Times New Roman" w:hAnsi="Times New Roman" w:eastAsia="宋体" w:cs="Times New Roman"/>
                <w:color w:val="auto"/>
                <w:sz w:val="24"/>
                <w:szCs w:val="24"/>
                <w:highlight w:val="none"/>
                <w:lang w:eastAsia="zh-CN"/>
              </w:rPr>
              <w:t>mg/L。</w:t>
            </w:r>
          </w:p>
          <w:p w14:paraId="5AD8FF39">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ascii="Times New Roman" w:hAnsi="Times New Roman" w:eastAsia="宋体" w:cs="Times New Roman"/>
                <w:color w:val="auto"/>
                <w:sz w:val="24"/>
                <w:szCs w:val="24"/>
                <w:highlight w:val="none"/>
                <w:lang w:val="en-US" w:eastAsia="zh-CN"/>
              </w:rPr>
              <w:t>②</w:t>
            </w:r>
            <w:r>
              <w:rPr>
                <w:rFonts w:hint="eastAsia" w:ascii="Times New Roman" w:hAnsi="Times New Roman" w:eastAsia="宋体" w:cs="Times New Roman"/>
                <w:color w:val="auto"/>
                <w:kern w:val="2"/>
                <w:sz w:val="24"/>
                <w:szCs w:val="24"/>
                <w:highlight w:val="none"/>
                <w:lang w:val="en-US" w:eastAsia="zh-CN" w:bidi="ar-SA"/>
              </w:rPr>
              <w:t>流动顾客污水</w:t>
            </w:r>
          </w:p>
          <w:p w14:paraId="031CBD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rPr>
            </w:pPr>
            <w:r>
              <w:rPr>
                <w:rFonts w:hint="eastAsia"/>
                <w:color w:val="auto"/>
                <w:sz w:val="24"/>
                <w:szCs w:val="24"/>
                <w:highlight w:val="none"/>
                <w:lang w:val="en-US" w:eastAsia="zh-CN"/>
              </w:rPr>
              <w:t>本项目</w:t>
            </w:r>
            <w:r>
              <w:rPr>
                <w:rFonts w:hint="eastAsia" w:ascii="Times New Roman" w:hAnsi="Times New Roman" w:eastAsia="宋体" w:cs="Times New Roman"/>
                <w:color w:val="auto"/>
                <w:kern w:val="2"/>
                <w:sz w:val="24"/>
                <w:szCs w:val="24"/>
                <w:highlight w:val="none"/>
                <w:lang w:val="en-US" w:eastAsia="zh-CN" w:bidi="ar-SA"/>
              </w:rPr>
              <w:t>流动顾客污水</w:t>
            </w:r>
            <w:r>
              <w:rPr>
                <w:rFonts w:hint="eastAsia"/>
                <w:color w:val="auto"/>
                <w:sz w:val="24"/>
                <w:szCs w:val="24"/>
                <w:highlight w:val="none"/>
                <w:lang w:val="en-US" w:eastAsia="zh-CN"/>
              </w:rPr>
              <w:t>排放量为</w:t>
            </w:r>
            <w:r>
              <w:rPr>
                <w:rFonts w:hint="eastAsia" w:cs="Times New Roman"/>
                <w:color w:val="000000"/>
                <w:sz w:val="24"/>
                <w:szCs w:val="24"/>
                <w:highlight w:val="none"/>
                <w:lang w:val="en-US" w:eastAsia="zh-CN"/>
              </w:rPr>
              <w:t>0.126</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d</w:t>
            </w:r>
            <w:r>
              <w:rPr>
                <w:rFonts w:hint="eastAsia" w:ascii="Times New Roman" w:hAnsi="Times New Roman" w:eastAsia="宋体" w:cs="Times New Roman"/>
                <w:color w:val="000000"/>
                <w:sz w:val="24"/>
                <w:szCs w:val="24"/>
                <w:highlight w:val="none"/>
                <w:lang w:eastAsia="zh-CN"/>
              </w:rPr>
              <w:t>（</w:t>
            </w:r>
            <w:r>
              <w:rPr>
                <w:rFonts w:hint="eastAsia" w:cs="Times New Roman"/>
                <w:color w:val="000000"/>
                <w:sz w:val="24"/>
                <w:szCs w:val="24"/>
                <w:highlight w:val="none"/>
                <w:lang w:val="en-US" w:eastAsia="zh-CN"/>
              </w:rPr>
              <w:t>45.99</w:t>
            </w:r>
            <w:r>
              <w:rPr>
                <w:rFonts w:hint="default" w:ascii="Times New Roman" w:hAnsi="Times New Roman" w:eastAsia="宋体" w:cs="Times New Roman"/>
                <w:color w:val="000000"/>
                <w:sz w:val="24"/>
                <w:szCs w:val="24"/>
                <w:highlight w:val="none"/>
              </w:rPr>
              <w:t>m</w:t>
            </w:r>
            <w:r>
              <w:rPr>
                <w:rFonts w:hint="default" w:ascii="Times New Roman" w:hAnsi="Times New Roman" w:eastAsia="宋体" w:cs="Times New Roman"/>
                <w:color w:val="000000"/>
                <w:sz w:val="24"/>
                <w:szCs w:val="24"/>
                <w:highlight w:val="none"/>
                <w:vertAlign w:val="superscript"/>
              </w:rPr>
              <w:t>3</w:t>
            </w:r>
            <w:r>
              <w:rPr>
                <w:rFonts w:hint="default"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val="en-US" w:eastAsia="zh-CN"/>
              </w:rPr>
              <w:t>a</w:t>
            </w:r>
            <w:r>
              <w:rPr>
                <w:rFonts w:hint="eastAsia" w:ascii="Times New Roman" w:hAnsi="Times New Roman" w:eastAsia="宋体" w:cs="Times New Roman"/>
                <w:color w:val="000000"/>
                <w:sz w:val="24"/>
                <w:szCs w:val="24"/>
                <w:highlight w:val="none"/>
                <w:lang w:eastAsia="zh-CN"/>
              </w:rPr>
              <w:t>），</w:t>
            </w:r>
            <w:r>
              <w:rPr>
                <w:rFonts w:ascii="Times New Roman" w:hAnsi="Times New Roman" w:eastAsia="宋体" w:cs="Times New Roman"/>
                <w:color w:val="auto"/>
                <w:kern w:val="2"/>
                <w:sz w:val="24"/>
                <w:szCs w:val="24"/>
                <w:highlight w:val="none"/>
                <w:lang w:val="en-US" w:eastAsia="zh-CN" w:bidi="ar-SA"/>
              </w:rPr>
              <w:t>主要污染物为</w:t>
            </w:r>
            <w:r>
              <w:rPr>
                <w:rFonts w:hint="eastAsia" w:ascii="Times New Roman" w:hAnsi="Times New Roman" w:eastAsia="宋体" w:cs="Times New Roman"/>
                <w:color w:val="000000"/>
                <w:sz w:val="24"/>
                <w:szCs w:val="24"/>
                <w:highlight w:val="none"/>
                <w:lang w:val="en-US" w:eastAsia="zh-CN"/>
              </w:rPr>
              <w:t>pH、</w:t>
            </w:r>
            <w:r>
              <w:rPr>
                <w:rFonts w:ascii="Times New Roman" w:hAnsi="Times New Roman" w:eastAsia="宋体" w:cs="Times New Roman"/>
                <w:color w:val="auto"/>
                <w:kern w:val="2"/>
                <w:sz w:val="24"/>
                <w:szCs w:val="24"/>
                <w:highlight w:val="none"/>
                <w:lang w:val="en-US" w:eastAsia="zh-CN" w:bidi="ar-SA"/>
              </w:rPr>
              <w:t>COD、SS</w:t>
            </w:r>
            <w:r>
              <w:rPr>
                <w:rFonts w:ascii="Times New Roman" w:hAnsi="Times New Roman" w:eastAsia="宋体" w:cs="Times New Roman"/>
                <w:bCs/>
                <w:color w:val="auto"/>
                <w:kern w:val="2"/>
                <w:sz w:val="24"/>
                <w:szCs w:val="24"/>
                <w:highlight w:val="none"/>
                <w:lang w:val="en-US" w:eastAsia="zh-CN" w:bidi="en-US"/>
              </w:rPr>
              <w:t>、</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氨氮</w:t>
            </w:r>
            <w:r>
              <w:rPr>
                <w:rFonts w:hint="eastAsia" w:cs="Times New Roman"/>
                <w:color w:val="auto"/>
                <w:kern w:val="2"/>
                <w:sz w:val="24"/>
                <w:szCs w:val="24"/>
                <w:highlight w:val="none"/>
                <w:lang w:val="en-US" w:eastAsia="zh-CN" w:bidi="ar-SA"/>
              </w:rPr>
              <w:t>、总磷</w:t>
            </w:r>
            <w:r>
              <w:rPr>
                <w:rFonts w:hint="eastAsia" w:ascii="Times New Roman" w:hAnsi="Times New Roman" w:eastAsia="宋体" w:cs="Times New Roman"/>
                <w:color w:val="auto"/>
                <w:kern w:val="2"/>
                <w:sz w:val="24"/>
                <w:szCs w:val="24"/>
                <w:highlight w:val="none"/>
                <w:lang w:val="en-US" w:eastAsia="zh-CN" w:bidi="ar-SA"/>
              </w:rPr>
              <w:t>，主要污染指标浓度为：pH：6~9、COD：550mg/L、SS：400mg/L、</w:t>
            </w:r>
            <w:r>
              <w:rPr>
                <w:rFonts w:ascii="Times New Roman" w:hAnsi="Times New Roman" w:eastAsia="宋体" w:cs="Times New Roman"/>
                <w:color w:val="auto"/>
                <w:kern w:val="2"/>
                <w:sz w:val="24"/>
                <w:szCs w:val="24"/>
                <w:highlight w:val="none"/>
                <w:lang w:val="en-US" w:eastAsia="zh-CN" w:bidi="ar-SA"/>
              </w:rPr>
              <w:t>BOD</w:t>
            </w:r>
            <w:r>
              <w:rPr>
                <w:rFonts w:ascii="Times New Roman" w:hAnsi="Times New Roman" w:eastAsia="宋体" w:cs="Times New Roman"/>
                <w:color w:val="auto"/>
                <w:kern w:val="2"/>
                <w:sz w:val="24"/>
                <w:szCs w:val="24"/>
                <w:highlight w:val="none"/>
                <w:vertAlign w:val="subscript"/>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：350mg/L、氨氮</w:t>
            </w:r>
            <w:r>
              <w:rPr>
                <w:rFonts w:hint="eastAsia" w:ascii="Times New Roman" w:hAnsi="Times New Roman" w:eastAsia="宋体" w:cs="Times New Roman"/>
                <w:bCs/>
                <w:color w:val="auto"/>
                <w:kern w:val="2"/>
                <w:sz w:val="24"/>
                <w:szCs w:val="24"/>
                <w:highlight w:val="none"/>
                <w:lang w:val="en-US" w:eastAsia="zh-CN" w:bidi="en-US"/>
              </w:rPr>
              <w:t>：4</w:t>
            </w:r>
            <w:r>
              <w:rPr>
                <w:rFonts w:hint="eastAsia" w:cs="Times New Roman"/>
                <w:bCs/>
                <w:color w:val="auto"/>
                <w:kern w:val="2"/>
                <w:sz w:val="24"/>
                <w:szCs w:val="24"/>
                <w:highlight w:val="none"/>
                <w:lang w:val="en-US" w:eastAsia="zh-CN" w:bidi="en-US"/>
              </w:rPr>
              <w:t>5</w:t>
            </w:r>
            <w:r>
              <w:rPr>
                <w:rFonts w:hint="eastAsia" w:ascii="Times New Roman" w:hAnsi="Times New Roman" w:eastAsia="宋体" w:cs="Times New Roman"/>
                <w:color w:val="auto"/>
                <w:kern w:val="2"/>
                <w:sz w:val="24"/>
                <w:szCs w:val="24"/>
                <w:highlight w:val="none"/>
                <w:lang w:val="en-US" w:eastAsia="zh-CN" w:bidi="ar-SA"/>
              </w:rPr>
              <w:t>mg/L</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000000"/>
                <w:sz w:val="24"/>
                <w:szCs w:val="24"/>
                <w:highlight w:val="none"/>
                <w:lang w:val="en-US" w:eastAsia="zh-CN"/>
              </w:rPr>
              <w:t>总磷：10</w:t>
            </w:r>
            <w:r>
              <w:rPr>
                <w:rFonts w:hint="eastAsia" w:ascii="Times New Roman" w:hAnsi="Times New Roman" w:eastAsia="宋体" w:cs="Times New Roman"/>
                <w:color w:val="auto"/>
                <w:sz w:val="24"/>
                <w:szCs w:val="24"/>
                <w:highlight w:val="none"/>
                <w:lang w:eastAsia="zh-CN"/>
              </w:rPr>
              <w:t>mg/L。</w:t>
            </w:r>
          </w:p>
          <w:p w14:paraId="32DDF4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s="Times New Roman"/>
                <w:sz w:val="24"/>
                <w:szCs w:val="24"/>
                <w:highlight w:val="none"/>
                <w:lang w:val="en-US" w:eastAsia="zh-CN"/>
              </w:rPr>
              <w:t>本项目医疗废水经消毒设施预处理后与地面清洁污水、员工生活污水和流动顾客污水等一并排入</w:t>
            </w:r>
            <w:r>
              <w:rPr>
                <w:rFonts w:hint="eastAsia" w:cs="Times New Roman"/>
                <w:b w:val="0"/>
                <w:bCs/>
                <w:spacing w:val="0"/>
                <w:sz w:val="24"/>
                <w:szCs w:val="24"/>
                <w:highlight w:val="none"/>
                <w:lang w:val="en-US" w:eastAsia="zh-CN"/>
              </w:rPr>
              <w:t>恒大绿岛新城B区</w:t>
            </w:r>
            <w:r>
              <w:rPr>
                <w:rFonts w:hint="eastAsia" w:ascii="Times New Roman" w:hAnsi="Times New Roman" w:cs="Times New Roman"/>
                <w:b w:val="0"/>
                <w:bCs/>
                <w:spacing w:val="0"/>
                <w:sz w:val="24"/>
                <w:szCs w:val="24"/>
                <w:highlight w:val="none"/>
              </w:rPr>
              <w:t>生化池</w:t>
            </w:r>
            <w:r>
              <w:rPr>
                <w:rFonts w:hint="eastAsia" w:cs="Times New Roman"/>
                <w:sz w:val="24"/>
                <w:szCs w:val="24"/>
                <w:highlight w:val="none"/>
                <w:lang w:val="en-US" w:eastAsia="zh-CN"/>
              </w:rPr>
              <w:t>处理达《污水综合排放标准》（GB 8978-1996）三级标准后排入市政污水管网，再经</w:t>
            </w:r>
            <w:r>
              <w:rPr>
                <w:rFonts w:hint="eastAsia" w:cs="Times New Roman"/>
                <w:b w:val="0"/>
                <w:bCs/>
                <w:spacing w:val="0"/>
                <w:sz w:val="24"/>
                <w:szCs w:val="24"/>
                <w:highlight w:val="none"/>
                <w:lang w:eastAsia="zh-CN"/>
              </w:rPr>
              <w:t>观音塘</w:t>
            </w:r>
            <w:r>
              <w:rPr>
                <w:rFonts w:hint="eastAsia" w:cs="Times New Roman"/>
                <w:sz w:val="24"/>
                <w:szCs w:val="24"/>
                <w:highlight w:val="none"/>
                <w:lang w:val="en-US" w:eastAsia="zh-CN"/>
              </w:rPr>
              <w:t>污水处理厂处理达</w:t>
            </w:r>
            <w:r>
              <w:rPr>
                <w:rFonts w:hint="eastAsia"/>
                <w:color w:val="auto"/>
                <w:sz w:val="24"/>
                <w:highlight w:val="none"/>
                <w:lang w:val="en-US" w:eastAsia="zh-CN"/>
              </w:rPr>
              <w:t>《地表水环境质量标准》（GB3838-2002）中Ⅳ类</w:t>
            </w:r>
            <w:r>
              <w:rPr>
                <w:rFonts w:hint="eastAsia"/>
                <w:color w:val="auto"/>
                <w:sz w:val="24"/>
              </w:rPr>
              <w:t>标准</w:t>
            </w:r>
            <w:r>
              <w:rPr>
                <w:rFonts w:hint="eastAsia"/>
                <w:color w:val="auto"/>
                <w:sz w:val="24"/>
                <w:lang w:eastAsia="zh-CN"/>
              </w:rPr>
              <w:t>（COD、BOD</w:t>
            </w:r>
            <w:r>
              <w:rPr>
                <w:rFonts w:hint="eastAsia"/>
                <w:color w:val="auto"/>
                <w:sz w:val="24"/>
                <w:vertAlign w:val="subscript"/>
                <w:lang w:eastAsia="zh-CN"/>
              </w:rPr>
              <w:t>5</w:t>
            </w:r>
            <w:r>
              <w:rPr>
                <w:rFonts w:hint="eastAsia"/>
                <w:color w:val="auto"/>
                <w:sz w:val="24"/>
                <w:lang w:eastAsia="zh-CN"/>
              </w:rPr>
              <w:t>、氨氮、总磷）</w:t>
            </w:r>
            <w:r>
              <w:rPr>
                <w:rFonts w:hint="eastAsia"/>
                <w:color w:val="auto"/>
                <w:sz w:val="24"/>
              </w:rPr>
              <w:t>和《城镇污水处理厂污染物排放标准》（GB18918-2002）中一级A标准（其余指标）</w:t>
            </w:r>
            <w:r>
              <w:rPr>
                <w:rFonts w:hint="eastAsia"/>
                <w:bCs/>
                <w:color w:val="auto"/>
                <w:sz w:val="24"/>
              </w:rPr>
              <w:t>后排入璧南河</w:t>
            </w:r>
            <w:r>
              <w:rPr>
                <w:rFonts w:hint="eastAsia" w:cs="Times New Roman"/>
                <w:sz w:val="24"/>
                <w:szCs w:val="24"/>
                <w:highlight w:val="none"/>
                <w:lang w:val="en-US" w:eastAsia="zh-CN"/>
              </w:rPr>
              <w:t>。</w:t>
            </w:r>
          </w:p>
          <w:p w14:paraId="5AC36A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spacing w:val="0"/>
                <w:sz w:val="24"/>
                <w:szCs w:val="24"/>
              </w:rPr>
            </w:pPr>
            <w:r>
              <w:rPr>
                <w:rFonts w:hint="eastAsia" w:ascii="Times New Roman" w:hAnsi="Times New Roman" w:cs="Times New Roman"/>
                <w:b w:val="0"/>
                <w:bCs/>
                <w:spacing w:val="0"/>
                <w:sz w:val="24"/>
                <w:szCs w:val="24"/>
              </w:rPr>
              <w:t>项目污废水产生情况详见表4.2-11。</w:t>
            </w:r>
          </w:p>
          <w:p w14:paraId="7C7D55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spacing w:val="0"/>
                <w:sz w:val="24"/>
                <w:szCs w:val="24"/>
                <w:vertAlign w:val="baseline"/>
              </w:rPr>
            </w:pPr>
            <w:r>
              <w:rPr>
                <w:rFonts w:hint="eastAsia" w:ascii="Times New Roman" w:hAnsi="Times New Roman" w:cs="Times New Roman"/>
                <w:b w:val="0"/>
                <w:bCs/>
                <w:spacing w:val="0"/>
                <w:sz w:val="24"/>
                <w:szCs w:val="24"/>
              </w:rPr>
              <w:t>表4.2-11项目水污染物产生和排放情况</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881"/>
              <w:gridCol w:w="787"/>
              <w:gridCol w:w="791"/>
              <w:gridCol w:w="983"/>
              <w:gridCol w:w="1097"/>
              <w:gridCol w:w="1464"/>
              <w:gridCol w:w="940"/>
              <w:gridCol w:w="933"/>
            </w:tblGrid>
            <w:tr w14:paraId="7B4554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17D609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排放源</w:t>
                  </w:r>
                </w:p>
              </w:tc>
              <w:tc>
                <w:tcPr>
                  <w:tcW w:w="533" w:type="pct"/>
                  <w:vMerge w:val="restart"/>
                  <w:tcBorders>
                    <w:tl2br w:val="nil"/>
                    <w:tr2bl w:val="nil"/>
                  </w:tcBorders>
                  <w:vAlign w:val="center"/>
                </w:tcPr>
                <w:p w14:paraId="5D7F4D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产生量（m</w:t>
                  </w:r>
                  <w:r>
                    <w:rPr>
                      <w:rFonts w:hint="eastAsia" w:cs="Times New Roman"/>
                      <w:b w:val="0"/>
                      <w:bCs/>
                      <w:spacing w:val="0"/>
                      <w:sz w:val="21"/>
                      <w:szCs w:val="21"/>
                      <w:vertAlign w:val="superscript"/>
                      <w:lang w:val="en-US" w:eastAsia="zh-CN"/>
                    </w:rPr>
                    <w:t>3</w:t>
                  </w:r>
                  <w:r>
                    <w:rPr>
                      <w:rFonts w:hint="eastAsia" w:cs="Times New Roman"/>
                      <w:b w:val="0"/>
                      <w:bCs/>
                      <w:spacing w:val="0"/>
                      <w:sz w:val="21"/>
                      <w:szCs w:val="21"/>
                      <w:vertAlign w:val="baseline"/>
                      <w:lang w:val="en-US" w:eastAsia="zh-CN"/>
                    </w:rPr>
                    <w:t>/a）</w:t>
                  </w:r>
                </w:p>
              </w:tc>
              <w:tc>
                <w:tcPr>
                  <w:tcW w:w="476" w:type="pct"/>
                  <w:vMerge w:val="restart"/>
                  <w:tcBorders>
                    <w:tl2br w:val="nil"/>
                    <w:tr2bl w:val="nil"/>
                  </w:tcBorders>
                  <w:vAlign w:val="center"/>
                </w:tcPr>
                <w:p w14:paraId="0C1350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污染物</w:t>
                  </w:r>
                </w:p>
              </w:tc>
              <w:tc>
                <w:tcPr>
                  <w:tcW w:w="1073" w:type="pct"/>
                  <w:gridSpan w:val="2"/>
                  <w:tcBorders>
                    <w:tl2br w:val="nil"/>
                    <w:tr2bl w:val="nil"/>
                  </w:tcBorders>
                  <w:vAlign w:val="center"/>
                </w:tcPr>
                <w:p w14:paraId="2FE56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r>
                    <w:rPr>
                      <w:rFonts w:hint="eastAsia" w:cs="Times New Roman"/>
                      <w:b w:val="0"/>
                      <w:bCs/>
                      <w:spacing w:val="0"/>
                      <w:sz w:val="21"/>
                      <w:szCs w:val="21"/>
                      <w:vertAlign w:val="baseline"/>
                      <w:lang w:val="en-US" w:eastAsia="zh-CN"/>
                    </w:rPr>
                    <w:t>产生情况</w:t>
                  </w:r>
                </w:p>
              </w:tc>
              <w:tc>
                <w:tcPr>
                  <w:tcW w:w="1550" w:type="pct"/>
                  <w:gridSpan w:val="2"/>
                  <w:tcBorders>
                    <w:tl2br w:val="nil"/>
                    <w:tr2bl w:val="nil"/>
                  </w:tcBorders>
                  <w:vAlign w:val="center"/>
                </w:tcPr>
                <w:p w14:paraId="41826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r>
                    <w:rPr>
                      <w:rFonts w:hint="eastAsia" w:cs="Times New Roman"/>
                      <w:b w:val="0"/>
                      <w:bCs/>
                      <w:spacing w:val="0"/>
                      <w:sz w:val="21"/>
                      <w:szCs w:val="21"/>
                      <w:vertAlign w:val="baseline"/>
                      <w:lang w:val="en-US" w:eastAsia="zh-CN"/>
                    </w:rPr>
                    <w:t>处理后污染物情况</w:t>
                  </w:r>
                </w:p>
              </w:tc>
              <w:tc>
                <w:tcPr>
                  <w:tcW w:w="1133" w:type="pct"/>
                  <w:gridSpan w:val="2"/>
                  <w:tcBorders>
                    <w:tl2br w:val="nil"/>
                    <w:tr2bl w:val="nil"/>
                  </w:tcBorders>
                  <w:vAlign w:val="center"/>
                </w:tcPr>
                <w:p w14:paraId="78BF5D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r>
                    <w:rPr>
                      <w:rFonts w:hint="eastAsia" w:ascii="Times New Roman" w:hAnsi="Times New Roman" w:cs="Times New Roman"/>
                      <w:b w:val="0"/>
                      <w:bCs/>
                      <w:spacing w:val="0"/>
                      <w:sz w:val="21"/>
                      <w:szCs w:val="21"/>
                      <w:vertAlign w:val="baseline"/>
                    </w:rPr>
                    <w:t>排入环境</w:t>
                  </w:r>
                  <w:r>
                    <w:rPr>
                      <w:rFonts w:hint="eastAsia"/>
                      <w:color w:val="auto"/>
                      <w:sz w:val="21"/>
                      <w:szCs w:val="21"/>
                      <w:highlight w:val="none"/>
                      <w:lang w:val="en-US" w:eastAsia="zh-CN"/>
                    </w:rPr>
                    <w:t>《地表水环境质量标准》（GB3838-2002）中Ⅳ类</w:t>
                  </w:r>
                  <w:r>
                    <w:rPr>
                      <w:rFonts w:hint="eastAsia"/>
                      <w:color w:val="auto"/>
                      <w:sz w:val="21"/>
                      <w:szCs w:val="21"/>
                    </w:rPr>
                    <w:t>标准</w:t>
                  </w:r>
                  <w:r>
                    <w:rPr>
                      <w:rFonts w:hint="eastAsia"/>
                      <w:color w:val="auto"/>
                      <w:sz w:val="21"/>
                      <w:szCs w:val="21"/>
                      <w:lang w:eastAsia="zh-CN"/>
                    </w:rPr>
                    <w:t>（COD、BOD</w:t>
                  </w:r>
                  <w:r>
                    <w:rPr>
                      <w:rFonts w:hint="eastAsia"/>
                      <w:color w:val="auto"/>
                      <w:sz w:val="21"/>
                      <w:szCs w:val="21"/>
                      <w:vertAlign w:val="subscript"/>
                      <w:lang w:eastAsia="zh-CN"/>
                    </w:rPr>
                    <w:t>5</w:t>
                  </w:r>
                  <w:r>
                    <w:rPr>
                      <w:rFonts w:hint="eastAsia"/>
                      <w:color w:val="auto"/>
                      <w:sz w:val="21"/>
                      <w:szCs w:val="21"/>
                      <w:lang w:eastAsia="zh-CN"/>
                    </w:rPr>
                    <w:t>、氨氮、总磷）</w:t>
                  </w:r>
                  <w:r>
                    <w:rPr>
                      <w:rFonts w:hint="eastAsia"/>
                      <w:color w:val="auto"/>
                      <w:sz w:val="21"/>
                      <w:szCs w:val="21"/>
                    </w:rPr>
                    <w:t>和《城镇污水处理厂污染物排放标准》（GB18918-2002）中一级A标准（其余指标）</w:t>
                  </w:r>
                </w:p>
              </w:tc>
            </w:tr>
            <w:tr w14:paraId="47912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48D6F7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678BA6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vMerge w:val="continue"/>
                  <w:tcBorders>
                    <w:tl2br w:val="nil"/>
                    <w:tr2bl w:val="nil"/>
                  </w:tcBorders>
                  <w:vAlign w:val="center"/>
                </w:tcPr>
                <w:p w14:paraId="60BD5C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8" w:type="pct"/>
                  <w:tcBorders>
                    <w:tl2br w:val="nil"/>
                    <w:tr2bl w:val="nil"/>
                  </w:tcBorders>
                  <w:vAlign w:val="center"/>
                </w:tcPr>
                <w:p w14:paraId="317C91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浓度（mg/L）</w:t>
                  </w:r>
                </w:p>
              </w:tc>
              <w:tc>
                <w:tcPr>
                  <w:tcW w:w="595" w:type="pct"/>
                  <w:tcBorders>
                    <w:tl2br w:val="nil"/>
                    <w:tr2bl w:val="nil"/>
                  </w:tcBorders>
                  <w:vAlign w:val="center"/>
                </w:tcPr>
                <w:p w14:paraId="005AEC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产生量（t/a）</w:t>
                  </w:r>
                </w:p>
              </w:tc>
              <w:tc>
                <w:tcPr>
                  <w:tcW w:w="664" w:type="pct"/>
                  <w:tcBorders>
                    <w:tl2br w:val="nil"/>
                    <w:tr2bl w:val="nil"/>
                  </w:tcBorders>
                  <w:shd w:val="clear" w:color="auto" w:fill="auto"/>
                  <w:vAlign w:val="center"/>
                </w:tcPr>
                <w:p w14:paraId="062E9C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浓度（mg/L）</w:t>
                  </w:r>
                </w:p>
              </w:tc>
              <w:tc>
                <w:tcPr>
                  <w:tcW w:w="886" w:type="pct"/>
                  <w:tcBorders>
                    <w:tl2br w:val="nil"/>
                    <w:tr2bl w:val="nil"/>
                  </w:tcBorders>
                  <w:shd w:val="clear" w:color="auto" w:fill="auto"/>
                  <w:vAlign w:val="center"/>
                </w:tcPr>
                <w:p w14:paraId="3DE87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排放量（t/a）</w:t>
                  </w:r>
                </w:p>
              </w:tc>
              <w:tc>
                <w:tcPr>
                  <w:tcW w:w="569" w:type="pct"/>
                  <w:tcBorders>
                    <w:tl2br w:val="nil"/>
                    <w:tr2bl w:val="nil"/>
                  </w:tcBorders>
                  <w:shd w:val="clear" w:color="auto" w:fill="auto"/>
                  <w:vAlign w:val="center"/>
                </w:tcPr>
                <w:p w14:paraId="175B3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浓度（mg/L）</w:t>
                  </w:r>
                </w:p>
              </w:tc>
              <w:tc>
                <w:tcPr>
                  <w:tcW w:w="564" w:type="pct"/>
                  <w:tcBorders>
                    <w:tl2br w:val="nil"/>
                    <w:tr2bl w:val="nil"/>
                  </w:tcBorders>
                  <w:shd w:val="clear" w:color="auto" w:fill="auto"/>
                  <w:vAlign w:val="center"/>
                </w:tcPr>
                <w:p w14:paraId="54E5EE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排放量（t/a）</w:t>
                  </w:r>
                </w:p>
              </w:tc>
            </w:tr>
            <w:tr w14:paraId="46645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456231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生活污水</w:t>
                  </w:r>
                </w:p>
              </w:tc>
              <w:tc>
                <w:tcPr>
                  <w:tcW w:w="533" w:type="pct"/>
                  <w:vMerge w:val="restart"/>
                  <w:tcBorders>
                    <w:tl2br w:val="nil"/>
                    <w:tr2bl w:val="nil"/>
                  </w:tcBorders>
                  <w:vAlign w:val="center"/>
                </w:tcPr>
                <w:p w14:paraId="30E18D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114.54</w:t>
                  </w:r>
                </w:p>
              </w:tc>
              <w:tc>
                <w:tcPr>
                  <w:tcW w:w="476" w:type="pct"/>
                  <w:tcBorders>
                    <w:tl2br w:val="nil"/>
                    <w:tr2bl w:val="nil"/>
                  </w:tcBorders>
                  <w:vAlign w:val="center"/>
                </w:tcPr>
                <w:p w14:paraId="31765D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pH</w:t>
                  </w:r>
                </w:p>
              </w:tc>
              <w:tc>
                <w:tcPr>
                  <w:tcW w:w="478" w:type="pct"/>
                  <w:tcBorders>
                    <w:tl2br w:val="nil"/>
                    <w:tr2bl w:val="nil"/>
                  </w:tcBorders>
                  <w:vAlign w:val="center"/>
                </w:tcPr>
                <w:p w14:paraId="11B15B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6~9（无量纲）</w:t>
                  </w:r>
                </w:p>
              </w:tc>
              <w:tc>
                <w:tcPr>
                  <w:tcW w:w="595" w:type="pct"/>
                  <w:tcBorders>
                    <w:tl2br w:val="nil"/>
                    <w:tr2bl w:val="nil"/>
                  </w:tcBorders>
                  <w:vAlign w:val="center"/>
                </w:tcPr>
                <w:p w14:paraId="109C0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664" w:type="pct"/>
                  <w:tcBorders>
                    <w:tl2br w:val="nil"/>
                    <w:tr2bl w:val="nil"/>
                  </w:tcBorders>
                  <w:vAlign w:val="center"/>
                </w:tcPr>
                <w:p w14:paraId="57E789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886" w:type="pct"/>
                  <w:tcBorders>
                    <w:tl2br w:val="nil"/>
                    <w:tr2bl w:val="nil"/>
                  </w:tcBorders>
                  <w:vAlign w:val="center"/>
                </w:tcPr>
                <w:p w14:paraId="4BC6E1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569" w:type="pct"/>
                  <w:tcBorders>
                    <w:tl2br w:val="nil"/>
                    <w:tr2bl w:val="nil"/>
                  </w:tcBorders>
                  <w:vAlign w:val="center"/>
                </w:tcPr>
                <w:p w14:paraId="6001A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564" w:type="pct"/>
                  <w:tcBorders>
                    <w:tl2br w:val="nil"/>
                    <w:tr2bl w:val="nil"/>
                  </w:tcBorders>
                  <w:vAlign w:val="center"/>
                </w:tcPr>
                <w:p w14:paraId="7247FF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r>
            <w:tr w14:paraId="1CFC3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FCC55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60F4EA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74CB85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COD</w:t>
                  </w:r>
                </w:p>
              </w:tc>
              <w:tc>
                <w:tcPr>
                  <w:tcW w:w="478" w:type="pct"/>
                  <w:tcBorders>
                    <w:tl2br w:val="nil"/>
                    <w:tr2bl w:val="nil"/>
                  </w:tcBorders>
                  <w:vAlign w:val="center"/>
                </w:tcPr>
                <w:p w14:paraId="777AC3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400</w:t>
                  </w:r>
                </w:p>
              </w:tc>
              <w:tc>
                <w:tcPr>
                  <w:tcW w:w="595" w:type="pct"/>
                  <w:tcBorders>
                    <w:tl2br w:val="nil"/>
                    <w:tr2bl w:val="nil"/>
                  </w:tcBorders>
                  <w:vAlign w:val="center"/>
                </w:tcPr>
                <w:p w14:paraId="4C220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0.058</w:t>
                  </w:r>
                </w:p>
              </w:tc>
              <w:tc>
                <w:tcPr>
                  <w:tcW w:w="664" w:type="pct"/>
                  <w:tcBorders>
                    <w:tl2br w:val="nil"/>
                    <w:tr2bl w:val="nil"/>
                  </w:tcBorders>
                  <w:shd w:val="clear" w:color="auto" w:fill="auto"/>
                  <w:vAlign w:val="center"/>
                </w:tcPr>
                <w:p w14:paraId="63268C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6435B3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283557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0720D5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76647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68503C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300AB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3BA499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BOD</w:t>
                  </w:r>
                  <w:r>
                    <w:rPr>
                      <w:rFonts w:hint="eastAsia" w:cs="Times New Roman"/>
                      <w:b w:val="0"/>
                      <w:bCs/>
                      <w:spacing w:val="0"/>
                      <w:sz w:val="21"/>
                      <w:szCs w:val="21"/>
                      <w:vertAlign w:val="subscript"/>
                      <w:lang w:val="en-US" w:eastAsia="zh-CN"/>
                    </w:rPr>
                    <w:t>5</w:t>
                  </w:r>
                </w:p>
              </w:tc>
              <w:tc>
                <w:tcPr>
                  <w:tcW w:w="478" w:type="pct"/>
                  <w:tcBorders>
                    <w:tl2br w:val="nil"/>
                    <w:tr2bl w:val="nil"/>
                  </w:tcBorders>
                  <w:vAlign w:val="center"/>
                </w:tcPr>
                <w:p w14:paraId="199887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350</w:t>
                  </w:r>
                </w:p>
              </w:tc>
              <w:tc>
                <w:tcPr>
                  <w:tcW w:w="595" w:type="pct"/>
                  <w:tcBorders>
                    <w:tl2br w:val="nil"/>
                    <w:tr2bl w:val="nil"/>
                  </w:tcBorders>
                  <w:vAlign w:val="center"/>
                </w:tcPr>
                <w:p w14:paraId="4E2312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0.051</w:t>
                  </w:r>
                </w:p>
              </w:tc>
              <w:tc>
                <w:tcPr>
                  <w:tcW w:w="664" w:type="pct"/>
                  <w:tcBorders>
                    <w:tl2br w:val="nil"/>
                    <w:tr2bl w:val="nil"/>
                  </w:tcBorders>
                  <w:shd w:val="clear" w:color="auto" w:fill="auto"/>
                  <w:vAlign w:val="center"/>
                </w:tcPr>
                <w:p w14:paraId="254059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731C2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522BF4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35224B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2A2F5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EE43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47119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5797F2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氨氮</w:t>
                  </w:r>
                </w:p>
              </w:tc>
              <w:tc>
                <w:tcPr>
                  <w:tcW w:w="478" w:type="pct"/>
                  <w:tcBorders>
                    <w:tl2br w:val="nil"/>
                    <w:tr2bl w:val="nil"/>
                  </w:tcBorders>
                  <w:vAlign w:val="center"/>
                </w:tcPr>
                <w:p w14:paraId="2868EC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40</w:t>
                  </w:r>
                </w:p>
              </w:tc>
              <w:tc>
                <w:tcPr>
                  <w:tcW w:w="595" w:type="pct"/>
                  <w:tcBorders>
                    <w:tl2br w:val="nil"/>
                    <w:tr2bl w:val="nil"/>
                  </w:tcBorders>
                  <w:vAlign w:val="center"/>
                </w:tcPr>
                <w:p w14:paraId="753D60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0.0058</w:t>
                  </w:r>
                </w:p>
              </w:tc>
              <w:tc>
                <w:tcPr>
                  <w:tcW w:w="664" w:type="pct"/>
                  <w:tcBorders>
                    <w:tl2br w:val="nil"/>
                    <w:tr2bl w:val="nil"/>
                  </w:tcBorders>
                  <w:shd w:val="clear" w:color="auto" w:fill="auto"/>
                  <w:vAlign w:val="center"/>
                </w:tcPr>
                <w:p w14:paraId="18B9EE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2FDF18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0BBBDD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04665C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4376F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359847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20FAD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405DC6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SS</w:t>
                  </w:r>
                </w:p>
              </w:tc>
              <w:tc>
                <w:tcPr>
                  <w:tcW w:w="478" w:type="pct"/>
                  <w:tcBorders>
                    <w:tl2br w:val="nil"/>
                    <w:tr2bl w:val="nil"/>
                  </w:tcBorders>
                  <w:vAlign w:val="center"/>
                </w:tcPr>
                <w:p w14:paraId="5ED5E2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350</w:t>
                  </w:r>
                </w:p>
              </w:tc>
              <w:tc>
                <w:tcPr>
                  <w:tcW w:w="595" w:type="pct"/>
                  <w:tcBorders>
                    <w:tl2br w:val="nil"/>
                    <w:tr2bl w:val="nil"/>
                  </w:tcBorders>
                  <w:vAlign w:val="center"/>
                </w:tcPr>
                <w:p w14:paraId="69E2B5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0.051</w:t>
                  </w:r>
                </w:p>
              </w:tc>
              <w:tc>
                <w:tcPr>
                  <w:tcW w:w="664" w:type="pct"/>
                  <w:tcBorders>
                    <w:tl2br w:val="nil"/>
                    <w:tr2bl w:val="nil"/>
                  </w:tcBorders>
                  <w:shd w:val="clear" w:color="auto" w:fill="auto"/>
                  <w:vAlign w:val="center"/>
                </w:tcPr>
                <w:p w14:paraId="57152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60FAD5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5E7E47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7BE880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0C937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6B502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14A8FF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3B487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TP</w:t>
                  </w:r>
                </w:p>
              </w:tc>
              <w:tc>
                <w:tcPr>
                  <w:tcW w:w="478" w:type="pct"/>
                  <w:tcBorders>
                    <w:tl2br w:val="nil"/>
                    <w:tr2bl w:val="nil"/>
                  </w:tcBorders>
                  <w:vAlign w:val="center"/>
                </w:tcPr>
                <w:p w14:paraId="67E13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15</w:t>
                  </w:r>
                </w:p>
              </w:tc>
              <w:tc>
                <w:tcPr>
                  <w:tcW w:w="595" w:type="pct"/>
                  <w:tcBorders>
                    <w:tl2br w:val="nil"/>
                    <w:tr2bl w:val="nil"/>
                  </w:tcBorders>
                  <w:vAlign w:val="center"/>
                </w:tcPr>
                <w:p w14:paraId="466C07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0.002</w:t>
                  </w:r>
                </w:p>
              </w:tc>
              <w:tc>
                <w:tcPr>
                  <w:tcW w:w="664" w:type="pct"/>
                  <w:tcBorders>
                    <w:tl2br w:val="nil"/>
                    <w:tr2bl w:val="nil"/>
                  </w:tcBorders>
                  <w:shd w:val="clear" w:color="auto" w:fill="auto"/>
                  <w:vAlign w:val="center"/>
                </w:tcPr>
                <w:p w14:paraId="250079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195B6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26BD02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43639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2AB0C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46809C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医疗废水</w:t>
                  </w:r>
                </w:p>
              </w:tc>
              <w:tc>
                <w:tcPr>
                  <w:tcW w:w="533" w:type="pct"/>
                  <w:vMerge w:val="restart"/>
                  <w:tcBorders>
                    <w:tl2br w:val="nil"/>
                    <w:tr2bl w:val="nil"/>
                  </w:tcBorders>
                  <w:vAlign w:val="center"/>
                </w:tcPr>
                <w:p w14:paraId="57F0D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152.7525</w:t>
                  </w:r>
                </w:p>
              </w:tc>
              <w:tc>
                <w:tcPr>
                  <w:tcW w:w="476" w:type="pct"/>
                  <w:tcBorders>
                    <w:tl2br w:val="nil"/>
                    <w:tr2bl w:val="nil"/>
                  </w:tcBorders>
                  <w:shd w:val="clear" w:color="auto" w:fill="auto"/>
                  <w:vAlign w:val="center"/>
                </w:tcPr>
                <w:p w14:paraId="431D25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pH</w:t>
                  </w:r>
                </w:p>
              </w:tc>
              <w:tc>
                <w:tcPr>
                  <w:tcW w:w="478" w:type="pct"/>
                  <w:tcBorders>
                    <w:tl2br w:val="nil"/>
                    <w:tr2bl w:val="nil"/>
                  </w:tcBorders>
                  <w:vAlign w:val="center"/>
                </w:tcPr>
                <w:p w14:paraId="2D13AF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6~9</w:t>
                  </w:r>
                </w:p>
              </w:tc>
              <w:tc>
                <w:tcPr>
                  <w:tcW w:w="595" w:type="pct"/>
                  <w:tcBorders>
                    <w:tl2br w:val="nil"/>
                    <w:tr2bl w:val="nil"/>
                  </w:tcBorders>
                  <w:vAlign w:val="center"/>
                </w:tcPr>
                <w:p w14:paraId="1CC71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664" w:type="pct"/>
                  <w:tcBorders>
                    <w:tl2br w:val="nil"/>
                    <w:tr2bl w:val="nil"/>
                  </w:tcBorders>
                  <w:shd w:val="clear" w:color="auto" w:fill="auto"/>
                  <w:vAlign w:val="center"/>
                </w:tcPr>
                <w:p w14:paraId="56524F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1AA619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vAlign w:val="center"/>
                </w:tcPr>
                <w:p w14:paraId="2A347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564" w:type="pct"/>
                  <w:tcBorders>
                    <w:tl2br w:val="nil"/>
                    <w:tr2bl w:val="nil"/>
                  </w:tcBorders>
                  <w:vAlign w:val="center"/>
                </w:tcPr>
                <w:p w14:paraId="622229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r>
            <w:tr w14:paraId="7E2F79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18BEE8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78D6C5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2E955C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COD</w:t>
                  </w:r>
                </w:p>
              </w:tc>
              <w:tc>
                <w:tcPr>
                  <w:tcW w:w="478" w:type="pct"/>
                  <w:tcBorders>
                    <w:tl2br w:val="nil"/>
                    <w:tr2bl w:val="nil"/>
                  </w:tcBorders>
                  <w:vAlign w:val="center"/>
                </w:tcPr>
                <w:p w14:paraId="5DDE43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250</w:t>
                  </w:r>
                </w:p>
              </w:tc>
              <w:tc>
                <w:tcPr>
                  <w:tcW w:w="595" w:type="pct"/>
                  <w:tcBorders>
                    <w:tl2br w:val="nil"/>
                    <w:tr2bl w:val="nil"/>
                  </w:tcBorders>
                  <w:vAlign w:val="center"/>
                </w:tcPr>
                <w:p w14:paraId="6F88F4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0.038</w:t>
                  </w:r>
                </w:p>
              </w:tc>
              <w:tc>
                <w:tcPr>
                  <w:tcW w:w="664" w:type="pct"/>
                  <w:tcBorders>
                    <w:tl2br w:val="nil"/>
                    <w:tr2bl w:val="nil"/>
                  </w:tcBorders>
                  <w:shd w:val="clear" w:color="auto" w:fill="auto"/>
                  <w:vAlign w:val="center"/>
                </w:tcPr>
                <w:p w14:paraId="145934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2B30A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235D4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08D865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3DDB6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D7050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09C227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6EC24C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BOD</w:t>
                  </w:r>
                  <w:r>
                    <w:rPr>
                      <w:rFonts w:hint="eastAsia" w:cs="Times New Roman"/>
                      <w:b w:val="0"/>
                      <w:bCs/>
                      <w:spacing w:val="0"/>
                      <w:sz w:val="21"/>
                      <w:szCs w:val="21"/>
                      <w:vertAlign w:val="subscript"/>
                      <w:lang w:val="en-US" w:eastAsia="zh-CN"/>
                    </w:rPr>
                    <w:t>5</w:t>
                  </w:r>
                </w:p>
              </w:tc>
              <w:tc>
                <w:tcPr>
                  <w:tcW w:w="478" w:type="pct"/>
                  <w:tcBorders>
                    <w:tl2br w:val="nil"/>
                    <w:tr2bl w:val="nil"/>
                  </w:tcBorders>
                  <w:vAlign w:val="center"/>
                </w:tcPr>
                <w:p w14:paraId="2B8D2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100</w:t>
                  </w:r>
                </w:p>
              </w:tc>
              <w:tc>
                <w:tcPr>
                  <w:tcW w:w="595" w:type="pct"/>
                  <w:tcBorders>
                    <w:tl2br w:val="nil"/>
                    <w:tr2bl w:val="nil"/>
                  </w:tcBorders>
                  <w:vAlign w:val="center"/>
                </w:tcPr>
                <w:p w14:paraId="647C44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0.015</w:t>
                  </w:r>
                </w:p>
              </w:tc>
              <w:tc>
                <w:tcPr>
                  <w:tcW w:w="664" w:type="pct"/>
                  <w:tcBorders>
                    <w:tl2br w:val="nil"/>
                    <w:tr2bl w:val="nil"/>
                  </w:tcBorders>
                  <w:shd w:val="clear" w:color="auto" w:fill="auto"/>
                  <w:vAlign w:val="center"/>
                </w:tcPr>
                <w:p w14:paraId="4DFDD9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3D9BF0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462476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5362F1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06731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98B1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552D18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29A232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氨氮</w:t>
                  </w:r>
                </w:p>
              </w:tc>
              <w:tc>
                <w:tcPr>
                  <w:tcW w:w="478" w:type="pct"/>
                  <w:tcBorders>
                    <w:tl2br w:val="nil"/>
                    <w:tr2bl w:val="nil"/>
                  </w:tcBorders>
                  <w:vAlign w:val="center"/>
                </w:tcPr>
                <w:p w14:paraId="7169D3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30</w:t>
                  </w:r>
                </w:p>
              </w:tc>
              <w:tc>
                <w:tcPr>
                  <w:tcW w:w="595" w:type="pct"/>
                  <w:tcBorders>
                    <w:tl2br w:val="nil"/>
                    <w:tr2bl w:val="nil"/>
                  </w:tcBorders>
                  <w:vAlign w:val="center"/>
                </w:tcPr>
                <w:p w14:paraId="75EF36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0.0046</w:t>
                  </w:r>
                </w:p>
              </w:tc>
              <w:tc>
                <w:tcPr>
                  <w:tcW w:w="664" w:type="pct"/>
                  <w:tcBorders>
                    <w:tl2br w:val="nil"/>
                    <w:tr2bl w:val="nil"/>
                  </w:tcBorders>
                  <w:shd w:val="clear" w:color="auto" w:fill="auto"/>
                  <w:vAlign w:val="center"/>
                </w:tcPr>
                <w:p w14:paraId="17D4FB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7DF7A1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2C2880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5D4C47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1A548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18705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5869BD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380787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SS</w:t>
                  </w:r>
                </w:p>
              </w:tc>
              <w:tc>
                <w:tcPr>
                  <w:tcW w:w="478" w:type="pct"/>
                  <w:tcBorders>
                    <w:tl2br w:val="nil"/>
                    <w:tr2bl w:val="nil"/>
                  </w:tcBorders>
                  <w:vAlign w:val="center"/>
                </w:tcPr>
                <w:p w14:paraId="68F56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80</w:t>
                  </w:r>
                </w:p>
              </w:tc>
              <w:tc>
                <w:tcPr>
                  <w:tcW w:w="595" w:type="pct"/>
                  <w:tcBorders>
                    <w:tl2br w:val="nil"/>
                    <w:tr2bl w:val="nil"/>
                  </w:tcBorders>
                  <w:vAlign w:val="center"/>
                </w:tcPr>
                <w:p w14:paraId="358BAA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0.012</w:t>
                  </w:r>
                </w:p>
              </w:tc>
              <w:tc>
                <w:tcPr>
                  <w:tcW w:w="664" w:type="pct"/>
                  <w:tcBorders>
                    <w:tl2br w:val="nil"/>
                    <w:tr2bl w:val="nil"/>
                  </w:tcBorders>
                  <w:shd w:val="clear" w:color="auto" w:fill="auto"/>
                  <w:vAlign w:val="center"/>
                </w:tcPr>
                <w:p w14:paraId="7E0BDB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69588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447B11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1BF05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76784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06EA07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32271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066AE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粪大肠菌群</w:t>
                  </w:r>
                </w:p>
              </w:tc>
              <w:tc>
                <w:tcPr>
                  <w:tcW w:w="478" w:type="pct"/>
                  <w:tcBorders>
                    <w:tl2br w:val="nil"/>
                    <w:tr2bl w:val="nil"/>
                  </w:tcBorders>
                  <w:vAlign w:val="center"/>
                </w:tcPr>
                <w:p w14:paraId="5E63B2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1.6×10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个/L</w:t>
                  </w:r>
                </w:p>
              </w:tc>
              <w:tc>
                <w:tcPr>
                  <w:tcW w:w="595" w:type="pct"/>
                  <w:tcBorders>
                    <w:tl2br w:val="nil"/>
                    <w:tr2bl w:val="nil"/>
                  </w:tcBorders>
                  <w:vAlign w:val="center"/>
                </w:tcPr>
                <w:p w14:paraId="37A4D9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2.44×10</w:t>
                  </w:r>
                  <w:r>
                    <w:rPr>
                      <w:rFonts w:hint="eastAsia" w:cs="Times New Roman"/>
                      <w:b w:val="0"/>
                      <w:bCs/>
                      <w:spacing w:val="0"/>
                      <w:sz w:val="21"/>
                      <w:szCs w:val="21"/>
                      <w:vertAlign w:val="superscript"/>
                      <w:lang w:val="en-US" w:eastAsia="zh-CN"/>
                    </w:rPr>
                    <w:t>13</w:t>
                  </w:r>
                  <w:r>
                    <w:rPr>
                      <w:rFonts w:hint="eastAsia" w:cs="Times New Roman"/>
                      <w:b w:val="0"/>
                      <w:bCs/>
                      <w:spacing w:val="0"/>
                      <w:sz w:val="21"/>
                      <w:szCs w:val="21"/>
                      <w:vertAlign w:val="baseline"/>
                      <w:lang w:val="en-US" w:eastAsia="zh-CN"/>
                    </w:rPr>
                    <w:t>个/L</w:t>
                  </w:r>
                </w:p>
              </w:tc>
              <w:tc>
                <w:tcPr>
                  <w:tcW w:w="664" w:type="pct"/>
                  <w:tcBorders>
                    <w:tl2br w:val="nil"/>
                    <w:tr2bl w:val="nil"/>
                  </w:tcBorders>
                  <w:vAlign w:val="center"/>
                </w:tcPr>
                <w:p w14:paraId="04EC8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5000MPN/L</w:t>
                  </w:r>
                </w:p>
              </w:tc>
              <w:tc>
                <w:tcPr>
                  <w:tcW w:w="886" w:type="pct"/>
                  <w:tcBorders>
                    <w:tl2br w:val="nil"/>
                    <w:tr2bl w:val="nil"/>
                  </w:tcBorders>
                  <w:vAlign w:val="center"/>
                </w:tcPr>
                <w:p w14:paraId="283C55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7.64×10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MPN/L</w:t>
                  </w:r>
                </w:p>
              </w:tc>
              <w:tc>
                <w:tcPr>
                  <w:tcW w:w="569" w:type="pct"/>
                  <w:tcBorders>
                    <w:tl2br w:val="nil"/>
                    <w:tr2bl w:val="nil"/>
                  </w:tcBorders>
                  <w:shd w:val="clear" w:color="auto" w:fill="auto"/>
                  <w:vAlign w:val="center"/>
                </w:tcPr>
                <w:p w14:paraId="4C540D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1A21FB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2EEC6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2E3BB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0B2344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5F295F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总余氯</w:t>
                  </w:r>
                </w:p>
              </w:tc>
              <w:tc>
                <w:tcPr>
                  <w:tcW w:w="478" w:type="pct"/>
                  <w:tcBorders>
                    <w:tl2br w:val="nil"/>
                    <w:tr2bl w:val="nil"/>
                  </w:tcBorders>
                  <w:vAlign w:val="center"/>
                </w:tcPr>
                <w:p w14:paraId="7D375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595" w:type="pct"/>
                  <w:tcBorders>
                    <w:tl2br w:val="nil"/>
                    <w:tr2bl w:val="nil"/>
                  </w:tcBorders>
                  <w:vAlign w:val="center"/>
                </w:tcPr>
                <w:p w14:paraId="09013A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664" w:type="pct"/>
                  <w:tcBorders>
                    <w:tl2br w:val="nil"/>
                    <w:tr2bl w:val="nil"/>
                  </w:tcBorders>
                  <w:vAlign w:val="center"/>
                </w:tcPr>
                <w:p w14:paraId="2347C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2~8</w:t>
                  </w:r>
                </w:p>
              </w:tc>
              <w:tc>
                <w:tcPr>
                  <w:tcW w:w="886" w:type="pct"/>
                  <w:tcBorders>
                    <w:tl2br w:val="nil"/>
                    <w:tr2bl w:val="nil"/>
                  </w:tcBorders>
                  <w:vAlign w:val="center"/>
                </w:tcPr>
                <w:p w14:paraId="49C41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0.00031~0.0012</w:t>
                  </w:r>
                </w:p>
              </w:tc>
              <w:tc>
                <w:tcPr>
                  <w:tcW w:w="569" w:type="pct"/>
                  <w:tcBorders>
                    <w:tl2br w:val="nil"/>
                    <w:tr2bl w:val="nil"/>
                  </w:tcBorders>
                  <w:shd w:val="clear" w:color="auto" w:fill="auto"/>
                  <w:vAlign w:val="center"/>
                </w:tcPr>
                <w:p w14:paraId="5B4652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1E25B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083B9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499362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地面清洁污水</w:t>
                  </w:r>
                </w:p>
              </w:tc>
              <w:tc>
                <w:tcPr>
                  <w:tcW w:w="533" w:type="pct"/>
                  <w:vMerge w:val="restart"/>
                  <w:tcBorders>
                    <w:tl2br w:val="nil"/>
                    <w:tr2bl w:val="nil"/>
                  </w:tcBorders>
                  <w:vAlign w:val="center"/>
                </w:tcPr>
                <w:p w14:paraId="1501A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78.84</w:t>
                  </w:r>
                </w:p>
              </w:tc>
              <w:tc>
                <w:tcPr>
                  <w:tcW w:w="476" w:type="pct"/>
                  <w:tcBorders>
                    <w:tl2br w:val="nil"/>
                    <w:tr2bl w:val="nil"/>
                  </w:tcBorders>
                  <w:shd w:val="clear" w:color="auto" w:fill="auto"/>
                  <w:vAlign w:val="center"/>
                </w:tcPr>
                <w:p w14:paraId="4641F58E">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pH</w:t>
                  </w:r>
                </w:p>
              </w:tc>
              <w:tc>
                <w:tcPr>
                  <w:tcW w:w="478" w:type="pct"/>
                  <w:tcBorders>
                    <w:tl2br w:val="nil"/>
                    <w:tr2bl w:val="nil"/>
                  </w:tcBorders>
                  <w:shd w:val="clear" w:color="auto" w:fill="auto"/>
                  <w:vAlign w:val="center"/>
                </w:tcPr>
                <w:p w14:paraId="320E5AD2">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6~9</w:t>
                  </w:r>
                </w:p>
              </w:tc>
              <w:tc>
                <w:tcPr>
                  <w:tcW w:w="595" w:type="pct"/>
                  <w:tcBorders>
                    <w:tl2br w:val="nil"/>
                    <w:tr2bl w:val="nil"/>
                  </w:tcBorders>
                  <w:shd w:val="clear" w:color="auto" w:fill="auto"/>
                  <w:vAlign w:val="center"/>
                </w:tcPr>
                <w:p w14:paraId="547FE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664" w:type="pct"/>
                  <w:tcBorders>
                    <w:tl2br w:val="nil"/>
                    <w:tr2bl w:val="nil"/>
                  </w:tcBorders>
                  <w:shd w:val="clear" w:color="auto" w:fill="auto"/>
                  <w:vAlign w:val="center"/>
                </w:tcPr>
                <w:p w14:paraId="3C0C39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0AD134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7ED5E0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0155FB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4230C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653D9E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21AACB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3AF701C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COD</w:t>
                  </w:r>
                </w:p>
              </w:tc>
              <w:tc>
                <w:tcPr>
                  <w:tcW w:w="478" w:type="pct"/>
                  <w:tcBorders>
                    <w:tl2br w:val="nil"/>
                    <w:tr2bl w:val="nil"/>
                  </w:tcBorders>
                  <w:vAlign w:val="center"/>
                </w:tcPr>
                <w:p w14:paraId="2EAA7E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400</w:t>
                  </w:r>
                </w:p>
              </w:tc>
              <w:tc>
                <w:tcPr>
                  <w:tcW w:w="595" w:type="pct"/>
                  <w:tcBorders>
                    <w:tl2br w:val="nil"/>
                    <w:tr2bl w:val="nil"/>
                  </w:tcBorders>
                  <w:vAlign w:val="center"/>
                </w:tcPr>
                <w:p w14:paraId="27E8E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0.032</w:t>
                  </w:r>
                </w:p>
              </w:tc>
              <w:tc>
                <w:tcPr>
                  <w:tcW w:w="664" w:type="pct"/>
                  <w:tcBorders>
                    <w:tl2br w:val="nil"/>
                    <w:tr2bl w:val="nil"/>
                  </w:tcBorders>
                  <w:shd w:val="clear" w:color="auto" w:fill="auto"/>
                  <w:vAlign w:val="center"/>
                </w:tcPr>
                <w:p w14:paraId="647A75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3C2F77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59BC9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4D6E87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4874C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3A3389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12C67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6DCE202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SS</w:t>
                  </w:r>
                </w:p>
              </w:tc>
              <w:tc>
                <w:tcPr>
                  <w:tcW w:w="478" w:type="pct"/>
                  <w:tcBorders>
                    <w:tl2br w:val="nil"/>
                    <w:tr2bl w:val="nil"/>
                  </w:tcBorders>
                  <w:vAlign w:val="center"/>
                </w:tcPr>
                <w:p w14:paraId="25A08A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350</w:t>
                  </w:r>
                </w:p>
              </w:tc>
              <w:tc>
                <w:tcPr>
                  <w:tcW w:w="595" w:type="pct"/>
                  <w:tcBorders>
                    <w:tl2br w:val="nil"/>
                    <w:tr2bl w:val="nil"/>
                  </w:tcBorders>
                  <w:vAlign w:val="center"/>
                </w:tcPr>
                <w:p w14:paraId="6B7C17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0.028</w:t>
                  </w:r>
                </w:p>
              </w:tc>
              <w:tc>
                <w:tcPr>
                  <w:tcW w:w="664" w:type="pct"/>
                  <w:tcBorders>
                    <w:tl2br w:val="nil"/>
                    <w:tr2bl w:val="nil"/>
                  </w:tcBorders>
                  <w:shd w:val="clear" w:color="auto" w:fill="auto"/>
                  <w:vAlign w:val="center"/>
                </w:tcPr>
                <w:p w14:paraId="10DB4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47F249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329949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0BF1F4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1004E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0A8ED4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7C4358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vAlign w:val="center"/>
                </w:tcPr>
                <w:p w14:paraId="6B3746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BOD</w:t>
                  </w:r>
                  <w:r>
                    <w:rPr>
                      <w:rFonts w:hint="eastAsia" w:cs="Times New Roman"/>
                      <w:b w:val="0"/>
                      <w:bCs/>
                      <w:spacing w:val="0"/>
                      <w:sz w:val="21"/>
                      <w:szCs w:val="21"/>
                      <w:vertAlign w:val="subscript"/>
                      <w:lang w:val="en-US" w:eastAsia="zh-CN"/>
                    </w:rPr>
                    <w:t>5</w:t>
                  </w:r>
                </w:p>
              </w:tc>
              <w:tc>
                <w:tcPr>
                  <w:tcW w:w="478" w:type="pct"/>
                  <w:tcBorders>
                    <w:tl2br w:val="nil"/>
                    <w:tr2bl w:val="nil"/>
                  </w:tcBorders>
                  <w:vAlign w:val="center"/>
                </w:tcPr>
                <w:p w14:paraId="3842D5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400</w:t>
                  </w:r>
                </w:p>
              </w:tc>
              <w:tc>
                <w:tcPr>
                  <w:tcW w:w="595" w:type="pct"/>
                  <w:tcBorders>
                    <w:tl2br w:val="nil"/>
                    <w:tr2bl w:val="nil"/>
                  </w:tcBorders>
                  <w:vAlign w:val="center"/>
                </w:tcPr>
                <w:p w14:paraId="5A5F8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0.032</w:t>
                  </w:r>
                </w:p>
              </w:tc>
              <w:tc>
                <w:tcPr>
                  <w:tcW w:w="664" w:type="pct"/>
                  <w:tcBorders>
                    <w:tl2br w:val="nil"/>
                    <w:tr2bl w:val="nil"/>
                  </w:tcBorders>
                  <w:shd w:val="clear" w:color="auto" w:fill="auto"/>
                  <w:vAlign w:val="center"/>
                </w:tcPr>
                <w:p w14:paraId="21F9D3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6D59A2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538ED8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71D48E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41599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6B83B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工服清洗污水</w:t>
                  </w:r>
                </w:p>
              </w:tc>
              <w:tc>
                <w:tcPr>
                  <w:tcW w:w="533" w:type="pct"/>
                  <w:vMerge w:val="restart"/>
                  <w:tcBorders>
                    <w:tl2br w:val="nil"/>
                    <w:tr2bl w:val="nil"/>
                  </w:tcBorders>
                  <w:vAlign w:val="center"/>
                </w:tcPr>
                <w:p w14:paraId="4B1EF2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98.55</w:t>
                  </w:r>
                </w:p>
              </w:tc>
              <w:tc>
                <w:tcPr>
                  <w:tcW w:w="476" w:type="pct"/>
                  <w:tcBorders>
                    <w:tl2br w:val="nil"/>
                    <w:tr2bl w:val="nil"/>
                  </w:tcBorders>
                  <w:shd w:val="clear" w:color="auto" w:fill="auto"/>
                  <w:vAlign w:val="center"/>
                </w:tcPr>
                <w:p w14:paraId="5433F8F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pH</w:t>
                  </w:r>
                </w:p>
              </w:tc>
              <w:tc>
                <w:tcPr>
                  <w:tcW w:w="478" w:type="pct"/>
                  <w:tcBorders>
                    <w:tl2br w:val="nil"/>
                    <w:tr2bl w:val="nil"/>
                  </w:tcBorders>
                  <w:shd w:val="clear" w:color="auto" w:fill="auto"/>
                  <w:vAlign w:val="center"/>
                </w:tcPr>
                <w:p w14:paraId="4CFE0C00">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6~9</w:t>
                  </w:r>
                </w:p>
              </w:tc>
              <w:tc>
                <w:tcPr>
                  <w:tcW w:w="595" w:type="pct"/>
                  <w:tcBorders>
                    <w:tl2br w:val="nil"/>
                    <w:tr2bl w:val="nil"/>
                  </w:tcBorders>
                  <w:vAlign w:val="center"/>
                </w:tcPr>
                <w:p w14:paraId="2376CA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664" w:type="pct"/>
                  <w:tcBorders>
                    <w:tl2br w:val="nil"/>
                    <w:tr2bl w:val="nil"/>
                  </w:tcBorders>
                  <w:shd w:val="clear" w:color="auto" w:fill="auto"/>
                  <w:vAlign w:val="center"/>
                </w:tcPr>
                <w:p w14:paraId="6E0B2D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438AA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2E551C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36F686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263D6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7E3F64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696466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5161831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COD</w:t>
                  </w:r>
                </w:p>
              </w:tc>
              <w:tc>
                <w:tcPr>
                  <w:tcW w:w="478" w:type="pct"/>
                  <w:tcBorders>
                    <w:tl2br w:val="nil"/>
                    <w:tr2bl w:val="nil"/>
                  </w:tcBorders>
                  <w:shd w:val="clear" w:color="auto" w:fill="auto"/>
                  <w:vAlign w:val="center"/>
                </w:tcPr>
                <w:p w14:paraId="0486435D">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300</w:t>
                  </w:r>
                </w:p>
              </w:tc>
              <w:tc>
                <w:tcPr>
                  <w:tcW w:w="595" w:type="pct"/>
                  <w:tcBorders>
                    <w:tl2br w:val="nil"/>
                    <w:tr2bl w:val="nil"/>
                  </w:tcBorders>
                  <w:vAlign w:val="center"/>
                </w:tcPr>
                <w:p w14:paraId="6F063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0.03</w:t>
                  </w:r>
                </w:p>
              </w:tc>
              <w:tc>
                <w:tcPr>
                  <w:tcW w:w="664" w:type="pct"/>
                  <w:tcBorders>
                    <w:tl2br w:val="nil"/>
                    <w:tr2bl w:val="nil"/>
                  </w:tcBorders>
                  <w:shd w:val="clear" w:color="auto" w:fill="auto"/>
                  <w:vAlign w:val="center"/>
                </w:tcPr>
                <w:p w14:paraId="668347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016D9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7B63CF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5FB88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51005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60AD9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4A505B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712378F2">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SS</w:t>
                  </w:r>
                </w:p>
              </w:tc>
              <w:tc>
                <w:tcPr>
                  <w:tcW w:w="478" w:type="pct"/>
                  <w:tcBorders>
                    <w:tl2br w:val="nil"/>
                    <w:tr2bl w:val="nil"/>
                  </w:tcBorders>
                  <w:shd w:val="clear" w:color="auto" w:fill="auto"/>
                  <w:vAlign w:val="center"/>
                </w:tcPr>
                <w:p w14:paraId="3A782D95">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350</w:t>
                  </w:r>
                </w:p>
              </w:tc>
              <w:tc>
                <w:tcPr>
                  <w:tcW w:w="595" w:type="pct"/>
                  <w:tcBorders>
                    <w:tl2br w:val="nil"/>
                    <w:tr2bl w:val="nil"/>
                  </w:tcBorders>
                  <w:vAlign w:val="center"/>
                </w:tcPr>
                <w:p w14:paraId="3F77A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0.034</w:t>
                  </w:r>
                </w:p>
              </w:tc>
              <w:tc>
                <w:tcPr>
                  <w:tcW w:w="664" w:type="pct"/>
                  <w:tcBorders>
                    <w:tl2br w:val="nil"/>
                    <w:tr2bl w:val="nil"/>
                  </w:tcBorders>
                  <w:shd w:val="clear" w:color="auto" w:fill="auto"/>
                  <w:vAlign w:val="center"/>
                </w:tcPr>
                <w:p w14:paraId="190DF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7B203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28166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07BE07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72985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0AB675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59894C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0868B2D4">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LAS</w:t>
                  </w:r>
                </w:p>
              </w:tc>
              <w:tc>
                <w:tcPr>
                  <w:tcW w:w="478" w:type="pct"/>
                  <w:tcBorders>
                    <w:tl2br w:val="nil"/>
                    <w:tr2bl w:val="nil"/>
                  </w:tcBorders>
                  <w:shd w:val="clear" w:color="auto" w:fill="auto"/>
                  <w:vAlign w:val="center"/>
                </w:tcPr>
                <w:p w14:paraId="5E309FE1">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30</w:t>
                  </w:r>
                </w:p>
              </w:tc>
              <w:tc>
                <w:tcPr>
                  <w:tcW w:w="595" w:type="pct"/>
                  <w:tcBorders>
                    <w:tl2br w:val="nil"/>
                    <w:tr2bl w:val="nil"/>
                  </w:tcBorders>
                  <w:vAlign w:val="center"/>
                </w:tcPr>
                <w:p w14:paraId="13937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0.003</w:t>
                  </w:r>
                </w:p>
              </w:tc>
              <w:tc>
                <w:tcPr>
                  <w:tcW w:w="664" w:type="pct"/>
                  <w:tcBorders>
                    <w:tl2br w:val="nil"/>
                    <w:tr2bl w:val="nil"/>
                  </w:tcBorders>
                  <w:shd w:val="clear" w:color="auto" w:fill="auto"/>
                  <w:vAlign w:val="center"/>
                </w:tcPr>
                <w:p w14:paraId="6607C6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2D6464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4984FD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3FCF87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78619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B4C07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0B5339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75A6C75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总磷</w:t>
                  </w:r>
                </w:p>
              </w:tc>
              <w:tc>
                <w:tcPr>
                  <w:tcW w:w="478" w:type="pct"/>
                  <w:tcBorders>
                    <w:tl2br w:val="nil"/>
                    <w:tr2bl w:val="nil"/>
                  </w:tcBorders>
                  <w:shd w:val="clear" w:color="auto" w:fill="auto"/>
                  <w:vAlign w:val="center"/>
                </w:tcPr>
                <w:p w14:paraId="18B937D7">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10</w:t>
                  </w:r>
                </w:p>
              </w:tc>
              <w:tc>
                <w:tcPr>
                  <w:tcW w:w="595" w:type="pct"/>
                  <w:tcBorders>
                    <w:tl2br w:val="nil"/>
                    <w:tr2bl w:val="nil"/>
                  </w:tcBorders>
                  <w:vAlign w:val="center"/>
                </w:tcPr>
                <w:p w14:paraId="49E62D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0.001</w:t>
                  </w:r>
                </w:p>
              </w:tc>
              <w:tc>
                <w:tcPr>
                  <w:tcW w:w="664" w:type="pct"/>
                  <w:tcBorders>
                    <w:tl2br w:val="nil"/>
                    <w:tr2bl w:val="nil"/>
                  </w:tcBorders>
                  <w:shd w:val="clear" w:color="auto" w:fill="auto"/>
                  <w:vAlign w:val="center"/>
                </w:tcPr>
                <w:p w14:paraId="15758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886" w:type="pct"/>
                  <w:tcBorders>
                    <w:tl2br w:val="nil"/>
                    <w:tr2bl w:val="nil"/>
                  </w:tcBorders>
                  <w:shd w:val="clear" w:color="auto" w:fill="auto"/>
                  <w:vAlign w:val="center"/>
                </w:tcPr>
                <w:p w14:paraId="00F375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646A1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4" w:type="pct"/>
                  <w:tcBorders>
                    <w:tl2br w:val="nil"/>
                    <w:tr2bl w:val="nil"/>
                  </w:tcBorders>
                  <w:shd w:val="clear" w:color="auto" w:fill="auto"/>
                  <w:vAlign w:val="center"/>
                </w:tcPr>
                <w:p w14:paraId="52BDB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7D3E1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restart"/>
                  <w:tcBorders>
                    <w:tl2br w:val="nil"/>
                    <w:tr2bl w:val="nil"/>
                  </w:tcBorders>
                  <w:vAlign w:val="center"/>
                </w:tcPr>
                <w:p w14:paraId="0C3EBC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综合废水</w:t>
                  </w:r>
                </w:p>
              </w:tc>
              <w:tc>
                <w:tcPr>
                  <w:tcW w:w="533" w:type="pct"/>
                  <w:vMerge w:val="restart"/>
                  <w:tcBorders>
                    <w:tl2br w:val="nil"/>
                    <w:tr2bl w:val="nil"/>
                  </w:tcBorders>
                  <w:vAlign w:val="center"/>
                </w:tcPr>
                <w:p w14:paraId="6E6E8B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474.6825</w:t>
                  </w:r>
                </w:p>
              </w:tc>
              <w:tc>
                <w:tcPr>
                  <w:tcW w:w="476" w:type="pct"/>
                  <w:tcBorders>
                    <w:tl2br w:val="nil"/>
                    <w:tr2bl w:val="nil"/>
                  </w:tcBorders>
                  <w:shd w:val="clear" w:color="auto" w:fill="auto"/>
                  <w:vAlign w:val="center"/>
                </w:tcPr>
                <w:p w14:paraId="67C118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pH</w:t>
                  </w:r>
                </w:p>
              </w:tc>
              <w:tc>
                <w:tcPr>
                  <w:tcW w:w="478" w:type="pct"/>
                  <w:tcBorders>
                    <w:tl2br w:val="nil"/>
                    <w:tr2bl w:val="nil"/>
                  </w:tcBorders>
                  <w:vAlign w:val="center"/>
                </w:tcPr>
                <w:p w14:paraId="39C433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6~9</w:t>
                  </w:r>
                </w:p>
              </w:tc>
              <w:tc>
                <w:tcPr>
                  <w:tcW w:w="595" w:type="pct"/>
                  <w:tcBorders>
                    <w:tl2br w:val="nil"/>
                    <w:tr2bl w:val="nil"/>
                  </w:tcBorders>
                  <w:vAlign w:val="center"/>
                </w:tcPr>
                <w:p w14:paraId="4B4E4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w:t>
                  </w:r>
                </w:p>
              </w:tc>
              <w:tc>
                <w:tcPr>
                  <w:tcW w:w="664" w:type="pct"/>
                  <w:tcBorders>
                    <w:tl2br w:val="nil"/>
                    <w:tr2bl w:val="nil"/>
                  </w:tcBorders>
                  <w:shd w:val="clear" w:color="auto" w:fill="auto"/>
                  <w:vAlign w:val="center"/>
                </w:tcPr>
                <w:p w14:paraId="78F6A7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6~9</w:t>
                  </w:r>
                </w:p>
              </w:tc>
              <w:tc>
                <w:tcPr>
                  <w:tcW w:w="886" w:type="pct"/>
                  <w:tcBorders>
                    <w:tl2br w:val="nil"/>
                    <w:tr2bl w:val="nil"/>
                  </w:tcBorders>
                  <w:shd w:val="clear" w:color="auto" w:fill="auto"/>
                  <w:vAlign w:val="center"/>
                </w:tcPr>
                <w:p w14:paraId="050156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c>
                <w:tcPr>
                  <w:tcW w:w="569" w:type="pct"/>
                  <w:tcBorders>
                    <w:tl2br w:val="nil"/>
                    <w:tr2bl w:val="nil"/>
                  </w:tcBorders>
                  <w:shd w:val="clear" w:color="auto" w:fill="auto"/>
                  <w:vAlign w:val="center"/>
                </w:tcPr>
                <w:p w14:paraId="38DA85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6~9</w:t>
                  </w:r>
                </w:p>
              </w:tc>
              <w:tc>
                <w:tcPr>
                  <w:tcW w:w="564" w:type="pct"/>
                  <w:tcBorders>
                    <w:tl2br w:val="nil"/>
                    <w:tr2bl w:val="nil"/>
                  </w:tcBorders>
                  <w:shd w:val="clear" w:color="auto" w:fill="auto"/>
                  <w:vAlign w:val="center"/>
                </w:tcPr>
                <w:p w14:paraId="5D31C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w:t>
                  </w:r>
                </w:p>
              </w:tc>
            </w:tr>
            <w:tr w14:paraId="6DFA2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582CD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312DF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2CA6E9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COD</w:t>
                  </w:r>
                </w:p>
              </w:tc>
              <w:tc>
                <w:tcPr>
                  <w:tcW w:w="478" w:type="pct"/>
                  <w:tcBorders>
                    <w:tl2br w:val="nil"/>
                    <w:tr2bl w:val="nil"/>
                  </w:tcBorders>
                  <w:vAlign w:val="center"/>
                </w:tcPr>
                <w:p w14:paraId="4394D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328</w:t>
                  </w:r>
                </w:p>
              </w:tc>
              <w:tc>
                <w:tcPr>
                  <w:tcW w:w="595" w:type="pct"/>
                  <w:tcBorders>
                    <w:tl2br w:val="nil"/>
                    <w:tr2bl w:val="nil"/>
                  </w:tcBorders>
                  <w:vAlign w:val="center"/>
                </w:tcPr>
                <w:p w14:paraId="3D5BD9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0.156</w:t>
                  </w:r>
                </w:p>
              </w:tc>
              <w:tc>
                <w:tcPr>
                  <w:tcW w:w="664" w:type="pct"/>
                  <w:tcBorders>
                    <w:tl2br w:val="nil"/>
                    <w:tr2bl w:val="nil"/>
                  </w:tcBorders>
                  <w:vAlign w:val="center"/>
                </w:tcPr>
                <w:p w14:paraId="0C1C0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300</w:t>
                  </w:r>
                </w:p>
              </w:tc>
              <w:tc>
                <w:tcPr>
                  <w:tcW w:w="886" w:type="pct"/>
                  <w:tcBorders>
                    <w:tl2br w:val="nil"/>
                    <w:tr2bl w:val="nil"/>
                  </w:tcBorders>
                  <w:vAlign w:val="center"/>
                </w:tcPr>
                <w:p w14:paraId="6DCB7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0.142</w:t>
                  </w:r>
                </w:p>
              </w:tc>
              <w:tc>
                <w:tcPr>
                  <w:tcW w:w="569" w:type="pct"/>
                  <w:tcBorders>
                    <w:tl2br w:val="nil"/>
                    <w:tr2bl w:val="nil"/>
                  </w:tcBorders>
                  <w:vAlign w:val="center"/>
                </w:tcPr>
                <w:p w14:paraId="45E26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30</w:t>
                  </w:r>
                </w:p>
              </w:tc>
              <w:tc>
                <w:tcPr>
                  <w:tcW w:w="564" w:type="pct"/>
                  <w:tcBorders>
                    <w:tl2br w:val="nil"/>
                    <w:tr2bl w:val="nil"/>
                  </w:tcBorders>
                  <w:vAlign w:val="center"/>
                </w:tcPr>
                <w:p w14:paraId="3F8311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0.014</w:t>
                  </w:r>
                </w:p>
              </w:tc>
            </w:tr>
            <w:tr w14:paraId="60500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1B5D74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64F157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44873D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BOD</w:t>
                  </w:r>
                  <w:r>
                    <w:rPr>
                      <w:rFonts w:hint="eastAsia" w:cs="Times New Roman"/>
                      <w:b w:val="0"/>
                      <w:bCs/>
                      <w:spacing w:val="0"/>
                      <w:sz w:val="21"/>
                      <w:szCs w:val="21"/>
                      <w:vertAlign w:val="subscript"/>
                      <w:lang w:val="en-US" w:eastAsia="zh-CN"/>
                    </w:rPr>
                    <w:t>5</w:t>
                  </w:r>
                </w:p>
              </w:tc>
              <w:tc>
                <w:tcPr>
                  <w:tcW w:w="478" w:type="pct"/>
                  <w:tcBorders>
                    <w:tl2br w:val="nil"/>
                    <w:tr2bl w:val="nil"/>
                  </w:tcBorders>
                  <w:vAlign w:val="center"/>
                </w:tcPr>
                <w:p w14:paraId="385B26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213</w:t>
                  </w:r>
                </w:p>
              </w:tc>
              <w:tc>
                <w:tcPr>
                  <w:tcW w:w="595" w:type="pct"/>
                  <w:tcBorders>
                    <w:tl2br w:val="nil"/>
                    <w:tr2bl w:val="nil"/>
                  </w:tcBorders>
                  <w:vAlign w:val="center"/>
                </w:tcPr>
                <w:p w14:paraId="2CBA99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0.101</w:t>
                  </w:r>
                </w:p>
              </w:tc>
              <w:tc>
                <w:tcPr>
                  <w:tcW w:w="664" w:type="pct"/>
                  <w:tcBorders>
                    <w:tl2br w:val="nil"/>
                    <w:tr2bl w:val="nil"/>
                  </w:tcBorders>
                  <w:vAlign w:val="center"/>
                </w:tcPr>
                <w:p w14:paraId="02BA9D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150</w:t>
                  </w:r>
                </w:p>
              </w:tc>
              <w:tc>
                <w:tcPr>
                  <w:tcW w:w="886" w:type="pct"/>
                  <w:tcBorders>
                    <w:tl2br w:val="nil"/>
                    <w:tr2bl w:val="nil"/>
                  </w:tcBorders>
                  <w:vAlign w:val="center"/>
                </w:tcPr>
                <w:p w14:paraId="695CB6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0.071</w:t>
                  </w:r>
                </w:p>
              </w:tc>
              <w:tc>
                <w:tcPr>
                  <w:tcW w:w="569" w:type="pct"/>
                  <w:tcBorders>
                    <w:tl2br w:val="nil"/>
                    <w:tr2bl w:val="nil"/>
                  </w:tcBorders>
                  <w:vAlign w:val="center"/>
                </w:tcPr>
                <w:p w14:paraId="4EE80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6</w:t>
                  </w:r>
                </w:p>
              </w:tc>
              <w:tc>
                <w:tcPr>
                  <w:tcW w:w="564" w:type="pct"/>
                  <w:tcBorders>
                    <w:tl2br w:val="nil"/>
                    <w:tr2bl w:val="nil"/>
                  </w:tcBorders>
                  <w:vAlign w:val="center"/>
                </w:tcPr>
                <w:p w14:paraId="3DC24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0.0028</w:t>
                  </w:r>
                </w:p>
              </w:tc>
            </w:tr>
            <w:tr w14:paraId="6B3D5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2211C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1AE8CD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1FA029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氨氮</w:t>
                  </w:r>
                </w:p>
              </w:tc>
              <w:tc>
                <w:tcPr>
                  <w:tcW w:w="478" w:type="pct"/>
                  <w:tcBorders>
                    <w:tl2br w:val="nil"/>
                    <w:tr2bl w:val="nil"/>
                  </w:tcBorders>
                  <w:vAlign w:val="center"/>
                </w:tcPr>
                <w:p w14:paraId="42947C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30</w:t>
                  </w:r>
                </w:p>
              </w:tc>
              <w:tc>
                <w:tcPr>
                  <w:tcW w:w="595" w:type="pct"/>
                  <w:tcBorders>
                    <w:tl2br w:val="nil"/>
                    <w:tr2bl w:val="nil"/>
                  </w:tcBorders>
                  <w:vAlign w:val="center"/>
                </w:tcPr>
                <w:p w14:paraId="37A65A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0.014</w:t>
                  </w:r>
                </w:p>
              </w:tc>
              <w:tc>
                <w:tcPr>
                  <w:tcW w:w="664" w:type="pct"/>
                  <w:tcBorders>
                    <w:tl2br w:val="nil"/>
                    <w:tr2bl w:val="nil"/>
                  </w:tcBorders>
                  <w:vAlign w:val="center"/>
                </w:tcPr>
                <w:p w14:paraId="4A8AF3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20</w:t>
                  </w:r>
                </w:p>
              </w:tc>
              <w:tc>
                <w:tcPr>
                  <w:tcW w:w="886" w:type="pct"/>
                  <w:tcBorders>
                    <w:tl2br w:val="nil"/>
                    <w:tr2bl w:val="nil"/>
                  </w:tcBorders>
                  <w:vAlign w:val="center"/>
                </w:tcPr>
                <w:p w14:paraId="045DF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0.0095</w:t>
                  </w:r>
                </w:p>
              </w:tc>
              <w:tc>
                <w:tcPr>
                  <w:tcW w:w="569" w:type="pct"/>
                  <w:tcBorders>
                    <w:tl2br w:val="nil"/>
                    <w:tr2bl w:val="nil"/>
                  </w:tcBorders>
                  <w:vAlign w:val="center"/>
                </w:tcPr>
                <w:p w14:paraId="42D842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1.5</w:t>
                  </w:r>
                </w:p>
              </w:tc>
              <w:tc>
                <w:tcPr>
                  <w:tcW w:w="564" w:type="pct"/>
                  <w:tcBorders>
                    <w:tl2br w:val="nil"/>
                    <w:tr2bl w:val="nil"/>
                  </w:tcBorders>
                  <w:vAlign w:val="center"/>
                </w:tcPr>
                <w:p w14:paraId="6B9C80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0.0007</w:t>
                  </w:r>
                </w:p>
              </w:tc>
            </w:tr>
            <w:tr w14:paraId="3C53D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0E8FA6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76CACF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547846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SS</w:t>
                  </w:r>
                </w:p>
              </w:tc>
              <w:tc>
                <w:tcPr>
                  <w:tcW w:w="478" w:type="pct"/>
                  <w:tcBorders>
                    <w:tl2br w:val="nil"/>
                    <w:tr2bl w:val="nil"/>
                  </w:tcBorders>
                  <w:vAlign w:val="center"/>
                </w:tcPr>
                <w:p w14:paraId="70E2FC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238</w:t>
                  </w:r>
                </w:p>
              </w:tc>
              <w:tc>
                <w:tcPr>
                  <w:tcW w:w="595" w:type="pct"/>
                  <w:tcBorders>
                    <w:tl2br w:val="nil"/>
                    <w:tr2bl w:val="nil"/>
                  </w:tcBorders>
                  <w:vAlign w:val="center"/>
                </w:tcPr>
                <w:p w14:paraId="497CF7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0.113</w:t>
                  </w:r>
                </w:p>
              </w:tc>
              <w:tc>
                <w:tcPr>
                  <w:tcW w:w="664" w:type="pct"/>
                  <w:tcBorders>
                    <w:tl2br w:val="nil"/>
                    <w:tr2bl w:val="nil"/>
                  </w:tcBorders>
                  <w:vAlign w:val="center"/>
                </w:tcPr>
                <w:p w14:paraId="440364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130</w:t>
                  </w:r>
                </w:p>
              </w:tc>
              <w:tc>
                <w:tcPr>
                  <w:tcW w:w="886" w:type="pct"/>
                  <w:tcBorders>
                    <w:tl2br w:val="nil"/>
                    <w:tr2bl w:val="nil"/>
                  </w:tcBorders>
                  <w:vAlign w:val="center"/>
                </w:tcPr>
                <w:p w14:paraId="095D5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0.062</w:t>
                  </w:r>
                </w:p>
              </w:tc>
              <w:tc>
                <w:tcPr>
                  <w:tcW w:w="569" w:type="pct"/>
                  <w:tcBorders>
                    <w:tl2br w:val="nil"/>
                    <w:tr2bl w:val="nil"/>
                  </w:tcBorders>
                  <w:vAlign w:val="center"/>
                </w:tcPr>
                <w:p w14:paraId="332255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10</w:t>
                  </w:r>
                </w:p>
              </w:tc>
              <w:tc>
                <w:tcPr>
                  <w:tcW w:w="564" w:type="pct"/>
                  <w:tcBorders>
                    <w:tl2br w:val="nil"/>
                    <w:tr2bl w:val="nil"/>
                  </w:tcBorders>
                  <w:vAlign w:val="center"/>
                </w:tcPr>
                <w:p w14:paraId="4AE063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0.0047</w:t>
                  </w:r>
                </w:p>
              </w:tc>
            </w:tr>
            <w:tr w14:paraId="3C207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 w:type="pct"/>
                  <w:vMerge w:val="continue"/>
                  <w:tcBorders>
                    <w:tl2br w:val="nil"/>
                    <w:tr2bl w:val="nil"/>
                  </w:tcBorders>
                  <w:vAlign w:val="center"/>
                </w:tcPr>
                <w:p w14:paraId="314454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1252CC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3D940F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TP</w:t>
                  </w:r>
                </w:p>
              </w:tc>
              <w:tc>
                <w:tcPr>
                  <w:tcW w:w="478" w:type="pct"/>
                  <w:tcBorders>
                    <w:tl2br w:val="nil"/>
                    <w:tr2bl w:val="nil"/>
                  </w:tcBorders>
                  <w:shd w:val="clear" w:color="auto" w:fill="auto"/>
                  <w:vAlign w:val="center"/>
                </w:tcPr>
                <w:p w14:paraId="352D1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8</w:t>
                  </w:r>
                </w:p>
              </w:tc>
              <w:tc>
                <w:tcPr>
                  <w:tcW w:w="595" w:type="pct"/>
                  <w:tcBorders>
                    <w:tl2br w:val="nil"/>
                    <w:tr2bl w:val="nil"/>
                  </w:tcBorders>
                  <w:vAlign w:val="center"/>
                </w:tcPr>
                <w:p w14:paraId="790F45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0.004</w:t>
                  </w:r>
                </w:p>
              </w:tc>
              <w:tc>
                <w:tcPr>
                  <w:tcW w:w="664" w:type="pct"/>
                  <w:tcBorders>
                    <w:tl2br w:val="nil"/>
                    <w:tr2bl w:val="nil"/>
                  </w:tcBorders>
                  <w:vAlign w:val="center"/>
                </w:tcPr>
                <w:p w14:paraId="69CC13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7</w:t>
                  </w:r>
                </w:p>
              </w:tc>
              <w:tc>
                <w:tcPr>
                  <w:tcW w:w="886" w:type="pct"/>
                  <w:tcBorders>
                    <w:tl2br w:val="nil"/>
                    <w:tr2bl w:val="nil"/>
                  </w:tcBorders>
                  <w:vAlign w:val="center"/>
                </w:tcPr>
                <w:p w14:paraId="70C633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0.003</w:t>
                  </w:r>
                </w:p>
              </w:tc>
              <w:tc>
                <w:tcPr>
                  <w:tcW w:w="569" w:type="pct"/>
                  <w:tcBorders>
                    <w:tl2br w:val="nil"/>
                    <w:tr2bl w:val="nil"/>
                  </w:tcBorders>
                  <w:vAlign w:val="center"/>
                </w:tcPr>
                <w:p w14:paraId="61F56F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0.3</w:t>
                  </w:r>
                </w:p>
              </w:tc>
              <w:tc>
                <w:tcPr>
                  <w:tcW w:w="564" w:type="pct"/>
                  <w:tcBorders>
                    <w:tl2br w:val="nil"/>
                    <w:tr2bl w:val="nil"/>
                  </w:tcBorders>
                  <w:vAlign w:val="center"/>
                </w:tcPr>
                <w:p w14:paraId="61CBBC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0.00014</w:t>
                  </w:r>
                </w:p>
              </w:tc>
            </w:tr>
            <w:tr w14:paraId="1AD68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32" w:type="pct"/>
                  <w:vMerge w:val="continue"/>
                  <w:tcBorders>
                    <w:tl2br w:val="nil"/>
                    <w:tr2bl w:val="nil"/>
                  </w:tcBorders>
                  <w:vAlign w:val="center"/>
                </w:tcPr>
                <w:p w14:paraId="081443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37FF8B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4EA4E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粪大肠菌群</w:t>
                  </w:r>
                </w:p>
              </w:tc>
              <w:tc>
                <w:tcPr>
                  <w:tcW w:w="478" w:type="pct"/>
                  <w:tcBorders>
                    <w:tl2br w:val="nil"/>
                    <w:tr2bl w:val="nil"/>
                  </w:tcBorders>
                  <w:shd w:val="clear" w:color="auto" w:fill="auto"/>
                  <w:vAlign w:val="center"/>
                </w:tcPr>
                <w:p w14:paraId="664EB3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1931个/L</w:t>
                  </w:r>
                </w:p>
              </w:tc>
              <w:tc>
                <w:tcPr>
                  <w:tcW w:w="595" w:type="pct"/>
                  <w:tcBorders>
                    <w:tl2br w:val="nil"/>
                    <w:tr2bl w:val="nil"/>
                  </w:tcBorders>
                  <w:shd w:val="clear" w:color="auto" w:fill="auto"/>
                  <w:vAlign w:val="center"/>
                </w:tcPr>
                <w:p w14:paraId="7C89B7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9.17×10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个/L</w:t>
                  </w:r>
                </w:p>
              </w:tc>
              <w:tc>
                <w:tcPr>
                  <w:tcW w:w="664" w:type="pct"/>
                  <w:tcBorders>
                    <w:tl2br w:val="nil"/>
                    <w:tr2bl w:val="nil"/>
                  </w:tcBorders>
                  <w:shd w:val="clear" w:color="auto" w:fill="auto"/>
                  <w:vAlign w:val="center"/>
                </w:tcPr>
                <w:p w14:paraId="43F722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1931个/L</w:t>
                  </w:r>
                </w:p>
              </w:tc>
              <w:tc>
                <w:tcPr>
                  <w:tcW w:w="886" w:type="pct"/>
                  <w:tcBorders>
                    <w:tl2br w:val="nil"/>
                    <w:tr2bl w:val="nil"/>
                  </w:tcBorders>
                  <w:shd w:val="clear" w:color="auto" w:fill="auto"/>
                  <w:vAlign w:val="center"/>
                </w:tcPr>
                <w:p w14:paraId="1962F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9.17×10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个/L</w:t>
                  </w:r>
                </w:p>
              </w:tc>
              <w:tc>
                <w:tcPr>
                  <w:tcW w:w="569" w:type="pct"/>
                  <w:tcBorders>
                    <w:tl2br w:val="nil"/>
                    <w:tr2bl w:val="nil"/>
                  </w:tcBorders>
                  <w:shd w:val="clear" w:color="auto" w:fill="auto"/>
                  <w:vAlign w:val="center"/>
                </w:tcPr>
                <w:p w14:paraId="12F1E3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1000个/L</w:t>
                  </w:r>
                </w:p>
              </w:tc>
              <w:tc>
                <w:tcPr>
                  <w:tcW w:w="564" w:type="pct"/>
                  <w:tcBorders>
                    <w:tl2br w:val="nil"/>
                    <w:tr2bl w:val="nil"/>
                  </w:tcBorders>
                  <w:shd w:val="clear" w:color="auto" w:fill="auto"/>
                  <w:vAlign w:val="center"/>
                </w:tcPr>
                <w:p w14:paraId="2554A8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4.75×10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个/L</w:t>
                  </w:r>
                </w:p>
              </w:tc>
            </w:tr>
            <w:tr w14:paraId="59F4E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32" w:type="pct"/>
                  <w:vMerge w:val="continue"/>
                  <w:tcBorders>
                    <w:tl2br w:val="nil"/>
                    <w:tr2bl w:val="nil"/>
                  </w:tcBorders>
                  <w:vAlign w:val="center"/>
                </w:tcPr>
                <w:p w14:paraId="41C193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2AD91E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3C87F3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LAS</w:t>
                  </w:r>
                </w:p>
              </w:tc>
              <w:tc>
                <w:tcPr>
                  <w:tcW w:w="478" w:type="pct"/>
                  <w:tcBorders>
                    <w:tl2br w:val="nil"/>
                    <w:tr2bl w:val="nil"/>
                  </w:tcBorders>
                  <w:shd w:val="clear" w:color="auto" w:fill="auto"/>
                  <w:vAlign w:val="center"/>
                </w:tcPr>
                <w:p w14:paraId="0ED952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3</w:t>
                  </w:r>
                </w:p>
              </w:tc>
              <w:tc>
                <w:tcPr>
                  <w:tcW w:w="595" w:type="pct"/>
                  <w:tcBorders>
                    <w:tl2br w:val="nil"/>
                    <w:tr2bl w:val="nil"/>
                  </w:tcBorders>
                  <w:vAlign w:val="center"/>
                </w:tcPr>
                <w:p w14:paraId="349561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0.0014</w:t>
                  </w:r>
                </w:p>
              </w:tc>
              <w:tc>
                <w:tcPr>
                  <w:tcW w:w="664" w:type="pct"/>
                  <w:tcBorders>
                    <w:tl2br w:val="nil"/>
                    <w:tr2bl w:val="nil"/>
                  </w:tcBorders>
                  <w:vAlign w:val="center"/>
                </w:tcPr>
                <w:p w14:paraId="54CFC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3</w:t>
                  </w:r>
                </w:p>
              </w:tc>
              <w:tc>
                <w:tcPr>
                  <w:tcW w:w="886" w:type="pct"/>
                  <w:tcBorders>
                    <w:tl2br w:val="nil"/>
                    <w:tr2bl w:val="nil"/>
                  </w:tcBorders>
                  <w:shd w:val="clear" w:color="auto" w:fill="auto"/>
                  <w:vAlign w:val="center"/>
                </w:tcPr>
                <w:p w14:paraId="5E47FF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0.0014</w:t>
                  </w:r>
                </w:p>
              </w:tc>
              <w:tc>
                <w:tcPr>
                  <w:tcW w:w="569" w:type="pct"/>
                  <w:tcBorders>
                    <w:tl2br w:val="nil"/>
                    <w:tr2bl w:val="nil"/>
                  </w:tcBorders>
                  <w:vAlign w:val="center"/>
                </w:tcPr>
                <w:p w14:paraId="67866D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0.5</w:t>
                  </w:r>
                </w:p>
              </w:tc>
              <w:tc>
                <w:tcPr>
                  <w:tcW w:w="564" w:type="pct"/>
                  <w:tcBorders>
                    <w:tl2br w:val="nil"/>
                    <w:tr2bl w:val="nil"/>
                  </w:tcBorders>
                  <w:vAlign w:val="center"/>
                </w:tcPr>
                <w:p w14:paraId="638E07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sz w:val="21"/>
                      <w:szCs w:val="21"/>
                      <w:vertAlign w:val="baseline"/>
                      <w:lang w:val="en-US" w:eastAsia="zh-CN"/>
                    </w:rPr>
                  </w:pPr>
                  <w:r>
                    <w:rPr>
                      <w:rFonts w:hint="eastAsia" w:cs="Times New Roman"/>
                      <w:b w:val="0"/>
                      <w:bCs/>
                      <w:spacing w:val="0"/>
                      <w:sz w:val="21"/>
                      <w:szCs w:val="21"/>
                      <w:vertAlign w:val="baseline"/>
                      <w:lang w:val="en-US" w:eastAsia="zh-CN"/>
                    </w:rPr>
                    <w:t>0.00024</w:t>
                  </w:r>
                </w:p>
              </w:tc>
            </w:tr>
            <w:tr w14:paraId="36274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32" w:type="pct"/>
                  <w:vMerge w:val="continue"/>
                  <w:tcBorders>
                    <w:tl2br w:val="nil"/>
                    <w:tr2bl w:val="nil"/>
                  </w:tcBorders>
                  <w:vAlign w:val="center"/>
                </w:tcPr>
                <w:p w14:paraId="5EEF8A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533" w:type="pct"/>
                  <w:vMerge w:val="continue"/>
                  <w:tcBorders>
                    <w:tl2br w:val="nil"/>
                    <w:tr2bl w:val="nil"/>
                  </w:tcBorders>
                  <w:vAlign w:val="center"/>
                </w:tcPr>
                <w:p w14:paraId="17B62D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b w:val="0"/>
                      <w:bCs/>
                      <w:spacing w:val="0"/>
                      <w:sz w:val="21"/>
                      <w:szCs w:val="21"/>
                      <w:vertAlign w:val="baseline"/>
                    </w:rPr>
                  </w:pPr>
                </w:p>
              </w:tc>
              <w:tc>
                <w:tcPr>
                  <w:tcW w:w="476" w:type="pct"/>
                  <w:tcBorders>
                    <w:tl2br w:val="nil"/>
                    <w:tr2bl w:val="nil"/>
                  </w:tcBorders>
                  <w:shd w:val="clear" w:color="auto" w:fill="auto"/>
                  <w:vAlign w:val="center"/>
                </w:tcPr>
                <w:p w14:paraId="54F78C14">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478" w:type="pct"/>
                  <w:tcBorders>
                    <w:tl2br w:val="nil"/>
                    <w:tr2bl w:val="nil"/>
                  </w:tcBorders>
                  <w:shd w:val="clear" w:color="auto" w:fill="auto"/>
                  <w:vAlign w:val="center"/>
                </w:tcPr>
                <w:p w14:paraId="1694E013">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 xml:space="preserve">2 </w:t>
                  </w:r>
                </w:p>
              </w:tc>
              <w:tc>
                <w:tcPr>
                  <w:tcW w:w="595" w:type="pct"/>
                  <w:tcBorders>
                    <w:tl2br w:val="nil"/>
                    <w:tr2bl w:val="nil"/>
                  </w:tcBorders>
                  <w:shd w:val="clear" w:color="auto" w:fill="auto"/>
                  <w:vAlign w:val="center"/>
                </w:tcPr>
                <w:p w14:paraId="4AEDCB17">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0.00095</w:t>
                  </w:r>
                </w:p>
              </w:tc>
              <w:tc>
                <w:tcPr>
                  <w:tcW w:w="664" w:type="pct"/>
                  <w:tcBorders>
                    <w:tl2br w:val="nil"/>
                    <w:tr2bl w:val="nil"/>
                  </w:tcBorders>
                  <w:shd w:val="clear" w:color="auto" w:fill="auto"/>
                  <w:vAlign w:val="center"/>
                </w:tcPr>
                <w:p w14:paraId="672E0287">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886" w:type="pct"/>
                  <w:tcBorders>
                    <w:tl2br w:val="nil"/>
                    <w:tr2bl w:val="nil"/>
                  </w:tcBorders>
                  <w:shd w:val="clear" w:color="auto" w:fill="auto"/>
                  <w:vAlign w:val="center"/>
                </w:tcPr>
                <w:p w14:paraId="7DFCFC84">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0.00047</w:t>
                  </w:r>
                </w:p>
              </w:tc>
              <w:tc>
                <w:tcPr>
                  <w:tcW w:w="569" w:type="pct"/>
                  <w:tcBorders>
                    <w:tl2br w:val="nil"/>
                    <w:tr2bl w:val="nil"/>
                  </w:tcBorders>
                  <w:shd w:val="clear" w:color="auto" w:fill="auto"/>
                  <w:vAlign w:val="center"/>
                </w:tcPr>
                <w:p w14:paraId="500C781F">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w:t>
                  </w:r>
                </w:p>
              </w:tc>
              <w:tc>
                <w:tcPr>
                  <w:tcW w:w="564" w:type="pct"/>
                  <w:tcBorders>
                    <w:tl2br w:val="nil"/>
                    <w:tr2bl w:val="nil"/>
                  </w:tcBorders>
                  <w:shd w:val="clear" w:color="auto" w:fill="auto"/>
                  <w:vAlign w:val="center"/>
                </w:tcPr>
                <w:p w14:paraId="5FAD96E7">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default" w:cs="Times New Roman"/>
                      <w:snapToGrid w:val="0"/>
                      <w:color w:val="auto"/>
                      <w:kern w:val="2"/>
                      <w:sz w:val="21"/>
                      <w:szCs w:val="21"/>
                      <w:highlight w:val="none"/>
                      <w:lang w:val="en-US" w:eastAsia="zh-CN" w:bidi="ar-SA"/>
                    </w:rPr>
                    <w:t>/</w:t>
                  </w:r>
                </w:p>
              </w:tc>
            </w:tr>
            <w:tr w14:paraId="000FD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tcBorders>
                    <w:tl2br w:val="nil"/>
                    <w:tr2bl w:val="nil"/>
                  </w:tcBorders>
                  <w:vAlign w:val="center"/>
                </w:tcPr>
                <w:p w14:paraId="792184A1">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b w:val="0"/>
                      <w:bCs/>
                      <w:spacing w:val="0"/>
                      <w:sz w:val="21"/>
                      <w:szCs w:val="21"/>
                      <w:vertAlign w:val="baseline"/>
                      <w:lang w:eastAsia="zh-CN"/>
                    </w:rPr>
                  </w:pPr>
                  <w:r>
                    <w:rPr>
                      <w:rFonts w:hint="eastAsia" w:ascii="Times New Roman" w:hAnsi="Times New Roman" w:cs="Times New Roman"/>
                      <w:b w:val="0"/>
                      <w:bCs/>
                      <w:spacing w:val="0"/>
                      <w:sz w:val="21"/>
                      <w:szCs w:val="21"/>
                      <w:vertAlign w:val="baseline"/>
                    </w:rPr>
                    <w:t>注</w:t>
                  </w:r>
                  <w:r>
                    <w:rPr>
                      <w:rFonts w:hint="eastAsia" w:cs="Times New Roman"/>
                      <w:b w:val="0"/>
                      <w:bCs/>
                      <w:spacing w:val="0"/>
                      <w:sz w:val="21"/>
                      <w:szCs w:val="21"/>
                      <w:vertAlign w:val="baseline"/>
                      <w:lang w:eastAsia="zh-CN"/>
                    </w:rPr>
                    <w:t>：</w:t>
                  </w:r>
                  <w:r>
                    <w:rPr>
                      <w:rFonts w:hint="eastAsia" w:ascii="Times New Roman" w:hAnsi="Times New Roman" w:cs="Times New Roman"/>
                      <w:b w:val="0"/>
                      <w:bCs/>
                      <w:spacing w:val="0"/>
                      <w:sz w:val="21"/>
                      <w:szCs w:val="21"/>
                      <w:vertAlign w:val="baseline"/>
                    </w:rPr>
                    <w:t>总余氯在</w:t>
                  </w:r>
                  <w:r>
                    <w:rPr>
                      <w:rFonts w:hint="eastAsia" w:cs="Times New Roman"/>
                      <w:b w:val="0"/>
                      <w:bCs/>
                      <w:spacing w:val="0"/>
                      <w:sz w:val="21"/>
                      <w:szCs w:val="21"/>
                      <w:vertAlign w:val="baseline"/>
                      <w:lang w:eastAsia="zh-CN"/>
                    </w:rPr>
                    <w:t>消毒设施</w:t>
                  </w:r>
                  <w:r>
                    <w:rPr>
                      <w:rFonts w:hint="eastAsia" w:ascii="Times New Roman" w:hAnsi="Times New Roman" w:cs="Times New Roman"/>
                      <w:b w:val="0"/>
                      <w:bCs/>
                      <w:spacing w:val="0"/>
                      <w:sz w:val="21"/>
                      <w:szCs w:val="21"/>
                      <w:vertAlign w:val="baseline"/>
                    </w:rPr>
                    <w:t>排放口进行控制，</w:t>
                  </w:r>
                  <w:r>
                    <w:rPr>
                      <w:rFonts w:hint="eastAsia" w:cs="Times New Roman"/>
                      <w:b w:val="0"/>
                      <w:bCs/>
                      <w:spacing w:val="0"/>
                      <w:sz w:val="21"/>
                      <w:szCs w:val="21"/>
                      <w:vertAlign w:val="baseline"/>
                      <w:lang w:eastAsia="zh-CN"/>
                    </w:rPr>
                    <w:t>消毒设施</w:t>
                  </w:r>
                  <w:r>
                    <w:rPr>
                      <w:rFonts w:hint="eastAsia" w:ascii="Times New Roman" w:hAnsi="Times New Roman" w:cs="Times New Roman"/>
                      <w:b w:val="0"/>
                      <w:bCs/>
                      <w:spacing w:val="0"/>
                      <w:sz w:val="21"/>
                      <w:szCs w:val="21"/>
                      <w:vertAlign w:val="baseline"/>
                    </w:rPr>
                    <w:t>出水参照执行《医疗机构水污染物排放标准》</w:t>
                  </w:r>
                  <w:r>
                    <w:rPr>
                      <w:rFonts w:hint="eastAsia" w:cs="Times New Roman"/>
                      <w:b w:val="0"/>
                      <w:bCs/>
                      <w:spacing w:val="0"/>
                      <w:sz w:val="21"/>
                      <w:szCs w:val="21"/>
                      <w:vertAlign w:val="baseline"/>
                      <w:lang w:eastAsia="zh-CN"/>
                    </w:rPr>
                    <w:t>（</w:t>
                  </w:r>
                  <w:r>
                    <w:rPr>
                      <w:rFonts w:hint="eastAsia" w:ascii="Times New Roman" w:hAnsi="Times New Roman" w:cs="Times New Roman"/>
                      <w:b w:val="0"/>
                      <w:bCs/>
                      <w:spacing w:val="0"/>
                      <w:sz w:val="21"/>
                      <w:szCs w:val="21"/>
                      <w:vertAlign w:val="baseline"/>
                    </w:rPr>
                    <w:t>GB18466-2005</w:t>
                  </w:r>
                  <w:r>
                    <w:rPr>
                      <w:rFonts w:hint="eastAsia" w:cs="Times New Roman"/>
                      <w:b w:val="0"/>
                      <w:bCs/>
                      <w:spacing w:val="0"/>
                      <w:sz w:val="21"/>
                      <w:szCs w:val="21"/>
                      <w:vertAlign w:val="baseline"/>
                      <w:lang w:eastAsia="zh-CN"/>
                    </w:rPr>
                    <w:t>）</w:t>
                  </w:r>
                  <w:r>
                    <w:rPr>
                      <w:rFonts w:hint="eastAsia" w:ascii="Times New Roman" w:hAnsi="Times New Roman" w:cs="Times New Roman"/>
                      <w:b w:val="0"/>
                      <w:bCs/>
                      <w:spacing w:val="0"/>
                      <w:sz w:val="21"/>
                      <w:szCs w:val="21"/>
                      <w:vertAlign w:val="baseline"/>
                    </w:rPr>
                    <w:t>预处理标准</w:t>
                  </w:r>
                  <w:r>
                    <w:rPr>
                      <w:rFonts w:hint="eastAsia" w:cs="Times New Roman"/>
                      <w:b w:val="0"/>
                      <w:bCs/>
                      <w:spacing w:val="0"/>
                      <w:sz w:val="21"/>
                      <w:szCs w:val="21"/>
                      <w:vertAlign w:val="baseline"/>
                      <w:lang w:eastAsia="zh-CN"/>
                    </w:rPr>
                    <w:t>；</w:t>
                  </w:r>
                  <w:r>
                    <w:rPr>
                      <w:rFonts w:hint="eastAsia" w:ascii="Times New Roman" w:hAnsi="Times New Roman" w:cs="Times New Roman"/>
                      <w:b w:val="0"/>
                      <w:bCs/>
                      <w:spacing w:val="0"/>
                      <w:sz w:val="21"/>
                      <w:szCs w:val="21"/>
                      <w:vertAlign w:val="baseline"/>
                    </w:rPr>
                    <w:t>综合废水排放口执行《污水综合排放标准》</w:t>
                  </w:r>
                  <w:r>
                    <w:rPr>
                      <w:rFonts w:hint="eastAsia" w:cs="Times New Roman"/>
                      <w:b w:val="0"/>
                      <w:bCs/>
                      <w:spacing w:val="0"/>
                      <w:sz w:val="21"/>
                      <w:szCs w:val="21"/>
                      <w:vertAlign w:val="baseline"/>
                      <w:lang w:eastAsia="zh-CN"/>
                    </w:rPr>
                    <w:t>（</w:t>
                  </w:r>
                  <w:r>
                    <w:rPr>
                      <w:rFonts w:hint="eastAsia" w:ascii="Times New Roman" w:hAnsi="Times New Roman" w:cs="Times New Roman"/>
                      <w:b w:val="0"/>
                      <w:bCs/>
                      <w:spacing w:val="0"/>
                      <w:sz w:val="21"/>
                      <w:szCs w:val="21"/>
                      <w:vertAlign w:val="baseline"/>
                    </w:rPr>
                    <w:t>GB8978-1996</w:t>
                  </w:r>
                  <w:r>
                    <w:rPr>
                      <w:rFonts w:hint="eastAsia" w:cs="Times New Roman"/>
                      <w:b w:val="0"/>
                      <w:bCs/>
                      <w:spacing w:val="0"/>
                      <w:sz w:val="21"/>
                      <w:szCs w:val="21"/>
                      <w:vertAlign w:val="baseline"/>
                      <w:lang w:eastAsia="zh-CN"/>
                    </w:rPr>
                    <w:t>）</w:t>
                  </w:r>
                  <w:r>
                    <w:rPr>
                      <w:rFonts w:hint="eastAsia" w:ascii="Times New Roman" w:hAnsi="Times New Roman" w:cs="Times New Roman"/>
                      <w:b w:val="0"/>
                      <w:bCs/>
                      <w:spacing w:val="0"/>
                      <w:sz w:val="21"/>
                      <w:szCs w:val="21"/>
                      <w:vertAlign w:val="baseline"/>
                    </w:rPr>
                    <w:t>三级标准</w:t>
                  </w:r>
                  <w:r>
                    <w:rPr>
                      <w:rFonts w:hint="eastAsia" w:cs="Times New Roman"/>
                      <w:b w:val="0"/>
                      <w:bCs/>
                      <w:spacing w:val="0"/>
                      <w:sz w:val="21"/>
                      <w:szCs w:val="21"/>
                      <w:vertAlign w:val="baseline"/>
                      <w:lang w:eastAsia="zh-CN"/>
                    </w:rPr>
                    <w:t>；</w:t>
                  </w:r>
                </w:p>
              </w:tc>
            </w:tr>
          </w:tbl>
          <w:p w14:paraId="5E43CCE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cs="Times New Roman"/>
                <w:b/>
                <w:bCs w:val="0"/>
                <w:spacing w:val="0"/>
                <w:sz w:val="24"/>
                <w:szCs w:val="24"/>
              </w:rPr>
              <w:t>4.2.2.1</w:t>
            </w:r>
            <w:r>
              <w:rPr>
                <w:rFonts w:ascii="Times New Roman" w:hAnsi="Times New Roman" w:eastAsia="宋体" w:cs="Times New Roman"/>
                <w:b/>
                <w:color w:val="auto"/>
                <w:sz w:val="24"/>
                <w:szCs w:val="24"/>
                <w:highlight w:val="none"/>
              </w:rPr>
              <w:t>废水处理措施可行性分析</w:t>
            </w:r>
            <w:r>
              <w:rPr>
                <w:rFonts w:hint="eastAsia" w:ascii="Times New Roman" w:hAnsi="Times New Roman" w:eastAsia="宋体" w:cs="Times New Roman"/>
                <w:b/>
                <w:color w:val="auto"/>
                <w:sz w:val="24"/>
                <w:szCs w:val="24"/>
                <w:highlight w:val="none"/>
                <w:lang w:val="en-US" w:eastAsia="zh-CN"/>
              </w:rPr>
              <w:t>及达标分析</w:t>
            </w:r>
          </w:p>
          <w:p w14:paraId="39437E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废水处理设施可行性分析</w:t>
            </w:r>
          </w:p>
          <w:p w14:paraId="5EC8109C">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highlight w:val="none"/>
                <w:lang w:val="en-US"/>
              </w:rPr>
            </w:pPr>
            <w:r>
              <w:rPr>
                <w:rFonts w:hint="eastAsia" w:cs="Times New Roman"/>
                <w:snapToGrid w:val="0"/>
                <w:color w:val="auto"/>
                <w:kern w:val="0"/>
                <w:sz w:val="24"/>
                <w:szCs w:val="24"/>
                <w:highlight w:val="none"/>
                <w:lang w:val="en-US" w:eastAsia="zh-CN"/>
              </w:rPr>
              <w:t>根据前文分析，本项目运营服务期废水主要为医疗废水、其他废水和生活污水。</w:t>
            </w:r>
            <w:r>
              <w:rPr>
                <w:rFonts w:hint="eastAsia" w:cs="Times New Roman"/>
                <w:sz w:val="24"/>
                <w:szCs w:val="24"/>
                <w:highlight w:val="none"/>
                <w:lang w:val="en-US" w:eastAsia="zh-CN"/>
              </w:rPr>
              <w:t>医疗废水中诊疗废水、手术废水、宠物笼清洗废水和手术器械清洗废水经消毒设施预处理与地面清洁废水、员工生活污水和流动顾客污水等一并排入恒大绿岛新城B区生化池处理达《污水综合排放标准》（GB 8978-1996）三级标准后排入市政污水管网，再经观音塘污水处理厂处理达</w:t>
            </w:r>
            <w:r>
              <w:rPr>
                <w:rFonts w:hint="eastAsia"/>
                <w:color w:val="auto"/>
                <w:sz w:val="24"/>
                <w:highlight w:val="none"/>
                <w:lang w:val="en-US" w:eastAsia="zh-CN"/>
              </w:rPr>
              <w:t>《地表水环境质量标准》（GB3838-2002）中Ⅳ类</w:t>
            </w:r>
            <w:r>
              <w:rPr>
                <w:rFonts w:hint="eastAsia"/>
                <w:color w:val="auto"/>
                <w:sz w:val="24"/>
              </w:rPr>
              <w:t>标准</w:t>
            </w:r>
            <w:r>
              <w:rPr>
                <w:rFonts w:hint="eastAsia"/>
                <w:color w:val="auto"/>
                <w:sz w:val="24"/>
                <w:lang w:eastAsia="zh-CN"/>
              </w:rPr>
              <w:t>（COD、BOD5、氨氮、总磷）</w:t>
            </w:r>
            <w:r>
              <w:rPr>
                <w:rFonts w:hint="eastAsia"/>
                <w:color w:val="auto"/>
                <w:sz w:val="24"/>
              </w:rPr>
              <w:t>和《城镇污水处理厂污染物排放标准》（GB18918-2002）中一级A标准（其余指标）</w:t>
            </w:r>
            <w:r>
              <w:rPr>
                <w:rFonts w:hint="eastAsia"/>
                <w:bCs/>
                <w:color w:val="auto"/>
                <w:sz w:val="24"/>
              </w:rPr>
              <w:t>后排入璧南河</w:t>
            </w:r>
            <w:r>
              <w:rPr>
                <w:rFonts w:hint="eastAsia" w:cs="Times New Roman"/>
                <w:sz w:val="24"/>
                <w:szCs w:val="24"/>
                <w:highlight w:val="none"/>
                <w:lang w:val="en-US" w:eastAsia="zh-CN"/>
              </w:rPr>
              <w:t>。</w:t>
            </w:r>
          </w:p>
          <w:p w14:paraId="38C497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医疗废水主要为</w:t>
            </w:r>
            <w:r>
              <w:rPr>
                <w:rFonts w:hint="eastAsia" w:cs="Times New Roman"/>
                <w:sz w:val="24"/>
                <w:szCs w:val="24"/>
                <w:highlight w:val="none"/>
                <w:lang w:val="en-US" w:eastAsia="zh-CN"/>
              </w:rPr>
              <w:t>诊疗废水、手术废水等，</w:t>
            </w:r>
            <w:r>
              <w:rPr>
                <w:rFonts w:hint="eastAsia" w:cs="Times New Roman"/>
                <w:snapToGrid w:val="0"/>
                <w:color w:val="auto"/>
                <w:kern w:val="0"/>
                <w:sz w:val="24"/>
                <w:szCs w:val="24"/>
                <w:highlight w:val="none"/>
                <w:lang w:val="en-US" w:eastAsia="zh-CN"/>
              </w:rPr>
              <w:t>医疗废水成分复杂，废水中因沾染血、尿、便等具有传染性必须经消毒杀菌后才能排放，参照《医疗机构水污染物排放标准》（GB 18466-2005）4.1.3“县级以下或20张床位以下的综合医疗机构和其他所有医疗机构污水经消毒后方可排放”规定，医疗废水需经消毒处理之后即可外排。</w:t>
            </w:r>
          </w:p>
          <w:p w14:paraId="621DFA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szCs w:val="24"/>
                <w:highlight w:val="none"/>
                <w:lang w:val="en-US" w:eastAsia="zh-CN"/>
              </w:rPr>
            </w:pPr>
            <w:r>
              <w:rPr>
                <w:rFonts w:hint="eastAsia" w:cs="Times New Roman"/>
                <w:snapToGrid w:val="0"/>
                <w:color w:val="auto"/>
                <w:kern w:val="0"/>
                <w:sz w:val="24"/>
                <w:szCs w:val="24"/>
                <w:highlight w:val="none"/>
                <w:lang w:val="en-US" w:eastAsia="zh-CN"/>
              </w:rPr>
              <w:t>根据《排污许可证申请与核发技术规范 医疗机构》（HJ 1105-2020）表A.2医疗机构排水单位污水治理可行技术参照表。具体可行技术见下表。</w:t>
            </w:r>
          </w:p>
          <w:p w14:paraId="6628D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4"/>
                <w:szCs w:val="24"/>
                <w:highlight w:val="none"/>
                <w:lang w:val="en-US" w:eastAsia="zh-CN" w:bidi="ar-SA"/>
              </w:rPr>
              <w:t>表 4</w:t>
            </w:r>
            <w:r>
              <w:rPr>
                <w:rFonts w:hint="eastAsia" w:cs="Times New Roman"/>
                <w:b w:val="0"/>
                <w:bCs/>
                <w:color w:val="auto"/>
                <w:kern w:val="2"/>
                <w:sz w:val="24"/>
                <w:szCs w:val="24"/>
                <w:highlight w:val="none"/>
                <w:lang w:val="en-US" w:eastAsia="zh-CN" w:bidi="ar-SA"/>
              </w:rPr>
              <w:t>.2-12</w:t>
            </w:r>
            <w:r>
              <w:rPr>
                <w:rFonts w:ascii="Times New Roman" w:hAnsi="Times New Roman" w:eastAsia="宋体" w:cs="Times New Roman"/>
                <w:b w:val="0"/>
                <w:bCs/>
                <w:color w:val="auto"/>
                <w:kern w:val="2"/>
                <w:sz w:val="24"/>
                <w:szCs w:val="24"/>
                <w:highlight w:val="none"/>
                <w:lang w:val="en-US" w:eastAsia="zh-CN" w:bidi="ar-SA"/>
              </w:rPr>
              <w:t xml:space="preserve"> </w:t>
            </w:r>
            <w:r>
              <w:rPr>
                <w:rFonts w:hint="eastAsia" w:ascii="Times New Roman" w:hAnsi="Times New Roman" w:eastAsia="宋体" w:cs="Times New Roman"/>
                <w:b w:val="0"/>
                <w:bCs/>
                <w:color w:val="auto"/>
                <w:kern w:val="2"/>
                <w:sz w:val="24"/>
                <w:szCs w:val="24"/>
                <w:highlight w:val="none"/>
                <w:lang w:val="en-US" w:eastAsia="zh-CN" w:bidi="ar-SA"/>
              </w:rPr>
              <w:t>医疗机构排污单位水污染可行技术参照表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42"/>
              <w:gridCol w:w="3152"/>
              <w:gridCol w:w="1253"/>
            </w:tblGrid>
            <w:tr w14:paraId="61D3A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tcBorders>
                    <w:tl2br w:val="nil"/>
                    <w:tr2bl w:val="nil"/>
                  </w:tcBorders>
                  <w:vAlign w:val="center"/>
                </w:tcPr>
                <w:p w14:paraId="3566A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污水类别</w:t>
                  </w:r>
                </w:p>
              </w:tc>
              <w:tc>
                <w:tcPr>
                  <w:tcW w:w="1659" w:type="pct"/>
                  <w:tcBorders>
                    <w:tl2br w:val="nil"/>
                    <w:tr2bl w:val="nil"/>
                  </w:tcBorders>
                  <w:vAlign w:val="center"/>
                </w:tcPr>
                <w:p w14:paraId="119D87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污染物种类</w:t>
                  </w:r>
                </w:p>
              </w:tc>
              <w:tc>
                <w:tcPr>
                  <w:tcW w:w="1907" w:type="pct"/>
                  <w:tcBorders>
                    <w:tl2br w:val="nil"/>
                    <w:tr2bl w:val="nil"/>
                  </w:tcBorders>
                  <w:shd w:val="clear" w:color="auto" w:fill="auto"/>
                  <w:vAlign w:val="center"/>
                </w:tcPr>
                <w:p w14:paraId="3E77C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可行技术</w:t>
                  </w:r>
                </w:p>
              </w:tc>
              <w:tc>
                <w:tcPr>
                  <w:tcW w:w="758" w:type="pct"/>
                  <w:tcBorders>
                    <w:tl2br w:val="nil"/>
                    <w:tr2bl w:val="nil"/>
                  </w:tcBorders>
                  <w:vAlign w:val="center"/>
                </w:tcPr>
                <w:p w14:paraId="0ADC2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本项目采用技术</w:t>
                  </w:r>
                </w:p>
              </w:tc>
            </w:tr>
            <w:tr w14:paraId="11B78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4" w:type="pct"/>
                  <w:tcBorders>
                    <w:tl2br w:val="nil"/>
                    <w:tr2bl w:val="nil"/>
                  </w:tcBorders>
                  <w:vAlign w:val="center"/>
                </w:tcPr>
                <w:p w14:paraId="572A1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医疗废水</w:t>
                  </w:r>
                </w:p>
              </w:tc>
              <w:tc>
                <w:tcPr>
                  <w:tcW w:w="1659" w:type="pct"/>
                  <w:tcBorders>
                    <w:tl2br w:val="nil"/>
                    <w:tr2bl w:val="nil"/>
                  </w:tcBorders>
                  <w:vAlign w:val="center"/>
                </w:tcPr>
                <w:p w14:paraId="558AC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粪大肠菌群数、肠道致病菌、肠道病毒化学需氧量、氨氮、pH值、悬浮物、五日生化需氧量、动植物油、石油类、阴离子表面活性剂、挥发酚、色度、总氰化物、总余氯</w:t>
                  </w:r>
                </w:p>
              </w:tc>
              <w:tc>
                <w:tcPr>
                  <w:tcW w:w="1907" w:type="pct"/>
                  <w:tcBorders>
                    <w:tl2br w:val="nil"/>
                    <w:tr2bl w:val="nil"/>
                  </w:tcBorders>
                  <w:shd w:val="clear" w:color="auto" w:fill="auto"/>
                  <w:vAlign w:val="center"/>
                </w:tcPr>
                <w:p w14:paraId="0E202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kern w:val="2"/>
                      <w:sz w:val="21"/>
                      <w:szCs w:val="21"/>
                      <w:highlight w:val="none"/>
                      <w:vertAlign w:val="baseline"/>
                      <w:lang w:val="en-US" w:eastAsia="zh-CN" w:bidi="ar-SA"/>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758" w:type="pct"/>
                  <w:tcBorders>
                    <w:tl2br w:val="nil"/>
                    <w:tr2bl w:val="nil"/>
                  </w:tcBorders>
                  <w:vAlign w:val="center"/>
                </w:tcPr>
                <w:p w14:paraId="6201E7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
                      <w:sz w:val="21"/>
                      <w:szCs w:val="21"/>
                      <w:highlight w:val="none"/>
                      <w:vertAlign w:val="baseline"/>
                      <w:lang w:val="en-US" w:eastAsia="zh-CN" w:bidi="ar-SA"/>
                    </w:rPr>
                  </w:pPr>
                  <w:r>
                    <w:rPr>
                      <w:rFonts w:hint="eastAsia" w:cs="Times New Roman"/>
                      <w:b w:val="0"/>
                      <w:bCs/>
                      <w:color w:val="auto"/>
                      <w:kern w:val="2"/>
                      <w:sz w:val="21"/>
                      <w:szCs w:val="21"/>
                      <w:highlight w:val="none"/>
                      <w:vertAlign w:val="baseline"/>
                      <w:lang w:val="en-US" w:eastAsia="zh-CN" w:bidi="ar-SA"/>
                    </w:rPr>
                    <w:t>二氧化氯法消毒</w:t>
                  </w:r>
                </w:p>
              </w:tc>
            </w:tr>
          </w:tbl>
          <w:p w14:paraId="0E1F61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本项目选用医疗废水消毒设备（投加二氧化氯消毒片）进行消毒，是目前国内比较常用的消毒方式，不仅价格优廉，而且使用方便，适用于医疗废水消毒。</w:t>
            </w:r>
          </w:p>
          <w:p w14:paraId="0518A6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消毒设施处理医疗废水包括手术废水、手术器械清洗废水、诊疗废水和宠物笼清洗废水。手术废水来自</w:t>
            </w:r>
            <w:r>
              <w:rPr>
                <w:rFonts w:hint="eastAsia" w:cs="Times New Roman"/>
                <w:b w:val="0"/>
                <w:bCs w:val="0"/>
                <w:color w:val="000000"/>
                <w:kern w:val="2"/>
                <w:sz w:val="24"/>
                <w:szCs w:val="24"/>
                <w:lang w:val="en-US" w:eastAsia="zh-CN" w:bidi="ar-SA"/>
              </w:rPr>
              <w:t>术前术后洗手，洗手在手术室水槽进行，手术室水槽收集后进入1#消毒设施。</w:t>
            </w:r>
            <w:r>
              <w:rPr>
                <w:rFonts w:hint="eastAsia" w:cs="Times New Roman"/>
                <w:snapToGrid w:val="0"/>
                <w:color w:val="auto"/>
                <w:kern w:val="0"/>
                <w:sz w:val="24"/>
                <w:highlight w:val="none"/>
                <w:lang w:val="en-US" w:eastAsia="zh-CN"/>
              </w:rPr>
              <w:t>手术器械清洗在</w:t>
            </w:r>
            <w:r>
              <w:rPr>
                <w:rFonts w:hint="eastAsia" w:cs="Times New Roman"/>
                <w:b w:val="0"/>
                <w:bCs w:val="0"/>
                <w:color w:val="000000"/>
                <w:kern w:val="2"/>
                <w:sz w:val="24"/>
                <w:szCs w:val="24"/>
                <w:lang w:val="en-US" w:eastAsia="zh-CN" w:bidi="ar-SA"/>
              </w:rPr>
              <w:t>手术室</w:t>
            </w:r>
            <w:r>
              <w:rPr>
                <w:rFonts w:hint="eastAsia" w:cs="Times New Roman"/>
                <w:snapToGrid w:val="0"/>
                <w:color w:val="auto"/>
                <w:kern w:val="0"/>
                <w:sz w:val="24"/>
                <w:highlight w:val="none"/>
                <w:lang w:val="en-US" w:eastAsia="zh-CN"/>
              </w:rPr>
              <w:t>水槽进行</w:t>
            </w:r>
            <w:r>
              <w:rPr>
                <w:rFonts w:hint="eastAsia" w:cs="Times New Roman"/>
                <w:b w:val="0"/>
                <w:bCs w:val="0"/>
                <w:color w:val="000000"/>
                <w:kern w:val="2"/>
                <w:sz w:val="24"/>
                <w:szCs w:val="24"/>
                <w:lang w:val="en-US" w:eastAsia="zh-CN" w:bidi="ar-SA"/>
              </w:rPr>
              <w:t>，手术室水槽收集后进入1#消毒设施。</w:t>
            </w:r>
            <w:r>
              <w:rPr>
                <w:rFonts w:hint="eastAsia" w:cs="Times New Roman"/>
                <w:snapToGrid w:val="0"/>
                <w:color w:val="auto"/>
                <w:kern w:val="0"/>
                <w:sz w:val="24"/>
                <w:highlight w:val="none"/>
                <w:lang w:val="en-US" w:eastAsia="zh-CN"/>
              </w:rPr>
              <w:t>诊疗废水来自</w:t>
            </w:r>
            <w:r>
              <w:rPr>
                <w:rFonts w:hint="eastAsia" w:cs="Times New Roman"/>
                <w:color w:val="000000"/>
                <w:kern w:val="0"/>
                <w:sz w:val="24"/>
                <w:szCs w:val="24"/>
                <w:highlight w:val="none"/>
                <w:lang w:val="en-US" w:eastAsia="zh-CN" w:bidi="ar"/>
              </w:rPr>
              <w:t>医护人员检查等前后</w:t>
            </w:r>
            <w:r>
              <w:rPr>
                <w:rFonts w:hint="eastAsia" w:ascii="Times New Roman" w:hAnsi="Times New Roman" w:eastAsia="宋体" w:cs="Times New Roman"/>
                <w:color w:val="000000"/>
                <w:kern w:val="0"/>
                <w:sz w:val="24"/>
                <w:szCs w:val="24"/>
                <w:highlight w:val="none"/>
                <w:lang w:val="en-US" w:eastAsia="zh-CN" w:bidi="ar"/>
              </w:rPr>
              <w:t>的洗手用水</w:t>
            </w:r>
            <w:r>
              <w:rPr>
                <w:rFonts w:hint="eastAsia" w:cs="Times New Roman"/>
                <w:b w:val="0"/>
                <w:bCs w:val="0"/>
                <w:color w:val="000000"/>
                <w:kern w:val="2"/>
                <w:sz w:val="24"/>
                <w:szCs w:val="24"/>
                <w:lang w:val="en-US" w:eastAsia="zh-CN" w:bidi="ar-SA"/>
              </w:rPr>
              <w:t>，洗手在手术室水槽进行，手术室水槽收集后进入1#消毒设施。</w:t>
            </w:r>
            <w:r>
              <w:rPr>
                <w:rFonts w:hint="eastAsia" w:cs="Times New Roman"/>
                <w:snapToGrid w:val="0"/>
                <w:color w:val="auto"/>
                <w:kern w:val="0"/>
                <w:sz w:val="24"/>
                <w:highlight w:val="none"/>
                <w:lang w:val="en-US" w:eastAsia="zh-CN"/>
              </w:rPr>
              <w:t>宠物笼清洗在卫生间水槽内进行</w:t>
            </w:r>
            <w:r>
              <w:rPr>
                <w:rFonts w:hint="eastAsia" w:cs="Times New Roman"/>
                <w:b w:val="0"/>
                <w:bCs w:val="0"/>
                <w:color w:val="000000"/>
                <w:kern w:val="2"/>
                <w:sz w:val="24"/>
                <w:szCs w:val="24"/>
                <w:lang w:val="en-US" w:eastAsia="zh-CN" w:bidi="ar-SA"/>
              </w:rPr>
              <w:t>，</w:t>
            </w:r>
            <w:r>
              <w:rPr>
                <w:rFonts w:hint="eastAsia" w:cs="Times New Roman"/>
                <w:snapToGrid w:val="0"/>
                <w:color w:val="auto"/>
                <w:kern w:val="0"/>
                <w:sz w:val="24"/>
                <w:highlight w:val="none"/>
                <w:lang w:val="en-US" w:eastAsia="zh-CN"/>
              </w:rPr>
              <w:t>卫生间</w:t>
            </w:r>
            <w:r>
              <w:rPr>
                <w:rFonts w:hint="eastAsia" w:cs="Times New Roman"/>
                <w:b w:val="0"/>
                <w:bCs w:val="0"/>
                <w:color w:val="000000"/>
                <w:kern w:val="2"/>
                <w:sz w:val="24"/>
                <w:szCs w:val="24"/>
                <w:lang w:val="en-US" w:eastAsia="zh-CN" w:bidi="ar-SA"/>
              </w:rPr>
              <w:t>水槽收集后进入2#消毒设施。</w:t>
            </w:r>
          </w:p>
          <w:p w14:paraId="361118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本项目选用医疗废水消毒设备（投加二氧化氯消毒片）进行消毒，是目前国内比较常用的消毒方式，不仅价格优廉，而且使用方便，适用于医疗废水消毒。</w:t>
            </w:r>
          </w:p>
          <w:p w14:paraId="5679FD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snapToGrid w:val="0"/>
                <w:color w:val="auto"/>
                <w:kern w:val="0"/>
                <w:sz w:val="24"/>
                <w:highlight w:val="none"/>
                <w:lang w:val="en-US" w:eastAsia="zh-CN"/>
              </w:rPr>
            </w:pPr>
            <w:r>
              <w:rPr>
                <w:rFonts w:hint="eastAsia" w:cs="Times New Roman"/>
                <w:snapToGrid w:val="0"/>
                <w:color w:val="auto"/>
                <w:kern w:val="0"/>
                <w:sz w:val="24"/>
                <w:highlight w:val="none"/>
                <w:lang w:val="en-US" w:eastAsia="zh-CN"/>
              </w:rPr>
              <w:t>消毒设施的工作原理为：以固体消毒剂为主要原料，本项目通过投加二氧化氯消毒片进行消毒，采用自动稀释延时压力加药工艺，与废水合理混合达到消毒杀菌的目的，设备自带储水箱，保证消毒接触时间，要求消毒接触时间&gt;1h。</w:t>
            </w:r>
          </w:p>
          <w:p w14:paraId="72790C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val="en-US" w:eastAsia="zh-CN"/>
              </w:rPr>
            </w:pPr>
            <w:r>
              <w:rPr>
                <w:rFonts w:hint="eastAsia" w:cs="Times New Roman"/>
                <w:snapToGrid w:val="0"/>
                <w:color w:val="auto"/>
                <w:kern w:val="0"/>
                <w:sz w:val="24"/>
                <w:highlight w:val="none"/>
                <w:lang w:val="en-US" w:eastAsia="zh-CN"/>
              </w:rPr>
              <w:t>项目设置2个水槽。手术室水槽下方设置1#消毒设施，消毒设施的有效容积为64L，手术废水、手术器械清洗废水、诊疗废水经手术室水槽收集后进入1#消毒设施进行消毒，手术废水、手术器械清洗废水、诊疗废水的总产生量为0.3015m</w:t>
            </w:r>
            <w:r>
              <w:rPr>
                <w:rFonts w:hint="eastAsia" w:cs="Times New Roman"/>
                <w:snapToGrid w:val="0"/>
                <w:color w:val="auto"/>
                <w:kern w:val="0"/>
                <w:sz w:val="24"/>
                <w:highlight w:val="none"/>
                <w:vertAlign w:val="superscript"/>
                <w:lang w:val="en-US" w:eastAsia="zh-CN"/>
              </w:rPr>
              <w:t>3</w:t>
            </w:r>
            <w:r>
              <w:rPr>
                <w:rFonts w:hint="eastAsia" w:cs="Times New Roman"/>
                <w:snapToGrid w:val="0"/>
                <w:color w:val="auto"/>
                <w:kern w:val="0"/>
                <w:sz w:val="24"/>
                <w:highlight w:val="none"/>
                <w:lang w:val="en-US" w:eastAsia="zh-CN"/>
              </w:rPr>
              <w:t>/d，产生量废水收集在消毒设施的储箱中，达到有效容积后投加二氧化氯消毒片2片，消毒70min后排放，每日多次处理可满足项目需求。卫生间水槽下方设置2#消毒设施，消毒设施的有效容积为32L，宠物笼清洗废水经卫生间水槽收集后进入2#消毒设施进行消毒，手术废水、宠物笼清洗废水产生量为0.117m</w:t>
            </w:r>
            <w:r>
              <w:rPr>
                <w:rFonts w:hint="eastAsia" w:cs="Times New Roman"/>
                <w:snapToGrid w:val="0"/>
                <w:color w:val="auto"/>
                <w:kern w:val="0"/>
                <w:sz w:val="24"/>
                <w:highlight w:val="none"/>
                <w:vertAlign w:val="superscript"/>
                <w:lang w:val="en-US" w:eastAsia="zh-CN"/>
              </w:rPr>
              <w:t>3</w:t>
            </w:r>
            <w:r>
              <w:rPr>
                <w:rFonts w:hint="eastAsia" w:cs="Times New Roman"/>
                <w:snapToGrid w:val="0"/>
                <w:color w:val="auto"/>
                <w:kern w:val="0"/>
                <w:sz w:val="24"/>
                <w:highlight w:val="none"/>
                <w:lang w:val="en-US" w:eastAsia="zh-CN"/>
              </w:rPr>
              <w:t>/d，产生量废水收集在消毒设施的储箱中，达到有效容积后投加二氧化氯消毒片1片，消毒70min后排放，每日多次处理可满足项目需求。</w:t>
            </w:r>
          </w:p>
          <w:p w14:paraId="1B2E8AC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snapToGrid w:val="0"/>
                <w:color w:val="auto"/>
                <w:kern w:val="0"/>
                <w:sz w:val="24"/>
                <w:highlight w:val="none"/>
                <w:lang w:val="en-US" w:eastAsia="zh-CN"/>
              </w:rPr>
            </w:pPr>
            <w:r>
              <w:rPr>
                <w:rFonts w:hint="eastAsia"/>
                <w:color w:val="auto"/>
                <w:sz w:val="24"/>
                <w:szCs w:val="24"/>
                <w:highlight w:val="none"/>
                <w:lang w:val="en-US" w:eastAsia="zh-CN"/>
              </w:rPr>
              <w:t>因此，本项目废水处理设施处理工艺及处理能力合理可行的。</w:t>
            </w:r>
          </w:p>
          <w:p w14:paraId="10F345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生化池依托</w:t>
            </w:r>
            <w:r>
              <w:rPr>
                <w:rFonts w:hint="eastAsia" w:ascii="Times New Roman" w:hAnsi="Times New Roman" w:eastAsia="宋体" w:cs="Times New Roman"/>
                <w:color w:val="auto"/>
                <w:sz w:val="24"/>
                <w:szCs w:val="24"/>
                <w:highlight w:val="none"/>
                <w:lang w:val="en-US" w:eastAsia="zh-CN"/>
              </w:rPr>
              <w:t>可行性分析</w:t>
            </w:r>
          </w:p>
          <w:p w14:paraId="0A3C2A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sz w:val="24"/>
                <w:szCs w:val="24"/>
                <w:highlight w:val="none"/>
                <w:lang w:val="en-US" w:eastAsia="zh-CN"/>
              </w:rPr>
            </w:pPr>
            <w:r>
              <w:rPr>
                <w:rFonts w:hint="eastAsia" w:cs="Times New Roman"/>
                <w:bCs/>
                <w:color w:val="auto"/>
                <w:sz w:val="24"/>
                <w:szCs w:val="24"/>
                <w:highlight w:val="none"/>
                <w:lang w:val="en-US" w:eastAsia="zh-CN" w:bidi="en-US"/>
              </w:rPr>
              <w:t>本项目位于</w:t>
            </w:r>
            <w:r>
              <w:rPr>
                <w:rFonts w:hint="eastAsia" w:cs="Times New Roman"/>
                <w:color w:val="auto"/>
                <w:sz w:val="24"/>
                <w:szCs w:val="24"/>
                <w:highlight w:val="none"/>
                <w:lang w:val="en-US" w:eastAsia="zh-CN"/>
              </w:rPr>
              <w:t>重庆市璧山区璧泉街道东林大道67号4幢附37号，</w:t>
            </w:r>
            <w:r>
              <w:rPr>
                <w:rFonts w:hint="eastAsia" w:cs="Times New Roman"/>
                <w:snapToGrid w:val="0"/>
                <w:color w:val="auto"/>
                <w:kern w:val="0"/>
                <w:sz w:val="24"/>
                <w:szCs w:val="24"/>
                <w:highlight w:val="none"/>
                <w:lang w:val="en-US" w:eastAsia="zh-CN"/>
              </w:rPr>
              <w:t>医疗废水经</w:t>
            </w:r>
            <w:r>
              <w:rPr>
                <w:rFonts w:hint="eastAsia" w:cs="Times New Roman"/>
                <w:sz w:val="24"/>
                <w:szCs w:val="24"/>
                <w:highlight w:val="none"/>
                <w:lang w:val="en-US" w:eastAsia="zh-CN"/>
              </w:rPr>
              <w:t>消毒设施预处理后与其他废水、生活污水</w:t>
            </w:r>
            <w:r>
              <w:rPr>
                <w:rFonts w:hint="eastAsia" w:ascii="Times New Roman" w:hAnsi="Times New Roman" w:eastAsia="宋体" w:cs="Times New Roman"/>
                <w:snapToGrid w:val="0"/>
                <w:color w:val="auto"/>
                <w:kern w:val="2"/>
                <w:sz w:val="24"/>
                <w:szCs w:val="24"/>
                <w:highlight w:val="none"/>
                <w:lang w:val="en-US" w:eastAsia="zh-CN" w:bidi="ar-SA"/>
              </w:rPr>
              <w:t>一并排入</w:t>
            </w:r>
            <w:r>
              <w:rPr>
                <w:rFonts w:hint="eastAsia" w:cs="Times New Roman"/>
                <w:color w:val="auto"/>
                <w:sz w:val="24"/>
                <w:szCs w:val="24"/>
                <w:highlight w:val="none"/>
                <w:lang w:val="en-US" w:eastAsia="zh-CN"/>
              </w:rPr>
              <w:t>恒大绿岛新城B区生化池</w:t>
            </w:r>
            <w:r>
              <w:rPr>
                <w:rFonts w:hint="eastAsia" w:ascii="Times New Roman" w:hAnsi="Times New Roman" w:eastAsia="宋体" w:cs="Times New Roman"/>
                <w:color w:val="auto"/>
                <w:sz w:val="24"/>
                <w:szCs w:val="24"/>
                <w:highlight w:val="none"/>
                <w:lang w:val="en-US" w:eastAsia="zh-CN"/>
              </w:rPr>
              <w:t>进行处理</w:t>
            </w:r>
            <w:r>
              <w:rPr>
                <w:rFonts w:hint="default" w:ascii="Times New Roman" w:hAnsi="Times New Roman" w:eastAsia="宋体" w:cs="Times New Roman"/>
                <w:color w:val="auto"/>
                <w:sz w:val="24"/>
                <w:szCs w:val="24"/>
                <w:highlight w:val="none"/>
                <w:lang w:val="en-US" w:eastAsia="zh-CN"/>
              </w:rPr>
              <w:t>。</w:t>
            </w:r>
          </w:p>
          <w:p w14:paraId="3A24EA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highlight w:val="none"/>
                <w:lang w:val="en-US" w:eastAsia="zh-CN" w:bidi="en-US"/>
              </w:rPr>
              <w:t>根据建设单位提供资料，</w:t>
            </w:r>
            <w:r>
              <w:rPr>
                <w:rFonts w:hint="eastAsia" w:cs="Times New Roman"/>
                <w:color w:val="auto"/>
                <w:sz w:val="24"/>
                <w:szCs w:val="24"/>
                <w:highlight w:val="none"/>
                <w:lang w:val="en-US" w:eastAsia="zh-CN"/>
              </w:rPr>
              <w:t>恒大绿岛新城B区生化池</w:t>
            </w:r>
            <w:r>
              <w:rPr>
                <w:rFonts w:hint="eastAsia" w:eastAsia="宋体" w:cs="Times New Roman"/>
                <w:bCs/>
                <w:color w:val="auto"/>
                <w:sz w:val="24"/>
                <w:szCs w:val="24"/>
                <w:highlight w:val="none"/>
                <w:lang w:val="en-US" w:eastAsia="zh-CN" w:bidi="en-US"/>
              </w:rPr>
              <w:t>位于本项目</w:t>
            </w:r>
            <w:r>
              <w:rPr>
                <w:rFonts w:hint="eastAsia" w:cs="Times New Roman"/>
                <w:bCs/>
                <w:color w:val="auto"/>
                <w:sz w:val="24"/>
                <w:szCs w:val="24"/>
                <w:highlight w:val="none"/>
                <w:lang w:val="en-US" w:eastAsia="zh-CN" w:bidi="en-US"/>
              </w:rPr>
              <w:t>南侧</w:t>
            </w:r>
            <w:r>
              <w:rPr>
                <w:rFonts w:hint="eastAsia" w:eastAsia="宋体" w:cs="Times New Roman"/>
                <w:bCs/>
                <w:color w:val="auto"/>
                <w:sz w:val="24"/>
                <w:szCs w:val="24"/>
                <w:highlight w:val="none"/>
                <w:lang w:val="en-US" w:eastAsia="zh-CN" w:bidi="en-US"/>
              </w:rPr>
              <w:t>，该生化池设计初期的处理能力考虑了整个商业门面的废水量，废水管网完善，目前该生化池运行正常，生化池的出水水质处理</w:t>
            </w:r>
            <w:r>
              <w:rPr>
                <w:rFonts w:hint="eastAsia" w:cs="Times New Roman"/>
                <w:bCs/>
                <w:color w:val="auto"/>
                <w:sz w:val="24"/>
                <w:szCs w:val="24"/>
                <w:highlight w:val="none"/>
                <w:lang w:val="en-US" w:eastAsia="zh-CN" w:bidi="en-US"/>
              </w:rPr>
              <w:t>达到</w:t>
            </w:r>
            <w:r>
              <w:rPr>
                <w:rFonts w:hint="eastAsia" w:eastAsia="宋体" w:cs="Times New Roman"/>
                <w:bCs/>
                <w:color w:val="auto"/>
                <w:sz w:val="24"/>
                <w:szCs w:val="24"/>
                <w:highlight w:val="none"/>
                <w:lang w:val="en-US" w:eastAsia="zh-CN" w:bidi="en-US"/>
              </w:rPr>
              <w:t>《污水综合排放标准》（GB 8978-1996）三级标准后接入市政污水管网。</w:t>
            </w:r>
          </w:p>
          <w:p w14:paraId="7714A5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Cs/>
                <w:color w:val="auto"/>
                <w:sz w:val="24"/>
                <w:szCs w:val="24"/>
                <w:highlight w:val="none"/>
                <w:lang w:val="en-US" w:eastAsia="zh-CN" w:bidi="en-US"/>
              </w:rPr>
            </w:pPr>
            <w:r>
              <w:rPr>
                <w:rFonts w:hint="default" w:ascii="Times New Roman" w:hAnsi="Times New Roman" w:eastAsia="宋体" w:cs="Times New Roman"/>
                <w:color w:val="auto"/>
                <w:sz w:val="24"/>
                <w:szCs w:val="24"/>
                <w:highlight w:val="none"/>
                <w:lang w:val="en-US" w:eastAsia="zh-CN"/>
              </w:rPr>
              <w:t>本项目</w:t>
            </w:r>
            <w:r>
              <w:rPr>
                <w:rFonts w:hint="eastAsia" w:eastAsia="宋体" w:cs="Times New Roman"/>
                <w:color w:val="auto"/>
                <w:sz w:val="24"/>
                <w:szCs w:val="24"/>
                <w:highlight w:val="none"/>
                <w:lang w:val="en-US" w:eastAsia="zh-CN"/>
              </w:rPr>
              <w:t>建成后污废水排放量</w:t>
            </w:r>
            <w:r>
              <w:rPr>
                <w:rFonts w:hint="default" w:ascii="Times New Roman" w:hAnsi="Times New Roman" w:eastAsia="宋体" w:cs="Times New Roman"/>
                <w:color w:val="auto"/>
                <w:sz w:val="24"/>
                <w:szCs w:val="24"/>
                <w:highlight w:val="none"/>
                <w:lang w:val="en-US" w:eastAsia="zh-CN"/>
              </w:rPr>
              <w:t>为</w:t>
            </w:r>
            <w:r>
              <w:rPr>
                <w:rFonts w:hint="eastAsia" w:cs="Times New Roman"/>
                <w:color w:val="auto"/>
                <w:sz w:val="24"/>
                <w:szCs w:val="24"/>
                <w:highlight w:val="none"/>
                <w:lang w:val="en-US" w:eastAsia="zh-CN"/>
              </w:rPr>
              <w:t>1.3005</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w:t>
            </w:r>
            <w:r>
              <w:rPr>
                <w:rFonts w:hint="eastAsia" w:eastAsia="宋体" w:cs="Times New Roman"/>
                <w:color w:val="auto"/>
                <w:sz w:val="24"/>
                <w:szCs w:val="24"/>
                <w:highlight w:val="none"/>
                <w:lang w:val="en-US" w:eastAsia="zh-CN"/>
              </w:rPr>
              <w:t>污废水排放量较小且水质简单，医疗废水已严格进行消毒处理</w:t>
            </w:r>
            <w:r>
              <w:rPr>
                <w:rFonts w:hint="default" w:ascii="Times New Roman" w:hAnsi="Times New Roman" w:eastAsia="宋体" w:cs="Times New Roman"/>
                <w:bCs/>
                <w:color w:val="auto"/>
                <w:sz w:val="24"/>
                <w:szCs w:val="24"/>
                <w:highlight w:val="none"/>
                <w:lang w:bidi="en-US"/>
              </w:rPr>
              <w:t>。因此，本项目</w:t>
            </w:r>
            <w:r>
              <w:rPr>
                <w:rFonts w:hint="eastAsia" w:cs="Times New Roman"/>
                <w:bCs/>
                <w:color w:val="auto"/>
                <w:sz w:val="24"/>
                <w:szCs w:val="24"/>
                <w:highlight w:val="none"/>
                <w:lang w:val="en-US" w:eastAsia="zh-CN" w:bidi="en-US"/>
              </w:rPr>
              <w:t>污废水</w:t>
            </w:r>
            <w:r>
              <w:rPr>
                <w:rFonts w:hint="default" w:ascii="Times New Roman" w:hAnsi="Times New Roman" w:eastAsia="宋体" w:cs="Times New Roman"/>
                <w:bCs/>
                <w:color w:val="auto"/>
                <w:sz w:val="24"/>
                <w:szCs w:val="24"/>
                <w:highlight w:val="none"/>
                <w:lang w:bidi="en-US"/>
              </w:rPr>
              <w:t>依托</w:t>
            </w:r>
            <w:r>
              <w:rPr>
                <w:rFonts w:hint="eastAsia" w:cs="Times New Roman"/>
                <w:color w:val="auto"/>
                <w:sz w:val="24"/>
                <w:szCs w:val="24"/>
                <w:highlight w:val="none"/>
                <w:lang w:val="en-US" w:eastAsia="zh-CN"/>
              </w:rPr>
              <w:t>恒大绿岛新城B区生化池</w:t>
            </w:r>
            <w:r>
              <w:rPr>
                <w:rFonts w:hint="default" w:ascii="Times New Roman" w:hAnsi="Times New Roman" w:eastAsia="宋体" w:cs="Times New Roman"/>
                <w:bCs/>
                <w:color w:val="auto"/>
                <w:sz w:val="24"/>
                <w:szCs w:val="24"/>
                <w:highlight w:val="none"/>
                <w:lang w:bidi="en-US"/>
              </w:rPr>
              <w:t>进行处理是合理可行的。</w:t>
            </w:r>
            <w:r>
              <w:rPr>
                <w:rFonts w:hint="eastAsia" w:cs="Times New Roman"/>
                <w:b w:val="0"/>
                <w:bCs w:val="0"/>
                <w:color w:val="auto"/>
                <w:sz w:val="24"/>
                <w:szCs w:val="24"/>
                <w:highlight w:val="none"/>
                <w:vertAlign w:val="baseline"/>
                <w:lang w:val="en-US" w:eastAsia="zh-CN"/>
              </w:rPr>
              <w:t>由于年代较为久远，</w:t>
            </w:r>
            <w:r>
              <w:rPr>
                <w:rFonts w:hint="eastAsia" w:cs="Times New Roman"/>
                <w:color w:val="auto"/>
                <w:sz w:val="24"/>
                <w:szCs w:val="24"/>
                <w:highlight w:val="none"/>
                <w:lang w:val="en-US" w:eastAsia="zh-CN"/>
              </w:rPr>
              <w:t>恒大绿岛新城B区</w:t>
            </w:r>
            <w:r>
              <w:rPr>
                <w:rFonts w:hint="eastAsia" w:cs="Times New Roman"/>
                <w:b w:val="0"/>
                <w:bCs w:val="0"/>
                <w:color w:val="auto"/>
                <w:sz w:val="24"/>
                <w:szCs w:val="24"/>
                <w:highlight w:val="none"/>
                <w:vertAlign w:val="baseline"/>
                <w:lang w:val="en-US" w:eastAsia="zh-CN"/>
              </w:rPr>
              <w:t>的环评及验收资料已遗失。</w:t>
            </w:r>
          </w:p>
          <w:p w14:paraId="1FEF00F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4.2.1.3</w:t>
            </w:r>
            <w:r>
              <w:rPr>
                <w:rFonts w:ascii="Times New Roman" w:hAnsi="Times New Roman" w:eastAsia="宋体" w:cs="Times New Roman"/>
                <w:b/>
                <w:bCs/>
                <w:color w:val="auto"/>
                <w:sz w:val="24"/>
                <w:szCs w:val="24"/>
                <w:highlight w:val="none"/>
              </w:rPr>
              <w:t>依托污水处理厂可行性分析</w:t>
            </w:r>
          </w:p>
          <w:p w14:paraId="023ACF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cs="Times New Roman"/>
                <w:b w:val="0"/>
                <w:bCs/>
                <w:kern w:val="0"/>
                <w:sz w:val="24"/>
                <w:szCs w:val="24"/>
                <w:vertAlign w:val="baseline"/>
                <w:lang w:eastAsia="zh-CN"/>
              </w:rPr>
            </w:pPr>
            <w:r>
              <w:rPr>
                <w:rFonts w:hint="eastAsia" w:ascii="Times New Roman" w:hAnsi="Times New Roman" w:cs="Times New Roman"/>
                <w:b w:val="0"/>
                <w:bCs/>
                <w:kern w:val="0"/>
                <w:sz w:val="24"/>
                <w:szCs w:val="24"/>
                <w:vertAlign w:val="baseline"/>
                <w:lang w:eastAsia="zh-CN"/>
              </w:rPr>
              <w:t>璧山观音塘污水处理厂位于璧山区南端的观音塘堰下约50m处、璧南河东侧，分两期建设。璧山观音塘污水处理厂采用循环式活性污泥法处理工艺，其中一期工程设计处理能力为3万t/d，2005年10月开工建设，2008年10月投入试生产，2009年9月通过环境保护竣工验收，污水出水水质满足标准；二期工程设计处理能力为3万t/d，2011年10月开工建设，现正常运行，污水出水水质达标。璧山观音塘污水处理厂污水管网覆盖整个</w:t>
            </w:r>
            <w:r>
              <w:rPr>
                <w:rFonts w:hint="eastAsia" w:cs="Times New Roman"/>
                <w:b w:val="0"/>
                <w:bCs/>
                <w:kern w:val="0"/>
                <w:sz w:val="24"/>
                <w:szCs w:val="24"/>
                <w:vertAlign w:val="baseline"/>
                <w:lang w:val="en-US" w:eastAsia="zh-CN"/>
              </w:rPr>
              <w:t>璧泉</w:t>
            </w:r>
            <w:r>
              <w:rPr>
                <w:rFonts w:hint="eastAsia" w:ascii="Times New Roman" w:hAnsi="Times New Roman" w:cs="Times New Roman"/>
                <w:b w:val="0"/>
                <w:bCs/>
                <w:kern w:val="0"/>
                <w:sz w:val="24"/>
                <w:szCs w:val="24"/>
                <w:vertAlign w:val="baseline"/>
                <w:lang w:eastAsia="zh-CN"/>
              </w:rPr>
              <w:t>街道，且项目所在区域的污水管网已建成，一期实际收集、处理水量已达到饱和，二期实际收集、处理水量约1.5万m</w:t>
            </w:r>
            <w:r>
              <w:rPr>
                <w:rFonts w:hint="eastAsia" w:ascii="Times New Roman" w:hAnsi="Times New Roman" w:cs="Times New Roman"/>
                <w:b w:val="0"/>
                <w:bCs/>
                <w:kern w:val="0"/>
                <w:sz w:val="24"/>
                <w:szCs w:val="24"/>
                <w:vertAlign w:val="superscript"/>
                <w:lang w:eastAsia="zh-CN"/>
              </w:rPr>
              <w:t>3</w:t>
            </w:r>
            <w:r>
              <w:rPr>
                <w:rFonts w:hint="eastAsia" w:ascii="Times New Roman" w:hAnsi="Times New Roman" w:cs="Times New Roman"/>
                <w:b w:val="0"/>
                <w:bCs/>
                <w:kern w:val="0"/>
                <w:sz w:val="24"/>
                <w:szCs w:val="24"/>
                <w:vertAlign w:val="baseline"/>
                <w:lang w:eastAsia="zh-CN"/>
              </w:rPr>
              <w:t>/d，剩余容量为1.5万m</w:t>
            </w:r>
            <w:r>
              <w:rPr>
                <w:rFonts w:hint="eastAsia" w:ascii="Times New Roman" w:hAnsi="Times New Roman" w:cs="Times New Roman"/>
                <w:b w:val="0"/>
                <w:bCs/>
                <w:kern w:val="0"/>
                <w:sz w:val="24"/>
                <w:szCs w:val="24"/>
                <w:vertAlign w:val="superscript"/>
                <w:lang w:eastAsia="zh-CN"/>
              </w:rPr>
              <w:t>3</w:t>
            </w:r>
            <w:r>
              <w:rPr>
                <w:rFonts w:hint="eastAsia" w:ascii="Times New Roman" w:hAnsi="Times New Roman" w:cs="Times New Roman"/>
                <w:b w:val="0"/>
                <w:bCs/>
                <w:kern w:val="0"/>
                <w:sz w:val="24"/>
                <w:szCs w:val="24"/>
                <w:vertAlign w:val="baseline"/>
                <w:lang w:eastAsia="zh-CN"/>
              </w:rPr>
              <w:t>/d。</w:t>
            </w:r>
          </w:p>
          <w:p w14:paraId="3406D1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cs="Times New Roman"/>
                <w:b w:val="0"/>
                <w:bCs/>
                <w:kern w:val="0"/>
                <w:sz w:val="24"/>
                <w:szCs w:val="24"/>
                <w:highlight w:val="none"/>
                <w:vertAlign w:val="baseline"/>
                <w:lang w:eastAsia="zh-CN"/>
              </w:rPr>
            </w:pPr>
            <w:r>
              <w:rPr>
                <w:rFonts w:hint="eastAsia" w:ascii="Times New Roman" w:hAnsi="Times New Roman" w:cs="Times New Roman"/>
                <w:b w:val="0"/>
                <w:bCs/>
                <w:kern w:val="0"/>
                <w:sz w:val="24"/>
                <w:szCs w:val="24"/>
                <w:highlight w:val="none"/>
                <w:vertAlign w:val="baseline"/>
                <w:lang w:eastAsia="zh-CN"/>
              </w:rPr>
              <w:t>项目位于属于</w:t>
            </w:r>
            <w:r>
              <w:rPr>
                <w:rFonts w:hint="eastAsia" w:cs="Times New Roman"/>
                <w:b w:val="0"/>
                <w:bCs/>
                <w:kern w:val="0"/>
                <w:sz w:val="24"/>
                <w:szCs w:val="24"/>
                <w:highlight w:val="none"/>
                <w:vertAlign w:val="baseline"/>
                <w:lang w:eastAsia="zh-CN"/>
              </w:rPr>
              <w:t>观音塘污水处理厂</w:t>
            </w:r>
            <w:r>
              <w:rPr>
                <w:rFonts w:hint="eastAsia" w:ascii="Times New Roman" w:hAnsi="Times New Roman" w:cs="Times New Roman"/>
                <w:b w:val="0"/>
                <w:bCs/>
                <w:kern w:val="0"/>
                <w:sz w:val="24"/>
                <w:szCs w:val="24"/>
                <w:highlight w:val="none"/>
                <w:vertAlign w:val="baseline"/>
                <w:lang w:eastAsia="zh-CN"/>
              </w:rPr>
              <w:t>纳污范围，污水管网已接通</w:t>
            </w:r>
            <w:r>
              <w:rPr>
                <w:rFonts w:hint="eastAsia" w:cs="Times New Roman"/>
                <w:b w:val="0"/>
                <w:bCs/>
                <w:kern w:val="0"/>
                <w:sz w:val="24"/>
                <w:szCs w:val="24"/>
                <w:highlight w:val="none"/>
                <w:vertAlign w:val="baseline"/>
                <w:lang w:eastAsia="zh-CN"/>
              </w:rPr>
              <w:t>观音塘污水处理厂，</w:t>
            </w:r>
            <w:r>
              <w:rPr>
                <w:rFonts w:hint="eastAsia" w:ascii="Times New Roman" w:hAnsi="Times New Roman" w:cs="Times New Roman"/>
                <w:b w:val="0"/>
                <w:bCs/>
                <w:kern w:val="0"/>
                <w:sz w:val="24"/>
                <w:szCs w:val="24"/>
                <w:highlight w:val="none"/>
                <w:vertAlign w:val="baseline"/>
                <w:lang w:eastAsia="zh-CN"/>
              </w:rPr>
              <w:t>项目废水排放量为</w:t>
            </w:r>
            <w:r>
              <w:rPr>
                <w:rFonts w:hint="eastAsia" w:cs="Times New Roman"/>
                <w:b w:val="0"/>
                <w:bCs/>
                <w:kern w:val="0"/>
                <w:sz w:val="24"/>
                <w:szCs w:val="24"/>
                <w:highlight w:val="none"/>
                <w:vertAlign w:val="baseline"/>
                <w:lang w:eastAsia="zh-CN"/>
              </w:rPr>
              <w:t>1.3005</w:t>
            </w:r>
            <w:r>
              <w:rPr>
                <w:rFonts w:hint="eastAsia" w:ascii="Times New Roman" w:hAnsi="Times New Roman" w:cs="Times New Roman"/>
                <w:b w:val="0"/>
                <w:bCs/>
                <w:kern w:val="0"/>
                <w:sz w:val="24"/>
                <w:szCs w:val="24"/>
                <w:highlight w:val="none"/>
                <w:vertAlign w:val="baseline"/>
                <w:lang w:eastAsia="zh-CN"/>
              </w:rPr>
              <w:t>m</w:t>
            </w:r>
            <w:r>
              <w:rPr>
                <w:rFonts w:hint="eastAsia" w:ascii="Times New Roman" w:hAnsi="Times New Roman" w:cs="Times New Roman"/>
                <w:b w:val="0"/>
                <w:bCs/>
                <w:kern w:val="0"/>
                <w:sz w:val="24"/>
                <w:szCs w:val="24"/>
                <w:highlight w:val="none"/>
                <w:vertAlign w:val="superscript"/>
                <w:lang w:val="en-US" w:eastAsia="zh-CN"/>
              </w:rPr>
              <w:t>3</w:t>
            </w:r>
            <w:r>
              <w:rPr>
                <w:rFonts w:hint="eastAsia" w:ascii="Times New Roman" w:hAnsi="Times New Roman" w:cs="Times New Roman"/>
                <w:b w:val="0"/>
                <w:bCs/>
                <w:kern w:val="0"/>
                <w:sz w:val="24"/>
                <w:szCs w:val="24"/>
                <w:highlight w:val="none"/>
                <w:vertAlign w:val="baseline"/>
                <w:lang w:val="en-US" w:eastAsia="zh-CN"/>
              </w:rPr>
              <w:t>/</w:t>
            </w:r>
            <w:r>
              <w:rPr>
                <w:rFonts w:hint="eastAsia" w:ascii="Times New Roman" w:hAnsi="Times New Roman" w:cs="Times New Roman"/>
                <w:b w:val="0"/>
                <w:bCs/>
                <w:kern w:val="0"/>
                <w:sz w:val="24"/>
                <w:szCs w:val="24"/>
                <w:highlight w:val="none"/>
                <w:vertAlign w:val="baseline"/>
                <w:lang w:eastAsia="zh-CN"/>
              </w:rPr>
              <w:t>d，占</w:t>
            </w:r>
            <w:r>
              <w:rPr>
                <w:rFonts w:hint="eastAsia" w:cs="Times New Roman"/>
                <w:b w:val="0"/>
                <w:bCs/>
                <w:kern w:val="0"/>
                <w:sz w:val="24"/>
                <w:szCs w:val="24"/>
                <w:highlight w:val="none"/>
                <w:vertAlign w:val="baseline"/>
                <w:lang w:eastAsia="zh-CN"/>
              </w:rPr>
              <w:t>污水处理厂</w:t>
            </w:r>
            <w:r>
              <w:rPr>
                <w:rFonts w:hint="eastAsia" w:ascii="Times New Roman" w:hAnsi="Times New Roman" w:cs="Times New Roman"/>
                <w:b w:val="0"/>
                <w:bCs/>
                <w:kern w:val="0"/>
                <w:sz w:val="24"/>
                <w:szCs w:val="24"/>
                <w:highlight w:val="none"/>
                <w:vertAlign w:val="baseline"/>
                <w:lang w:eastAsia="zh-CN"/>
              </w:rPr>
              <w:t>处理能力比例很小，能够满足处理需要，经处理后对周边地表水环境影响不大。</w:t>
            </w:r>
          </w:p>
          <w:p w14:paraId="631A9A2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Cs/>
                <w:color w:val="auto"/>
                <w:kern w:val="0"/>
                <w:sz w:val="24"/>
                <w:szCs w:val="24"/>
                <w:highlight w:val="none"/>
                <w:lang w:eastAsia="zh-CN"/>
              </w:rPr>
            </w:pPr>
            <w:r>
              <w:rPr>
                <w:rFonts w:ascii="Times New Roman" w:hAnsi="Times New Roman" w:eastAsia="宋体" w:cs="Times New Roman"/>
                <w:b/>
                <w:bCs/>
                <w:color w:val="auto"/>
                <w:sz w:val="24"/>
                <w:szCs w:val="24"/>
                <w:highlight w:val="none"/>
                <w:lang w:bidi="ar"/>
              </w:rPr>
              <w:t>4.2.1.</w:t>
            </w:r>
            <w:r>
              <w:rPr>
                <w:rFonts w:hint="eastAsia" w:cs="Times New Roman"/>
                <w:b/>
                <w:bCs/>
                <w:color w:val="auto"/>
                <w:sz w:val="24"/>
                <w:szCs w:val="24"/>
                <w:highlight w:val="none"/>
                <w:lang w:val="en-US" w:eastAsia="zh-CN" w:bidi="ar"/>
              </w:rPr>
              <w:t>4</w:t>
            </w:r>
            <w:r>
              <w:rPr>
                <w:rFonts w:ascii="Times New Roman" w:hAnsi="Times New Roman" w:eastAsia="宋体" w:cs="Times New Roman"/>
                <w:b/>
                <w:bCs/>
                <w:color w:val="auto"/>
                <w:sz w:val="24"/>
                <w:szCs w:val="24"/>
                <w:highlight w:val="none"/>
                <w:lang w:bidi="ar"/>
              </w:rPr>
              <w:t xml:space="preserve"> 废水污染物排放量核算</w:t>
            </w:r>
            <w:r>
              <w:rPr>
                <w:rFonts w:hint="eastAsia" w:ascii="Times New Roman" w:hAnsi="Times New Roman" w:eastAsia="宋体" w:cs="Times New Roman"/>
                <w:b/>
                <w:bCs/>
                <w:color w:val="auto"/>
                <w:sz w:val="24"/>
                <w:szCs w:val="24"/>
                <w:highlight w:val="none"/>
                <w:lang w:eastAsia="zh-CN" w:bidi="ar"/>
              </w:rPr>
              <w:tab/>
            </w:r>
          </w:p>
          <w:p w14:paraId="515AC314">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本项目废水污染物排放量核算结果详见下表。</w:t>
            </w:r>
          </w:p>
          <w:p w14:paraId="3209BDB4">
            <w:pPr>
              <w:widowControl w:val="0"/>
              <w:spacing w:line="240" w:lineRule="auto"/>
              <w:ind w:firstLine="0" w:firstLineChars="0"/>
              <w:jc w:val="center"/>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4"/>
                <w:szCs w:val="24"/>
                <w:highlight w:val="none"/>
                <w:lang w:val="en-US" w:eastAsia="zh-CN" w:bidi="ar-SA"/>
              </w:rPr>
              <w:t>表 4</w:t>
            </w:r>
            <w:r>
              <w:rPr>
                <w:rFonts w:hint="eastAsia" w:cs="Times New Roman"/>
                <w:b w:val="0"/>
                <w:bCs/>
                <w:color w:val="auto"/>
                <w:kern w:val="2"/>
                <w:sz w:val="24"/>
                <w:szCs w:val="24"/>
                <w:highlight w:val="none"/>
                <w:lang w:val="en-US" w:eastAsia="zh-CN" w:bidi="ar-SA"/>
              </w:rPr>
              <w:t>.2-14</w:t>
            </w:r>
            <w:r>
              <w:rPr>
                <w:rFonts w:ascii="Times New Roman" w:hAnsi="Times New Roman" w:eastAsia="宋体" w:cs="Times New Roman"/>
                <w:b w:val="0"/>
                <w:bCs/>
                <w:color w:val="auto"/>
                <w:kern w:val="2"/>
                <w:sz w:val="24"/>
                <w:szCs w:val="24"/>
                <w:highlight w:val="none"/>
                <w:lang w:val="en-US" w:eastAsia="zh-CN" w:bidi="ar-SA"/>
              </w:rPr>
              <w:t xml:space="preserve"> 废水类别、污染物及污染治理设施信息表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896"/>
              <w:gridCol w:w="668"/>
              <w:gridCol w:w="785"/>
              <w:gridCol w:w="797"/>
              <w:gridCol w:w="890"/>
              <w:gridCol w:w="797"/>
              <w:gridCol w:w="727"/>
              <w:gridCol w:w="727"/>
              <w:gridCol w:w="1487"/>
            </w:tblGrid>
            <w:tr w14:paraId="71D83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restart"/>
                  <w:tcBorders>
                    <w:tl2br w:val="nil"/>
                    <w:tr2bl w:val="nil"/>
                  </w:tcBorders>
                  <w:vAlign w:val="center"/>
                </w:tcPr>
                <w:p w14:paraId="35C3841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废水</w:t>
                  </w:r>
                </w:p>
                <w:p w14:paraId="3CB5ED6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类别</w:t>
                  </w:r>
                </w:p>
              </w:tc>
              <w:tc>
                <w:tcPr>
                  <w:tcW w:w="542" w:type="pct"/>
                  <w:vMerge w:val="restart"/>
                  <w:tcBorders>
                    <w:tl2br w:val="nil"/>
                    <w:tr2bl w:val="nil"/>
                  </w:tcBorders>
                  <w:vAlign w:val="center"/>
                </w:tcPr>
                <w:p w14:paraId="4E35BE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w:t>
                  </w:r>
                </w:p>
                <w:p w14:paraId="78FE09E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种类</w:t>
                  </w:r>
                </w:p>
              </w:tc>
              <w:tc>
                <w:tcPr>
                  <w:tcW w:w="404" w:type="pct"/>
                  <w:vMerge w:val="restart"/>
                  <w:tcBorders>
                    <w:tl2br w:val="nil"/>
                    <w:tr2bl w:val="nil"/>
                  </w:tcBorders>
                  <w:vAlign w:val="center"/>
                </w:tcPr>
                <w:p w14:paraId="3C0A7A0A">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215D619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去向</w:t>
                  </w:r>
                </w:p>
              </w:tc>
              <w:tc>
                <w:tcPr>
                  <w:tcW w:w="475" w:type="pct"/>
                  <w:vMerge w:val="restart"/>
                  <w:tcBorders>
                    <w:tl2br w:val="nil"/>
                    <w:tr2bl w:val="nil"/>
                  </w:tcBorders>
                  <w:vAlign w:val="center"/>
                </w:tcPr>
                <w:p w14:paraId="03D70D5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51DAEE2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规律</w:t>
                  </w:r>
                </w:p>
              </w:tc>
              <w:tc>
                <w:tcPr>
                  <w:tcW w:w="1502" w:type="pct"/>
                  <w:gridSpan w:val="3"/>
                  <w:tcBorders>
                    <w:tl2br w:val="nil"/>
                    <w:tr2bl w:val="nil"/>
                  </w:tcBorders>
                  <w:vAlign w:val="center"/>
                </w:tcPr>
                <w:p w14:paraId="42672A7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污染治理设施</w:t>
                  </w:r>
                </w:p>
              </w:tc>
              <w:tc>
                <w:tcPr>
                  <w:tcW w:w="440" w:type="pct"/>
                  <w:vMerge w:val="restart"/>
                  <w:tcBorders>
                    <w:tl2br w:val="nil"/>
                    <w:tr2bl w:val="nil"/>
                  </w:tcBorders>
                  <w:vAlign w:val="center"/>
                </w:tcPr>
                <w:p w14:paraId="70D66C2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440" w:type="pct"/>
                  <w:vMerge w:val="restart"/>
                  <w:tcBorders>
                    <w:tl2br w:val="nil"/>
                    <w:tr2bl w:val="nil"/>
                  </w:tcBorders>
                  <w:vAlign w:val="center"/>
                </w:tcPr>
                <w:p w14:paraId="076E30B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排放口设置是否符合要求</w:t>
                  </w:r>
                </w:p>
              </w:tc>
              <w:tc>
                <w:tcPr>
                  <w:tcW w:w="899" w:type="pct"/>
                  <w:vMerge w:val="restart"/>
                  <w:tcBorders>
                    <w:tl2br w:val="nil"/>
                    <w:tr2bl w:val="nil"/>
                  </w:tcBorders>
                  <w:vAlign w:val="center"/>
                </w:tcPr>
                <w:p w14:paraId="1B9903A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排放口类型</w:t>
                  </w:r>
                </w:p>
              </w:tc>
            </w:tr>
            <w:tr w14:paraId="339D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vMerge w:val="continue"/>
                  <w:tcBorders>
                    <w:tl2br w:val="nil"/>
                    <w:tr2bl w:val="nil"/>
                  </w:tcBorders>
                  <w:vAlign w:val="center"/>
                </w:tcPr>
                <w:p w14:paraId="3C2DCC8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542" w:type="pct"/>
                  <w:vMerge w:val="continue"/>
                  <w:tcBorders>
                    <w:tl2br w:val="nil"/>
                    <w:tr2bl w:val="nil"/>
                  </w:tcBorders>
                  <w:vAlign w:val="center"/>
                </w:tcPr>
                <w:p w14:paraId="26A5F544">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04" w:type="pct"/>
                  <w:vMerge w:val="continue"/>
                  <w:tcBorders>
                    <w:tl2br w:val="nil"/>
                    <w:tr2bl w:val="nil"/>
                  </w:tcBorders>
                  <w:vAlign w:val="center"/>
                </w:tcPr>
                <w:p w14:paraId="3B81D38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75" w:type="pct"/>
                  <w:vMerge w:val="continue"/>
                  <w:tcBorders>
                    <w:tl2br w:val="nil"/>
                    <w:tr2bl w:val="nil"/>
                  </w:tcBorders>
                  <w:vAlign w:val="center"/>
                </w:tcPr>
                <w:p w14:paraId="4FDFB22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82" w:type="pct"/>
                  <w:tcBorders>
                    <w:tl2br w:val="nil"/>
                    <w:tr2bl w:val="nil"/>
                  </w:tcBorders>
                  <w:vAlign w:val="center"/>
                </w:tcPr>
                <w:p w14:paraId="76D0CEA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污染治理设施编号</w:t>
                  </w:r>
                </w:p>
              </w:tc>
              <w:tc>
                <w:tcPr>
                  <w:tcW w:w="538" w:type="pct"/>
                  <w:tcBorders>
                    <w:tl2br w:val="nil"/>
                    <w:tr2bl w:val="nil"/>
                  </w:tcBorders>
                  <w:vAlign w:val="center"/>
                </w:tcPr>
                <w:p w14:paraId="7802019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污染治理设施名称</w:t>
                  </w:r>
                </w:p>
              </w:tc>
              <w:tc>
                <w:tcPr>
                  <w:tcW w:w="482" w:type="pct"/>
                  <w:tcBorders>
                    <w:tl2br w:val="nil"/>
                    <w:tr2bl w:val="nil"/>
                  </w:tcBorders>
                  <w:vAlign w:val="center"/>
                </w:tcPr>
                <w:p w14:paraId="47DB10E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治理设施工艺</w:t>
                  </w:r>
                </w:p>
              </w:tc>
              <w:tc>
                <w:tcPr>
                  <w:tcW w:w="440" w:type="pct"/>
                  <w:vMerge w:val="continue"/>
                  <w:tcBorders>
                    <w:tl2br w:val="nil"/>
                    <w:tr2bl w:val="nil"/>
                  </w:tcBorders>
                  <w:vAlign w:val="center"/>
                </w:tcPr>
                <w:p w14:paraId="555EB3FD">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40" w:type="pct"/>
                  <w:vMerge w:val="continue"/>
                  <w:tcBorders>
                    <w:tl2br w:val="nil"/>
                    <w:tr2bl w:val="nil"/>
                  </w:tcBorders>
                  <w:vAlign w:val="center"/>
                </w:tcPr>
                <w:p w14:paraId="5D15525E">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99" w:type="pct"/>
                  <w:vMerge w:val="continue"/>
                  <w:tcBorders>
                    <w:tl2br w:val="nil"/>
                    <w:tr2bl w:val="nil"/>
                  </w:tcBorders>
                  <w:vAlign w:val="center"/>
                </w:tcPr>
                <w:p w14:paraId="0BB30F9C">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r>
            <w:tr w14:paraId="27BA1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73EA1B10">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手术废水、手术器械清洗废水、诊疗废水</w:t>
                  </w:r>
                </w:p>
              </w:tc>
              <w:tc>
                <w:tcPr>
                  <w:tcW w:w="542" w:type="pct"/>
                  <w:tcBorders>
                    <w:tl2br w:val="nil"/>
                    <w:tr2bl w:val="nil"/>
                  </w:tcBorders>
                  <w:vAlign w:val="center"/>
                </w:tcPr>
                <w:p w14:paraId="347BFB65">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kern w:val="0"/>
                      <w:sz w:val="21"/>
                      <w:szCs w:val="21"/>
                      <w:highlight w:val="none"/>
                      <w:lang w:val="en-US" w:eastAsia="zh-CN"/>
                    </w:rPr>
                    <w:t>粪大肠菌群、总余氯</w:t>
                  </w:r>
                </w:p>
              </w:tc>
              <w:tc>
                <w:tcPr>
                  <w:tcW w:w="404" w:type="pct"/>
                  <w:tcBorders>
                    <w:tl2br w:val="nil"/>
                    <w:tr2bl w:val="nil"/>
                  </w:tcBorders>
                  <w:vAlign w:val="center"/>
                </w:tcPr>
                <w:p w14:paraId="2969BFB0">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生化池</w:t>
                  </w:r>
                </w:p>
              </w:tc>
              <w:tc>
                <w:tcPr>
                  <w:tcW w:w="475" w:type="pct"/>
                  <w:tcBorders>
                    <w:tl2br w:val="nil"/>
                    <w:tr2bl w:val="nil"/>
                  </w:tcBorders>
                  <w:vAlign w:val="center"/>
                </w:tcPr>
                <w:p w14:paraId="62E001AE">
                  <w:pPr>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482" w:type="pct"/>
                  <w:tcBorders>
                    <w:tl2br w:val="nil"/>
                    <w:tr2bl w:val="nil"/>
                  </w:tcBorders>
                  <w:vAlign w:val="center"/>
                </w:tcPr>
                <w:p w14:paraId="4D31310D">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TW001</w:t>
                  </w:r>
                </w:p>
              </w:tc>
              <w:tc>
                <w:tcPr>
                  <w:tcW w:w="538" w:type="pct"/>
                  <w:tcBorders>
                    <w:tl2br w:val="nil"/>
                    <w:tr2bl w:val="nil"/>
                  </w:tcBorders>
                  <w:vAlign w:val="center"/>
                </w:tcPr>
                <w:p w14:paraId="3DA173B9">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消毒设施</w:t>
                  </w:r>
                </w:p>
              </w:tc>
              <w:tc>
                <w:tcPr>
                  <w:tcW w:w="482" w:type="pct"/>
                  <w:tcBorders>
                    <w:tl2br w:val="nil"/>
                    <w:tr2bl w:val="nil"/>
                  </w:tcBorders>
                  <w:vAlign w:val="center"/>
                </w:tcPr>
                <w:p w14:paraId="09095C6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二氧化氯消毒</w:t>
                  </w:r>
                </w:p>
              </w:tc>
              <w:tc>
                <w:tcPr>
                  <w:tcW w:w="440" w:type="pct"/>
                  <w:tcBorders>
                    <w:tl2br w:val="nil"/>
                    <w:tr2bl w:val="nil"/>
                  </w:tcBorders>
                  <w:vAlign w:val="center"/>
                </w:tcPr>
                <w:p w14:paraId="6CB42B85">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DW001</w:t>
                  </w:r>
                </w:p>
              </w:tc>
              <w:tc>
                <w:tcPr>
                  <w:tcW w:w="440" w:type="pct"/>
                  <w:tcBorders>
                    <w:tl2br w:val="nil"/>
                    <w:tr2bl w:val="nil"/>
                  </w:tcBorders>
                  <w:shd w:val="clear" w:color="auto" w:fill="auto"/>
                  <w:vAlign w:val="center"/>
                </w:tcPr>
                <w:p w14:paraId="4B42F02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FE"/>
                  </w:r>
                  <w:r>
                    <w:rPr>
                      <w:rFonts w:ascii="Times New Roman" w:hAnsi="Times New Roman" w:eastAsia="宋体" w:cs="Times New Roman"/>
                      <w:snapToGrid w:val="0"/>
                      <w:color w:val="auto"/>
                      <w:kern w:val="2"/>
                      <w:sz w:val="21"/>
                      <w:szCs w:val="21"/>
                      <w:highlight w:val="none"/>
                      <w:lang w:val="en-US" w:eastAsia="zh-CN" w:bidi="ar-SA"/>
                    </w:rPr>
                    <w:t>是</w:t>
                  </w:r>
                </w:p>
                <w:p w14:paraId="13676E70">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否</w:t>
                  </w:r>
                </w:p>
              </w:tc>
              <w:tc>
                <w:tcPr>
                  <w:tcW w:w="899" w:type="pct"/>
                  <w:tcBorders>
                    <w:tl2br w:val="nil"/>
                    <w:tr2bl w:val="nil"/>
                  </w:tcBorders>
                  <w:shd w:val="clear" w:color="auto" w:fill="auto"/>
                  <w:vAlign w:val="center"/>
                </w:tcPr>
                <w:p w14:paraId="15989735">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企业总排</w:t>
                  </w:r>
                </w:p>
                <w:p w14:paraId="464488C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雨水排放</w:t>
                  </w:r>
                </w:p>
                <w:p w14:paraId="3619D3D2">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清净下水排放</w:t>
                  </w:r>
                </w:p>
                <w:p w14:paraId="1807DD7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温排水排放</w:t>
                  </w:r>
                </w:p>
                <w:p w14:paraId="48BBDDAC">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FE"/>
                  </w:r>
                  <w:r>
                    <w:rPr>
                      <w:rFonts w:ascii="Times New Roman" w:hAnsi="Times New Roman" w:eastAsia="宋体" w:cs="Times New Roman"/>
                      <w:snapToGrid w:val="0"/>
                      <w:color w:val="auto"/>
                      <w:kern w:val="2"/>
                      <w:sz w:val="21"/>
                      <w:szCs w:val="21"/>
                      <w:highlight w:val="none"/>
                      <w:lang w:val="en-US" w:eastAsia="zh-CN" w:bidi="ar-SA"/>
                    </w:rPr>
                    <w:t>车间或车间处理设施排放</w:t>
                  </w:r>
                </w:p>
              </w:tc>
            </w:tr>
            <w:tr w14:paraId="24B62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tcBorders>
                    <w:tl2br w:val="nil"/>
                    <w:tr2bl w:val="nil"/>
                  </w:tcBorders>
                  <w:shd w:val="clear" w:color="auto" w:fill="auto"/>
                  <w:vAlign w:val="center"/>
                </w:tcPr>
                <w:p w14:paraId="32ABE7B1">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宠物笼清洗废水</w:t>
                  </w:r>
                </w:p>
              </w:tc>
              <w:tc>
                <w:tcPr>
                  <w:tcW w:w="542" w:type="pct"/>
                  <w:tcBorders>
                    <w:tl2br w:val="nil"/>
                    <w:tr2bl w:val="nil"/>
                  </w:tcBorders>
                  <w:shd w:val="clear" w:color="auto" w:fill="auto"/>
                  <w:vAlign w:val="center"/>
                </w:tcPr>
                <w:p w14:paraId="152E61C9">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0"/>
                      <w:sz w:val="21"/>
                      <w:szCs w:val="21"/>
                      <w:highlight w:val="none"/>
                      <w:lang w:val="en-US" w:eastAsia="zh-CN"/>
                    </w:rPr>
                    <w:t>粪大肠菌群、总余氯</w:t>
                  </w:r>
                </w:p>
              </w:tc>
              <w:tc>
                <w:tcPr>
                  <w:tcW w:w="404" w:type="pct"/>
                  <w:tcBorders>
                    <w:tl2br w:val="nil"/>
                    <w:tr2bl w:val="nil"/>
                  </w:tcBorders>
                  <w:shd w:val="clear" w:color="auto" w:fill="auto"/>
                  <w:vAlign w:val="center"/>
                </w:tcPr>
                <w:p w14:paraId="3DC3D76C">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生化池</w:t>
                  </w:r>
                </w:p>
              </w:tc>
              <w:tc>
                <w:tcPr>
                  <w:tcW w:w="475" w:type="pct"/>
                  <w:tcBorders>
                    <w:tl2br w:val="nil"/>
                    <w:tr2bl w:val="nil"/>
                  </w:tcBorders>
                  <w:shd w:val="clear" w:color="auto" w:fill="auto"/>
                  <w:vAlign w:val="center"/>
                </w:tcPr>
                <w:p w14:paraId="01DA37FC">
                  <w:pPr>
                    <w:keepNext w:val="0"/>
                    <w:keepLines w:val="0"/>
                    <w:pageBreakBefore w:val="0"/>
                    <w:widowControl w:val="0"/>
                    <w:kinsoku/>
                    <w:wordWrap/>
                    <w:overflowPunct/>
                    <w:topLinePunct w:val="0"/>
                    <w:autoSpaceDE/>
                    <w:autoSpaceDN/>
                    <w:bidi w:val="0"/>
                    <w:adjustRightInd/>
                    <w:snapToGrid w:val="0"/>
                    <w:spacing w:line="240" w:lineRule="auto"/>
                    <w:ind w:left="-63" w:leftChars="-30" w:right="-63" w:rightChars="-30"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482" w:type="pct"/>
                  <w:tcBorders>
                    <w:tl2br w:val="nil"/>
                    <w:tr2bl w:val="nil"/>
                  </w:tcBorders>
                  <w:shd w:val="clear" w:color="auto" w:fill="auto"/>
                  <w:vAlign w:val="center"/>
                </w:tcPr>
                <w:p w14:paraId="73ABFF1B">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TW00</w:t>
                  </w:r>
                  <w:r>
                    <w:rPr>
                      <w:rFonts w:hint="eastAsia" w:cs="Times New Roman"/>
                      <w:snapToGrid w:val="0"/>
                      <w:color w:val="auto"/>
                      <w:kern w:val="2"/>
                      <w:sz w:val="21"/>
                      <w:szCs w:val="21"/>
                      <w:highlight w:val="none"/>
                      <w:lang w:val="en-US" w:eastAsia="zh-CN" w:bidi="ar-SA"/>
                    </w:rPr>
                    <w:t>2</w:t>
                  </w:r>
                </w:p>
              </w:tc>
              <w:tc>
                <w:tcPr>
                  <w:tcW w:w="538" w:type="pct"/>
                  <w:tcBorders>
                    <w:tl2br w:val="nil"/>
                    <w:tr2bl w:val="nil"/>
                  </w:tcBorders>
                  <w:shd w:val="clear" w:color="auto" w:fill="auto"/>
                  <w:vAlign w:val="center"/>
                </w:tcPr>
                <w:p w14:paraId="665274D3">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消毒设施</w:t>
                  </w:r>
                </w:p>
              </w:tc>
              <w:tc>
                <w:tcPr>
                  <w:tcW w:w="482" w:type="pct"/>
                  <w:tcBorders>
                    <w:tl2br w:val="nil"/>
                    <w:tr2bl w:val="nil"/>
                  </w:tcBorders>
                  <w:shd w:val="clear" w:color="auto" w:fill="auto"/>
                  <w:vAlign w:val="center"/>
                </w:tcPr>
                <w:p w14:paraId="45FEEA8D">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二氧化氯消毒</w:t>
                  </w:r>
                </w:p>
              </w:tc>
              <w:tc>
                <w:tcPr>
                  <w:tcW w:w="440" w:type="pct"/>
                  <w:tcBorders>
                    <w:tl2br w:val="nil"/>
                    <w:tr2bl w:val="nil"/>
                  </w:tcBorders>
                  <w:shd w:val="clear" w:color="auto" w:fill="auto"/>
                  <w:vAlign w:val="center"/>
                </w:tcPr>
                <w:p w14:paraId="44DB3C2E">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DW002</w:t>
                  </w:r>
                </w:p>
              </w:tc>
              <w:tc>
                <w:tcPr>
                  <w:tcW w:w="440" w:type="pct"/>
                  <w:tcBorders>
                    <w:tl2br w:val="nil"/>
                    <w:tr2bl w:val="nil"/>
                  </w:tcBorders>
                  <w:shd w:val="clear" w:color="auto" w:fill="auto"/>
                  <w:vAlign w:val="center"/>
                </w:tcPr>
                <w:p w14:paraId="0065C8BF">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FE"/>
                  </w:r>
                  <w:r>
                    <w:rPr>
                      <w:rFonts w:ascii="Times New Roman" w:hAnsi="Times New Roman" w:eastAsia="宋体" w:cs="Times New Roman"/>
                      <w:snapToGrid w:val="0"/>
                      <w:color w:val="auto"/>
                      <w:kern w:val="2"/>
                      <w:sz w:val="21"/>
                      <w:szCs w:val="21"/>
                      <w:highlight w:val="none"/>
                      <w:lang w:val="en-US" w:eastAsia="zh-CN" w:bidi="ar-SA"/>
                    </w:rPr>
                    <w:t>是</w:t>
                  </w:r>
                </w:p>
                <w:p w14:paraId="526278E9">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否</w:t>
                  </w:r>
                </w:p>
              </w:tc>
              <w:tc>
                <w:tcPr>
                  <w:tcW w:w="899" w:type="pct"/>
                  <w:tcBorders>
                    <w:tl2br w:val="nil"/>
                    <w:tr2bl w:val="nil"/>
                  </w:tcBorders>
                  <w:shd w:val="clear" w:color="auto" w:fill="auto"/>
                  <w:vAlign w:val="center"/>
                </w:tcPr>
                <w:p w14:paraId="12DC79C2">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企业总排</w:t>
                  </w:r>
                </w:p>
                <w:p w14:paraId="0E6856D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雨水排放</w:t>
                  </w:r>
                </w:p>
                <w:p w14:paraId="0886EF28">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清净下水排放</w:t>
                  </w:r>
                </w:p>
                <w:p w14:paraId="0368E431">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温排水排放</w:t>
                  </w:r>
                </w:p>
                <w:p w14:paraId="6EE3F383">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FE"/>
                  </w:r>
                  <w:r>
                    <w:rPr>
                      <w:rFonts w:ascii="Times New Roman" w:hAnsi="Times New Roman" w:eastAsia="宋体" w:cs="Times New Roman"/>
                      <w:snapToGrid w:val="0"/>
                      <w:color w:val="auto"/>
                      <w:kern w:val="2"/>
                      <w:sz w:val="21"/>
                      <w:szCs w:val="21"/>
                      <w:highlight w:val="none"/>
                      <w:lang w:val="en-US" w:eastAsia="zh-CN" w:bidi="ar-SA"/>
                    </w:rPr>
                    <w:t>车间或车间处理设施排放</w:t>
                  </w:r>
                </w:p>
              </w:tc>
            </w:tr>
            <w:tr w14:paraId="1518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4" w:type="pct"/>
                  <w:tcBorders>
                    <w:tl2br w:val="nil"/>
                    <w:tr2bl w:val="nil"/>
                  </w:tcBorders>
                  <w:vAlign w:val="center"/>
                </w:tcPr>
                <w:p w14:paraId="1BEABDCE">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综合废水</w:t>
                  </w:r>
                </w:p>
              </w:tc>
              <w:tc>
                <w:tcPr>
                  <w:tcW w:w="542" w:type="pct"/>
                  <w:tcBorders>
                    <w:tl2br w:val="nil"/>
                    <w:tr2bl w:val="nil"/>
                  </w:tcBorders>
                  <w:vAlign w:val="center"/>
                </w:tcPr>
                <w:p w14:paraId="4E0E4750">
                  <w:pPr>
                    <w:widowControl w:val="0"/>
                    <w:snapToGrid w:val="0"/>
                    <w:spacing w:line="240" w:lineRule="auto"/>
                    <w:ind w:left="-105" w:leftChars="-50" w:right="-105" w:rightChars="-50" w:firstLine="0" w:firstLineChars="0"/>
                    <w:jc w:val="center"/>
                    <w:rPr>
                      <w:color w:val="auto"/>
                      <w:kern w:val="0"/>
                      <w:sz w:val="21"/>
                      <w:szCs w:val="21"/>
                      <w:highlight w:val="none"/>
                    </w:rPr>
                  </w:pPr>
                  <w:r>
                    <w:rPr>
                      <w:color w:val="auto"/>
                      <w:kern w:val="0"/>
                      <w:sz w:val="21"/>
                      <w:szCs w:val="21"/>
                      <w:highlight w:val="none"/>
                    </w:rPr>
                    <w:t>pH、</w:t>
                  </w:r>
                </w:p>
                <w:p w14:paraId="577FDE1B">
                  <w:pPr>
                    <w:widowControl w:val="0"/>
                    <w:snapToGrid w:val="0"/>
                    <w:spacing w:line="240" w:lineRule="auto"/>
                    <w:ind w:left="-105" w:leftChars="-50" w:right="-105" w:rightChars="-50" w:firstLine="0" w:firstLineChars="0"/>
                    <w:jc w:val="center"/>
                    <w:rPr>
                      <w:color w:val="auto"/>
                      <w:kern w:val="0"/>
                      <w:sz w:val="21"/>
                      <w:szCs w:val="21"/>
                      <w:highlight w:val="none"/>
                    </w:rPr>
                  </w:pPr>
                  <w:r>
                    <w:rPr>
                      <w:color w:val="auto"/>
                      <w:kern w:val="0"/>
                      <w:sz w:val="21"/>
                      <w:szCs w:val="21"/>
                      <w:highlight w:val="none"/>
                    </w:rPr>
                    <w:t>COD、</w:t>
                  </w:r>
                </w:p>
                <w:p w14:paraId="77D631D2">
                  <w:pPr>
                    <w:widowControl w:val="0"/>
                    <w:snapToGrid w:val="0"/>
                    <w:spacing w:line="240" w:lineRule="auto"/>
                    <w:ind w:left="-105" w:leftChars="-50" w:right="-105" w:rightChars="-50" w:firstLine="0" w:firstLineChars="0"/>
                    <w:jc w:val="center"/>
                    <w:rPr>
                      <w:color w:val="auto"/>
                      <w:kern w:val="0"/>
                      <w:sz w:val="21"/>
                      <w:szCs w:val="21"/>
                      <w:highlight w:val="none"/>
                    </w:rPr>
                  </w:pPr>
                  <w:r>
                    <w:rPr>
                      <w:color w:val="auto"/>
                      <w:kern w:val="0"/>
                      <w:sz w:val="21"/>
                      <w:szCs w:val="21"/>
                      <w:highlight w:val="none"/>
                    </w:rPr>
                    <w:t>SS、BOD</w:t>
                  </w:r>
                  <w:r>
                    <w:rPr>
                      <w:color w:val="auto"/>
                      <w:kern w:val="0"/>
                      <w:sz w:val="21"/>
                      <w:szCs w:val="21"/>
                      <w:highlight w:val="none"/>
                      <w:vertAlign w:val="subscript"/>
                    </w:rPr>
                    <w:t>5</w:t>
                  </w:r>
                  <w:r>
                    <w:rPr>
                      <w:color w:val="auto"/>
                      <w:kern w:val="0"/>
                      <w:sz w:val="21"/>
                      <w:szCs w:val="21"/>
                      <w:highlight w:val="none"/>
                    </w:rPr>
                    <w:t>、</w:t>
                  </w:r>
                </w:p>
                <w:p w14:paraId="41C2C747">
                  <w:pPr>
                    <w:widowControl w:val="0"/>
                    <w:snapToGrid w:val="0"/>
                    <w:spacing w:line="240" w:lineRule="auto"/>
                    <w:ind w:left="-105" w:leftChars="-50" w:right="-105" w:rightChars="-50" w:firstLine="0" w:firstLineChars="0"/>
                    <w:jc w:val="center"/>
                    <w:rPr>
                      <w:rFonts w:hint="eastAsia"/>
                      <w:color w:val="auto"/>
                      <w:kern w:val="0"/>
                      <w:sz w:val="21"/>
                      <w:szCs w:val="21"/>
                      <w:highlight w:val="none"/>
                      <w:lang w:eastAsia="zh-CN"/>
                    </w:rPr>
                  </w:pPr>
                  <w:r>
                    <w:rPr>
                      <w:rFonts w:hint="eastAsia"/>
                      <w:color w:val="auto"/>
                      <w:kern w:val="0"/>
                      <w:sz w:val="21"/>
                      <w:szCs w:val="21"/>
                      <w:highlight w:val="none"/>
                      <w:lang w:val="en-US" w:eastAsia="zh-CN"/>
                    </w:rPr>
                    <w:t>氨氮</w:t>
                  </w:r>
                  <w:r>
                    <w:rPr>
                      <w:rFonts w:hint="eastAsia"/>
                      <w:color w:val="auto"/>
                      <w:kern w:val="0"/>
                      <w:sz w:val="21"/>
                      <w:szCs w:val="21"/>
                      <w:highlight w:val="none"/>
                    </w:rPr>
                    <w:t>、L</w:t>
                  </w:r>
                  <w:r>
                    <w:rPr>
                      <w:color w:val="auto"/>
                      <w:kern w:val="0"/>
                      <w:sz w:val="21"/>
                      <w:szCs w:val="21"/>
                      <w:highlight w:val="none"/>
                    </w:rPr>
                    <w:t>AS</w:t>
                  </w:r>
                  <w:r>
                    <w:rPr>
                      <w:rFonts w:hint="eastAsia"/>
                      <w:color w:val="auto"/>
                      <w:kern w:val="0"/>
                      <w:sz w:val="21"/>
                      <w:szCs w:val="21"/>
                      <w:highlight w:val="none"/>
                      <w:lang w:eastAsia="zh-CN"/>
                    </w:rPr>
                    <w:t>、</w:t>
                  </w:r>
                </w:p>
                <w:p w14:paraId="47425185">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kern w:val="0"/>
                      <w:sz w:val="21"/>
                      <w:szCs w:val="21"/>
                      <w:highlight w:val="none"/>
                    </w:rPr>
                    <w:t>T</w:t>
                  </w:r>
                  <w:r>
                    <w:rPr>
                      <w:color w:val="auto"/>
                      <w:kern w:val="0"/>
                      <w:sz w:val="21"/>
                      <w:szCs w:val="21"/>
                      <w:highlight w:val="none"/>
                    </w:rPr>
                    <w:t>P</w:t>
                  </w:r>
                  <w:r>
                    <w:rPr>
                      <w:rFonts w:hint="eastAsia"/>
                      <w:color w:val="auto"/>
                      <w:kern w:val="0"/>
                      <w:sz w:val="21"/>
                      <w:szCs w:val="21"/>
                      <w:highlight w:val="none"/>
                    </w:rPr>
                    <w:t>、</w:t>
                  </w:r>
                  <w:r>
                    <w:rPr>
                      <w:rFonts w:hint="eastAsia"/>
                      <w:color w:val="auto"/>
                      <w:kern w:val="0"/>
                      <w:sz w:val="21"/>
                      <w:szCs w:val="21"/>
                      <w:highlight w:val="none"/>
                      <w:lang w:val="en-US" w:eastAsia="zh-CN"/>
                    </w:rPr>
                    <w:t>粪大肠菌群</w:t>
                  </w:r>
                </w:p>
              </w:tc>
              <w:tc>
                <w:tcPr>
                  <w:tcW w:w="404" w:type="pct"/>
                  <w:tcBorders>
                    <w:tl2br w:val="nil"/>
                    <w:tr2bl w:val="nil"/>
                  </w:tcBorders>
                  <w:vAlign w:val="center"/>
                </w:tcPr>
                <w:p w14:paraId="07088567">
                  <w:pPr>
                    <w:widowControl w:val="0"/>
                    <w:snapToGrid w:val="0"/>
                    <w:spacing w:line="240" w:lineRule="auto"/>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观音塘污水处理厂</w:t>
                  </w:r>
                </w:p>
              </w:tc>
              <w:tc>
                <w:tcPr>
                  <w:tcW w:w="475" w:type="pct"/>
                  <w:tcBorders>
                    <w:tl2br w:val="nil"/>
                    <w:tr2bl w:val="nil"/>
                  </w:tcBorders>
                  <w:vAlign w:val="center"/>
                </w:tcPr>
                <w:p w14:paraId="4BA36E70">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482" w:type="pct"/>
                  <w:tcBorders>
                    <w:tl2br w:val="nil"/>
                    <w:tr2bl w:val="nil"/>
                  </w:tcBorders>
                  <w:vAlign w:val="center"/>
                </w:tcPr>
                <w:p w14:paraId="5366ECEA">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TW00</w:t>
                  </w:r>
                  <w:r>
                    <w:rPr>
                      <w:rFonts w:hint="eastAsia" w:cs="Times New Roman"/>
                      <w:snapToGrid w:val="0"/>
                      <w:color w:val="auto"/>
                      <w:kern w:val="2"/>
                      <w:sz w:val="21"/>
                      <w:szCs w:val="21"/>
                      <w:highlight w:val="none"/>
                      <w:lang w:val="en-US" w:eastAsia="zh-CN" w:bidi="ar-SA"/>
                    </w:rPr>
                    <w:t>3</w:t>
                  </w:r>
                </w:p>
              </w:tc>
              <w:tc>
                <w:tcPr>
                  <w:tcW w:w="538" w:type="pct"/>
                  <w:tcBorders>
                    <w:tl2br w:val="nil"/>
                    <w:tr2bl w:val="nil"/>
                  </w:tcBorders>
                  <w:vAlign w:val="center"/>
                </w:tcPr>
                <w:p w14:paraId="1DFD2487">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生化池</w:t>
                  </w:r>
                </w:p>
              </w:tc>
              <w:tc>
                <w:tcPr>
                  <w:tcW w:w="482" w:type="pct"/>
                  <w:tcBorders>
                    <w:tl2br w:val="nil"/>
                    <w:tr2bl w:val="nil"/>
                  </w:tcBorders>
                  <w:vAlign w:val="center"/>
                </w:tcPr>
                <w:p w14:paraId="61965475">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生化</w:t>
                  </w:r>
                </w:p>
              </w:tc>
              <w:tc>
                <w:tcPr>
                  <w:tcW w:w="440" w:type="pct"/>
                  <w:tcBorders>
                    <w:tl2br w:val="nil"/>
                    <w:tr2bl w:val="nil"/>
                  </w:tcBorders>
                  <w:shd w:val="clear" w:color="auto" w:fill="auto"/>
                  <w:vAlign w:val="center"/>
                </w:tcPr>
                <w:p w14:paraId="05F441C8">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DW00</w:t>
                  </w:r>
                  <w:r>
                    <w:rPr>
                      <w:rFonts w:hint="eastAsia" w:cs="Times New Roman"/>
                      <w:snapToGrid w:val="0"/>
                      <w:color w:val="auto"/>
                      <w:kern w:val="2"/>
                      <w:sz w:val="21"/>
                      <w:szCs w:val="21"/>
                      <w:highlight w:val="none"/>
                      <w:lang w:val="en-US" w:eastAsia="zh-CN" w:bidi="ar-SA"/>
                    </w:rPr>
                    <w:t>3</w:t>
                  </w:r>
                </w:p>
              </w:tc>
              <w:tc>
                <w:tcPr>
                  <w:tcW w:w="440" w:type="pct"/>
                  <w:tcBorders>
                    <w:tl2br w:val="nil"/>
                    <w:tr2bl w:val="nil"/>
                  </w:tcBorders>
                  <w:shd w:val="clear" w:color="auto" w:fill="auto"/>
                  <w:vAlign w:val="center"/>
                </w:tcPr>
                <w:p w14:paraId="2C34D67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FE"/>
                  </w:r>
                  <w:r>
                    <w:rPr>
                      <w:rFonts w:ascii="Times New Roman" w:hAnsi="Times New Roman" w:eastAsia="宋体" w:cs="Times New Roman"/>
                      <w:snapToGrid w:val="0"/>
                      <w:color w:val="auto"/>
                      <w:kern w:val="2"/>
                      <w:sz w:val="21"/>
                      <w:szCs w:val="21"/>
                      <w:highlight w:val="none"/>
                      <w:lang w:val="en-US" w:eastAsia="zh-CN" w:bidi="ar-SA"/>
                    </w:rPr>
                    <w:t>是</w:t>
                  </w:r>
                </w:p>
                <w:p w14:paraId="206B8287">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否</w:t>
                  </w:r>
                </w:p>
              </w:tc>
              <w:tc>
                <w:tcPr>
                  <w:tcW w:w="899" w:type="pct"/>
                  <w:tcBorders>
                    <w:tl2br w:val="nil"/>
                    <w:tr2bl w:val="nil"/>
                  </w:tcBorders>
                  <w:shd w:val="clear" w:color="auto" w:fill="auto"/>
                  <w:vAlign w:val="center"/>
                </w:tcPr>
                <w:p w14:paraId="7F16A75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FE"/>
                  </w:r>
                  <w:r>
                    <w:rPr>
                      <w:rFonts w:ascii="Times New Roman" w:hAnsi="Times New Roman" w:eastAsia="宋体" w:cs="Times New Roman"/>
                      <w:snapToGrid w:val="0"/>
                      <w:color w:val="auto"/>
                      <w:kern w:val="2"/>
                      <w:sz w:val="21"/>
                      <w:szCs w:val="21"/>
                      <w:highlight w:val="none"/>
                      <w:lang w:val="en-US" w:eastAsia="zh-CN" w:bidi="ar-SA"/>
                    </w:rPr>
                    <w:t>企业总排</w:t>
                  </w:r>
                </w:p>
                <w:p w14:paraId="37A5DEB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雨水排放</w:t>
                  </w:r>
                </w:p>
                <w:p w14:paraId="3E8FCBF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清净下水排放</w:t>
                  </w:r>
                </w:p>
                <w:p w14:paraId="4B3D9FE6">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温排水排放</w:t>
                  </w:r>
                </w:p>
                <w:p w14:paraId="7EDE2E12">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sym w:font="Wingdings" w:char="00A8"/>
                  </w:r>
                  <w:r>
                    <w:rPr>
                      <w:rFonts w:ascii="Times New Roman" w:hAnsi="Times New Roman" w:eastAsia="宋体" w:cs="Times New Roman"/>
                      <w:snapToGrid w:val="0"/>
                      <w:color w:val="auto"/>
                      <w:kern w:val="2"/>
                      <w:sz w:val="21"/>
                      <w:szCs w:val="21"/>
                      <w:highlight w:val="none"/>
                      <w:lang w:val="en-US" w:eastAsia="zh-CN" w:bidi="ar-SA"/>
                    </w:rPr>
                    <w:t>车间或车间处理设施排放</w:t>
                  </w:r>
                </w:p>
              </w:tc>
            </w:tr>
          </w:tbl>
          <w:p w14:paraId="71AC2518">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4"/>
                <w:szCs w:val="24"/>
                <w:highlight w:val="none"/>
                <w:lang w:val="en-US" w:eastAsia="zh-CN" w:bidi="ar-SA"/>
              </w:rPr>
              <w:t xml:space="preserve">表 </w:t>
            </w:r>
            <w:r>
              <w:rPr>
                <w:rFonts w:hint="eastAsia" w:cs="Times New Roman"/>
                <w:b w:val="0"/>
                <w:bCs/>
                <w:color w:val="auto"/>
                <w:kern w:val="2"/>
                <w:sz w:val="24"/>
                <w:szCs w:val="24"/>
                <w:highlight w:val="none"/>
                <w:lang w:val="en-US" w:eastAsia="zh-CN" w:bidi="ar-SA"/>
              </w:rPr>
              <w:t>4.2-15</w:t>
            </w:r>
            <w:r>
              <w:rPr>
                <w:rFonts w:ascii="Times New Roman" w:hAnsi="Times New Roman" w:eastAsia="宋体" w:cs="Times New Roman"/>
                <w:b w:val="0"/>
                <w:bCs/>
                <w:color w:val="auto"/>
                <w:kern w:val="2"/>
                <w:sz w:val="24"/>
                <w:szCs w:val="20"/>
                <w:highlight w:val="none"/>
                <w:lang w:val="en-US" w:eastAsia="zh-CN" w:bidi="ar-SA"/>
              </w:rPr>
              <w:t xml:space="preserve"> </w:t>
            </w:r>
            <w:r>
              <w:rPr>
                <w:rFonts w:ascii="Times New Roman" w:hAnsi="Times New Roman" w:eastAsia="宋体" w:cs="Times New Roman"/>
                <w:b w:val="0"/>
                <w:bCs/>
                <w:color w:val="auto"/>
                <w:kern w:val="2"/>
                <w:sz w:val="24"/>
                <w:szCs w:val="24"/>
                <w:highlight w:val="none"/>
                <w:lang w:val="en-US" w:eastAsia="zh-CN" w:bidi="ar-SA"/>
              </w:rPr>
              <w:t>废水间接排放口基本情况表</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64"/>
              <w:gridCol w:w="1286"/>
              <w:gridCol w:w="1184"/>
              <w:gridCol w:w="768"/>
              <w:gridCol w:w="502"/>
              <w:gridCol w:w="598"/>
              <w:gridCol w:w="380"/>
              <w:gridCol w:w="571"/>
              <w:gridCol w:w="646"/>
              <w:gridCol w:w="1656"/>
            </w:tblGrid>
            <w:tr w14:paraId="24F5D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restart"/>
                  <w:tcBorders>
                    <w:tl2br w:val="nil"/>
                    <w:tr2bl w:val="nil"/>
                  </w:tcBorders>
                  <w:vAlign w:val="center"/>
                </w:tcPr>
                <w:p w14:paraId="2204F41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1496" w:type="pct"/>
                  <w:gridSpan w:val="2"/>
                  <w:tcBorders>
                    <w:tl2br w:val="nil"/>
                    <w:tr2bl w:val="nil"/>
                  </w:tcBorders>
                  <w:vAlign w:val="center"/>
                </w:tcPr>
                <w:p w14:paraId="2FDFF00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排放口地理坐标</w:t>
                  </w:r>
                </w:p>
              </w:tc>
              <w:tc>
                <w:tcPr>
                  <w:tcW w:w="465" w:type="pct"/>
                  <w:vMerge w:val="restart"/>
                  <w:tcBorders>
                    <w:tl2br w:val="nil"/>
                    <w:tr2bl w:val="nil"/>
                  </w:tcBorders>
                  <w:vAlign w:val="center"/>
                </w:tcPr>
                <w:p w14:paraId="7FD7EBF0">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废水排放量/（t/a）</w:t>
                  </w:r>
                </w:p>
              </w:tc>
              <w:tc>
                <w:tcPr>
                  <w:tcW w:w="304" w:type="pct"/>
                  <w:vMerge w:val="restart"/>
                  <w:tcBorders>
                    <w:tl2br w:val="nil"/>
                    <w:tr2bl w:val="nil"/>
                  </w:tcBorders>
                  <w:vAlign w:val="center"/>
                </w:tcPr>
                <w:p w14:paraId="4D14061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775DB47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去向</w:t>
                  </w:r>
                </w:p>
              </w:tc>
              <w:tc>
                <w:tcPr>
                  <w:tcW w:w="362" w:type="pct"/>
                  <w:vMerge w:val="restart"/>
                  <w:tcBorders>
                    <w:tl2br w:val="nil"/>
                    <w:tr2bl w:val="nil"/>
                  </w:tcBorders>
                  <w:vAlign w:val="center"/>
                </w:tcPr>
                <w:p w14:paraId="27CDDC2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w:t>
                  </w:r>
                </w:p>
                <w:p w14:paraId="29C6668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规律</w:t>
                  </w:r>
                </w:p>
              </w:tc>
              <w:tc>
                <w:tcPr>
                  <w:tcW w:w="230" w:type="pct"/>
                  <w:vMerge w:val="restart"/>
                  <w:tcBorders>
                    <w:tl2br w:val="nil"/>
                    <w:tr2bl w:val="nil"/>
                  </w:tcBorders>
                  <w:vAlign w:val="center"/>
                </w:tcPr>
                <w:p w14:paraId="329057E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间歇排放时段</w:t>
                  </w:r>
                </w:p>
              </w:tc>
              <w:tc>
                <w:tcPr>
                  <w:tcW w:w="1736" w:type="pct"/>
                  <w:gridSpan w:val="3"/>
                  <w:tcBorders>
                    <w:tl2br w:val="nil"/>
                    <w:tr2bl w:val="nil"/>
                  </w:tcBorders>
                  <w:vAlign w:val="center"/>
                </w:tcPr>
                <w:p w14:paraId="2CC19B54">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受纳污水处理厂信息</w:t>
                  </w:r>
                </w:p>
              </w:tc>
            </w:tr>
            <w:tr w14:paraId="7DDF5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0774342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tcBorders>
                    <w:tl2br w:val="nil"/>
                    <w:tr2bl w:val="nil"/>
                  </w:tcBorders>
                  <w:vAlign w:val="center"/>
                </w:tcPr>
                <w:p w14:paraId="461EF64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经度</w:t>
                  </w:r>
                </w:p>
              </w:tc>
              <w:tc>
                <w:tcPr>
                  <w:tcW w:w="717" w:type="pct"/>
                  <w:tcBorders>
                    <w:tl2br w:val="nil"/>
                    <w:tr2bl w:val="nil"/>
                  </w:tcBorders>
                  <w:vAlign w:val="center"/>
                </w:tcPr>
                <w:p w14:paraId="755FD6A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纬度</w:t>
                  </w:r>
                </w:p>
              </w:tc>
              <w:tc>
                <w:tcPr>
                  <w:tcW w:w="465" w:type="pct"/>
                  <w:vMerge w:val="continue"/>
                  <w:tcBorders>
                    <w:tl2br w:val="nil"/>
                    <w:tr2bl w:val="nil"/>
                  </w:tcBorders>
                  <w:vAlign w:val="center"/>
                </w:tcPr>
                <w:p w14:paraId="536BE6D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19D209C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0501818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17CF156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tcBorders>
                    <w:tl2br w:val="nil"/>
                    <w:tr2bl w:val="nil"/>
                  </w:tcBorders>
                  <w:vAlign w:val="center"/>
                </w:tcPr>
                <w:p w14:paraId="4366280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名称</w:t>
                  </w:r>
                </w:p>
              </w:tc>
              <w:tc>
                <w:tcPr>
                  <w:tcW w:w="391" w:type="pct"/>
                  <w:tcBorders>
                    <w:tl2br w:val="nil"/>
                    <w:tr2bl w:val="nil"/>
                  </w:tcBorders>
                  <w:vAlign w:val="center"/>
                </w:tcPr>
                <w:p w14:paraId="2BAB752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w:t>
                  </w:r>
                </w:p>
                <w:p w14:paraId="245F03E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种类</w:t>
                  </w:r>
                </w:p>
              </w:tc>
              <w:tc>
                <w:tcPr>
                  <w:tcW w:w="999" w:type="pct"/>
                  <w:tcBorders>
                    <w:tl2br w:val="nil"/>
                    <w:tr2bl w:val="nil"/>
                  </w:tcBorders>
                  <w:vAlign w:val="center"/>
                </w:tcPr>
                <w:p w14:paraId="7DC3DB2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国家或地方污染物排放标准浓度限值/（mg/L）</w:t>
                  </w:r>
                </w:p>
              </w:tc>
            </w:tr>
            <w:tr w14:paraId="73CE6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restart"/>
                  <w:tcBorders>
                    <w:tl2br w:val="nil"/>
                    <w:tr2bl w:val="nil"/>
                  </w:tcBorders>
                  <w:vAlign w:val="center"/>
                </w:tcPr>
                <w:p w14:paraId="6D0F77B3">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DW001</w:t>
                  </w:r>
                </w:p>
              </w:tc>
              <w:tc>
                <w:tcPr>
                  <w:tcW w:w="779" w:type="pct"/>
                  <w:vMerge w:val="restart"/>
                  <w:tcBorders>
                    <w:tl2br w:val="nil"/>
                    <w:tr2bl w:val="nil"/>
                  </w:tcBorders>
                  <w:vAlign w:val="center"/>
                </w:tcPr>
                <w:p w14:paraId="2C4E0CBE">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106.220774990</w:t>
                  </w:r>
                </w:p>
              </w:tc>
              <w:tc>
                <w:tcPr>
                  <w:tcW w:w="717" w:type="pct"/>
                  <w:vMerge w:val="restart"/>
                  <w:tcBorders>
                    <w:tl2br w:val="nil"/>
                    <w:tr2bl w:val="nil"/>
                  </w:tcBorders>
                  <w:vAlign w:val="center"/>
                </w:tcPr>
                <w:p w14:paraId="2B5BF0E7">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29.580836260</w:t>
                  </w:r>
                </w:p>
              </w:tc>
              <w:tc>
                <w:tcPr>
                  <w:tcW w:w="465" w:type="pct"/>
                  <w:vMerge w:val="restart"/>
                  <w:tcBorders>
                    <w:tl2br w:val="nil"/>
                    <w:tr2bl w:val="nil"/>
                  </w:tcBorders>
                  <w:vAlign w:val="center"/>
                </w:tcPr>
                <w:p w14:paraId="30C4AFF8">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110.0475</w:t>
                  </w:r>
                </w:p>
              </w:tc>
              <w:tc>
                <w:tcPr>
                  <w:tcW w:w="304" w:type="pct"/>
                  <w:vMerge w:val="restart"/>
                  <w:tcBorders>
                    <w:tl2br w:val="nil"/>
                    <w:tr2bl w:val="nil"/>
                  </w:tcBorders>
                  <w:vAlign w:val="center"/>
                </w:tcPr>
                <w:p w14:paraId="0CA2D8D5">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进入恒大绿岛新城B区生化池</w:t>
                  </w:r>
                </w:p>
              </w:tc>
              <w:tc>
                <w:tcPr>
                  <w:tcW w:w="362" w:type="pct"/>
                  <w:vMerge w:val="restart"/>
                  <w:tcBorders>
                    <w:tl2br w:val="nil"/>
                    <w:tr2bl w:val="nil"/>
                  </w:tcBorders>
                  <w:vAlign w:val="center"/>
                </w:tcPr>
                <w:p w14:paraId="33AE884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230" w:type="pct"/>
                  <w:vMerge w:val="restart"/>
                  <w:tcBorders>
                    <w:tl2br w:val="nil"/>
                    <w:tr2bl w:val="nil"/>
                  </w:tcBorders>
                  <w:vAlign w:val="center"/>
                </w:tcPr>
                <w:p w14:paraId="7FE32D62">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w:t>
                  </w:r>
                </w:p>
              </w:tc>
              <w:tc>
                <w:tcPr>
                  <w:tcW w:w="346" w:type="pct"/>
                  <w:vMerge w:val="restart"/>
                  <w:tcBorders>
                    <w:tl2br w:val="nil"/>
                    <w:tr2bl w:val="nil"/>
                  </w:tcBorders>
                  <w:vAlign w:val="center"/>
                </w:tcPr>
                <w:p w14:paraId="24EEFAA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观音塘污水处理厂</w:t>
                  </w:r>
                </w:p>
              </w:tc>
              <w:tc>
                <w:tcPr>
                  <w:tcW w:w="391" w:type="pct"/>
                  <w:tcBorders>
                    <w:tl2br w:val="nil"/>
                    <w:tr2bl w:val="nil"/>
                  </w:tcBorders>
                  <w:shd w:val="clear" w:color="auto" w:fill="auto"/>
                  <w:vAlign w:val="center"/>
                </w:tcPr>
                <w:p w14:paraId="1F279574">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粪大肠</w:t>
                  </w:r>
                </w:p>
                <w:p w14:paraId="4BB6880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菌群</w:t>
                  </w:r>
                </w:p>
              </w:tc>
              <w:tc>
                <w:tcPr>
                  <w:tcW w:w="999" w:type="pct"/>
                  <w:tcBorders>
                    <w:tl2br w:val="nil"/>
                    <w:tr2bl w:val="nil"/>
                  </w:tcBorders>
                  <w:vAlign w:val="center"/>
                </w:tcPr>
                <w:p w14:paraId="6B84422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1000个/L</w:t>
                  </w:r>
                </w:p>
              </w:tc>
            </w:tr>
            <w:tr w14:paraId="33D8ED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369B302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5D1EDF2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01302EE3">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64160F1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1F7FAF2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442D3C6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7FD1FE74">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1ED56697">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6836EE98">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999" w:type="pct"/>
                  <w:tcBorders>
                    <w:tl2br w:val="nil"/>
                    <w:tr2bl w:val="nil"/>
                  </w:tcBorders>
                  <w:vAlign w:val="center"/>
                </w:tcPr>
                <w:p w14:paraId="22F768A4">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w:t>
                  </w:r>
                </w:p>
              </w:tc>
            </w:tr>
            <w:tr w14:paraId="4E2E7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restart"/>
                  <w:tcBorders>
                    <w:tl2br w:val="nil"/>
                    <w:tr2bl w:val="nil"/>
                  </w:tcBorders>
                  <w:vAlign w:val="center"/>
                </w:tcPr>
                <w:p w14:paraId="4D9B98E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DW002</w:t>
                  </w:r>
                </w:p>
              </w:tc>
              <w:tc>
                <w:tcPr>
                  <w:tcW w:w="779" w:type="pct"/>
                  <w:vMerge w:val="restart"/>
                  <w:tcBorders>
                    <w:tl2br w:val="nil"/>
                    <w:tr2bl w:val="nil"/>
                  </w:tcBorders>
                  <w:vAlign w:val="center"/>
                </w:tcPr>
                <w:p w14:paraId="7B9978C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106.220748322</w:t>
                  </w:r>
                </w:p>
              </w:tc>
              <w:tc>
                <w:tcPr>
                  <w:tcW w:w="717" w:type="pct"/>
                  <w:vMerge w:val="restart"/>
                  <w:tcBorders>
                    <w:tl2br w:val="nil"/>
                    <w:tr2bl w:val="nil"/>
                  </w:tcBorders>
                  <w:vAlign w:val="center"/>
                </w:tcPr>
                <w:p w14:paraId="4E6CE8A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29.580804245</w:t>
                  </w:r>
                </w:p>
              </w:tc>
              <w:tc>
                <w:tcPr>
                  <w:tcW w:w="465" w:type="pct"/>
                  <w:vMerge w:val="restart"/>
                  <w:tcBorders>
                    <w:tl2br w:val="nil"/>
                    <w:tr2bl w:val="nil"/>
                  </w:tcBorders>
                  <w:vAlign w:val="center"/>
                </w:tcPr>
                <w:p w14:paraId="3B38D889">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42.705</w:t>
                  </w:r>
                </w:p>
              </w:tc>
              <w:tc>
                <w:tcPr>
                  <w:tcW w:w="304" w:type="pct"/>
                  <w:vMerge w:val="restart"/>
                  <w:tcBorders>
                    <w:tl2br w:val="nil"/>
                    <w:tr2bl w:val="nil"/>
                  </w:tcBorders>
                  <w:shd w:val="clear" w:color="auto" w:fill="auto"/>
                  <w:vAlign w:val="center"/>
                </w:tcPr>
                <w:p w14:paraId="73A8B0CE">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进入恒大绿岛新城B区生化池</w:t>
                  </w:r>
                </w:p>
              </w:tc>
              <w:tc>
                <w:tcPr>
                  <w:tcW w:w="362" w:type="pct"/>
                  <w:vMerge w:val="restart"/>
                  <w:tcBorders>
                    <w:tl2br w:val="nil"/>
                    <w:tr2bl w:val="nil"/>
                  </w:tcBorders>
                  <w:shd w:val="clear" w:color="auto" w:fill="auto"/>
                  <w:vAlign w:val="center"/>
                </w:tcPr>
                <w:p w14:paraId="15429EF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230" w:type="pct"/>
                  <w:vMerge w:val="restart"/>
                  <w:tcBorders>
                    <w:tl2br w:val="nil"/>
                    <w:tr2bl w:val="nil"/>
                  </w:tcBorders>
                  <w:shd w:val="clear" w:color="auto" w:fill="auto"/>
                  <w:vAlign w:val="center"/>
                </w:tcPr>
                <w:p w14:paraId="204A10D5">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w:t>
                  </w:r>
                </w:p>
              </w:tc>
              <w:tc>
                <w:tcPr>
                  <w:tcW w:w="346" w:type="pct"/>
                  <w:vMerge w:val="restart"/>
                  <w:tcBorders>
                    <w:tl2br w:val="nil"/>
                    <w:tr2bl w:val="nil"/>
                  </w:tcBorders>
                  <w:shd w:val="clear" w:color="auto" w:fill="auto"/>
                  <w:vAlign w:val="center"/>
                </w:tcPr>
                <w:p w14:paraId="4FFCE859">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观音塘污水处理厂</w:t>
                  </w:r>
                </w:p>
              </w:tc>
              <w:tc>
                <w:tcPr>
                  <w:tcW w:w="391" w:type="pct"/>
                  <w:tcBorders>
                    <w:tl2br w:val="nil"/>
                    <w:tr2bl w:val="nil"/>
                  </w:tcBorders>
                  <w:shd w:val="clear" w:color="auto" w:fill="auto"/>
                  <w:vAlign w:val="center"/>
                </w:tcPr>
                <w:p w14:paraId="1CA0C57D">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粪大肠</w:t>
                  </w:r>
                </w:p>
                <w:p w14:paraId="3AC058F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菌群</w:t>
                  </w:r>
                </w:p>
              </w:tc>
              <w:tc>
                <w:tcPr>
                  <w:tcW w:w="999" w:type="pct"/>
                  <w:tcBorders>
                    <w:tl2br w:val="nil"/>
                    <w:tr2bl w:val="nil"/>
                  </w:tcBorders>
                  <w:shd w:val="clear" w:color="auto" w:fill="auto"/>
                  <w:vAlign w:val="center"/>
                </w:tcPr>
                <w:p w14:paraId="5D42934F">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1000个/L</w:t>
                  </w:r>
                </w:p>
              </w:tc>
            </w:tr>
            <w:tr w14:paraId="008A56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19F4498E">
                  <w:pPr>
                    <w:widowControl w:val="0"/>
                    <w:snapToGrid w:val="0"/>
                    <w:spacing w:line="240" w:lineRule="auto"/>
                    <w:ind w:firstLine="0" w:firstLineChars="0"/>
                    <w:jc w:val="center"/>
                    <w:rPr>
                      <w:rFonts w:hint="eastAsia"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4A51A5F4">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4CFCA160">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3CB11437">
                  <w:pPr>
                    <w:widowControl w:val="0"/>
                    <w:snapToGrid w:val="0"/>
                    <w:spacing w:line="240" w:lineRule="auto"/>
                    <w:ind w:firstLine="0" w:firstLineChars="0"/>
                    <w:jc w:val="center"/>
                    <w:rPr>
                      <w:rFonts w:hint="eastAsia"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02EFB2F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4A6965C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5850C7F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6E06C953">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4C382641">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999" w:type="pct"/>
                  <w:tcBorders>
                    <w:tl2br w:val="nil"/>
                    <w:tr2bl w:val="nil"/>
                  </w:tcBorders>
                  <w:shd w:val="clear" w:color="auto" w:fill="auto"/>
                  <w:vAlign w:val="center"/>
                </w:tcPr>
                <w:p w14:paraId="2EFDDAE7">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w:t>
                  </w:r>
                </w:p>
              </w:tc>
            </w:tr>
            <w:tr w14:paraId="538B98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restart"/>
                  <w:tcBorders>
                    <w:tl2br w:val="nil"/>
                    <w:tr2bl w:val="nil"/>
                  </w:tcBorders>
                  <w:vAlign w:val="center"/>
                </w:tcPr>
                <w:p w14:paraId="63C7BF08">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DW00</w:t>
                  </w:r>
                  <w:r>
                    <w:rPr>
                      <w:rFonts w:hint="eastAsia" w:cs="Times New Roman"/>
                      <w:snapToGrid w:val="0"/>
                      <w:color w:val="auto"/>
                      <w:kern w:val="2"/>
                      <w:sz w:val="21"/>
                      <w:szCs w:val="21"/>
                      <w:highlight w:val="none"/>
                      <w:lang w:val="en-US" w:eastAsia="zh-CN" w:bidi="ar-SA"/>
                    </w:rPr>
                    <w:t>3</w:t>
                  </w:r>
                </w:p>
              </w:tc>
              <w:tc>
                <w:tcPr>
                  <w:tcW w:w="779" w:type="pct"/>
                  <w:vMerge w:val="restart"/>
                  <w:tcBorders>
                    <w:tl2br w:val="nil"/>
                    <w:tr2bl w:val="nil"/>
                  </w:tcBorders>
                  <w:vAlign w:val="center"/>
                </w:tcPr>
                <w:p w14:paraId="153701B2">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106.220820741</w:t>
                  </w:r>
                </w:p>
              </w:tc>
              <w:tc>
                <w:tcPr>
                  <w:tcW w:w="717" w:type="pct"/>
                  <w:vMerge w:val="restart"/>
                  <w:tcBorders>
                    <w:tl2br w:val="nil"/>
                    <w:tr2bl w:val="nil"/>
                  </w:tcBorders>
                  <w:vAlign w:val="center"/>
                </w:tcPr>
                <w:p w14:paraId="23C81C9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29.580364363</w:t>
                  </w:r>
                </w:p>
              </w:tc>
              <w:tc>
                <w:tcPr>
                  <w:tcW w:w="465" w:type="pct"/>
                  <w:vMerge w:val="restart"/>
                  <w:tcBorders>
                    <w:tl2br w:val="nil"/>
                    <w:tr2bl w:val="nil"/>
                  </w:tcBorders>
                  <w:vAlign w:val="center"/>
                </w:tcPr>
                <w:p w14:paraId="1351CB97">
                  <w:pPr>
                    <w:widowControl w:val="0"/>
                    <w:snapToGrid w:val="0"/>
                    <w:spacing w:line="240" w:lineRule="auto"/>
                    <w:ind w:left="-63" w:leftChars="-30" w:right="-63" w:rightChars="-30" w:firstLine="0" w:firstLineChars="0"/>
                    <w:jc w:val="center"/>
                    <w:rPr>
                      <w:rFonts w:hint="default" w:ascii="Times New Roman" w:hAnsi="Times New Roman" w:eastAsia="宋体" w:cs="Times New Roman"/>
                      <w:snapToGrid w:val="0"/>
                      <w:color w:val="auto"/>
                      <w:kern w:val="2"/>
                      <w:sz w:val="21"/>
                      <w:szCs w:val="21"/>
                      <w:highlight w:val="yellow"/>
                      <w:lang w:val="en-US" w:eastAsia="zh-CN" w:bidi="ar-SA"/>
                    </w:rPr>
                  </w:pPr>
                  <w:r>
                    <w:rPr>
                      <w:rFonts w:hint="eastAsia" w:cs="Times New Roman"/>
                      <w:snapToGrid w:val="0"/>
                      <w:color w:val="auto"/>
                      <w:kern w:val="2"/>
                      <w:sz w:val="21"/>
                      <w:szCs w:val="21"/>
                      <w:highlight w:val="none"/>
                      <w:lang w:val="en-US" w:eastAsia="zh-CN" w:bidi="ar-SA"/>
                    </w:rPr>
                    <w:t>474.6825</w:t>
                  </w:r>
                </w:p>
              </w:tc>
              <w:tc>
                <w:tcPr>
                  <w:tcW w:w="304" w:type="pct"/>
                  <w:vMerge w:val="restart"/>
                  <w:tcBorders>
                    <w:tl2br w:val="nil"/>
                    <w:tr2bl w:val="nil"/>
                  </w:tcBorders>
                  <w:vAlign w:val="center"/>
                </w:tcPr>
                <w:p w14:paraId="03C617D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市政污水管网、</w:t>
                  </w:r>
                  <w:r>
                    <w:rPr>
                      <w:rFonts w:hint="eastAsia" w:cs="Times New Roman"/>
                      <w:snapToGrid w:val="0"/>
                      <w:color w:val="auto"/>
                      <w:kern w:val="2"/>
                      <w:sz w:val="21"/>
                      <w:szCs w:val="21"/>
                      <w:highlight w:val="none"/>
                      <w:lang w:val="en-US" w:eastAsia="zh-CN" w:bidi="ar-SA"/>
                    </w:rPr>
                    <w:t>观音塘污水处理厂</w:t>
                  </w:r>
                </w:p>
              </w:tc>
              <w:tc>
                <w:tcPr>
                  <w:tcW w:w="362" w:type="pct"/>
                  <w:vMerge w:val="restart"/>
                  <w:tcBorders>
                    <w:tl2br w:val="nil"/>
                    <w:tr2bl w:val="nil"/>
                  </w:tcBorders>
                  <w:vAlign w:val="center"/>
                </w:tcPr>
                <w:p w14:paraId="712B066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间断排放，流量不稳定无规律</w:t>
                  </w:r>
                </w:p>
              </w:tc>
              <w:tc>
                <w:tcPr>
                  <w:tcW w:w="230" w:type="pct"/>
                  <w:vMerge w:val="restart"/>
                  <w:tcBorders>
                    <w:tl2br w:val="nil"/>
                    <w:tr2bl w:val="nil"/>
                  </w:tcBorders>
                  <w:vAlign w:val="center"/>
                </w:tcPr>
                <w:p w14:paraId="3F99354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w:t>
                  </w:r>
                </w:p>
              </w:tc>
              <w:tc>
                <w:tcPr>
                  <w:tcW w:w="346" w:type="pct"/>
                  <w:vMerge w:val="restart"/>
                  <w:tcBorders>
                    <w:tl2br w:val="nil"/>
                    <w:tr2bl w:val="nil"/>
                  </w:tcBorders>
                  <w:vAlign w:val="center"/>
                </w:tcPr>
                <w:p w14:paraId="546B82C6">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观音塘污水处理厂</w:t>
                  </w:r>
                </w:p>
              </w:tc>
              <w:tc>
                <w:tcPr>
                  <w:tcW w:w="391" w:type="pct"/>
                  <w:tcBorders>
                    <w:tl2br w:val="nil"/>
                    <w:tr2bl w:val="nil"/>
                  </w:tcBorders>
                  <w:shd w:val="clear" w:color="auto" w:fill="auto"/>
                  <w:vAlign w:val="center"/>
                </w:tcPr>
                <w:p w14:paraId="18CC00E6">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pH</w:t>
                  </w:r>
                </w:p>
              </w:tc>
              <w:tc>
                <w:tcPr>
                  <w:tcW w:w="999" w:type="pct"/>
                  <w:tcBorders>
                    <w:tl2br w:val="nil"/>
                    <w:tr2bl w:val="nil"/>
                  </w:tcBorders>
                  <w:shd w:val="clear" w:color="auto" w:fill="auto"/>
                  <w:vAlign w:val="center"/>
                </w:tcPr>
                <w:p w14:paraId="050FAC30">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6~9</w:t>
                  </w:r>
                </w:p>
              </w:tc>
            </w:tr>
            <w:tr w14:paraId="55B8A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51F5E95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1AF24D92">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14363692">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04BF361E">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4BDD479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2E8D7073">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3B79CC0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43ADB177">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2E8BE485">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COD</w:t>
                  </w:r>
                </w:p>
              </w:tc>
              <w:tc>
                <w:tcPr>
                  <w:tcW w:w="999" w:type="pct"/>
                  <w:tcBorders>
                    <w:tl2br w:val="nil"/>
                    <w:tr2bl w:val="nil"/>
                  </w:tcBorders>
                  <w:shd w:val="clear" w:color="auto" w:fill="auto"/>
                  <w:vAlign w:val="center"/>
                </w:tcPr>
                <w:p w14:paraId="5DD814BA">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r>
            <w:tr w14:paraId="451AB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781890E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2E85ED7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6979D31F">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2323DE08">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2E4F88F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1CAF6A2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113AA34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1B09E456">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3C56AC60">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SS</w:t>
                  </w:r>
                </w:p>
              </w:tc>
              <w:tc>
                <w:tcPr>
                  <w:tcW w:w="999" w:type="pct"/>
                  <w:tcBorders>
                    <w:tl2br w:val="nil"/>
                    <w:tr2bl w:val="nil"/>
                  </w:tcBorders>
                  <w:shd w:val="clear" w:color="auto" w:fill="auto"/>
                  <w:vAlign w:val="center"/>
                </w:tcPr>
                <w:p w14:paraId="7430A461">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sz w:val="21"/>
                      <w:szCs w:val="21"/>
                      <w:highlight w:val="none"/>
                      <w:lang w:val="en-US" w:eastAsia="zh-CN"/>
                    </w:rPr>
                    <w:t>10</w:t>
                  </w:r>
                </w:p>
              </w:tc>
            </w:tr>
            <w:tr w14:paraId="635EB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6763080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5EF74DC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65729D0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3952F842">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091B9A4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4141039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5736E93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0F159A2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57D661A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BOD</w:t>
                  </w:r>
                  <w:r>
                    <w:rPr>
                      <w:rFonts w:ascii="Times New Roman" w:hAnsi="Times New Roman" w:eastAsia="宋体" w:cs="Times New Roman"/>
                      <w:snapToGrid w:val="0"/>
                      <w:color w:val="auto"/>
                      <w:kern w:val="2"/>
                      <w:sz w:val="21"/>
                      <w:szCs w:val="21"/>
                      <w:highlight w:val="none"/>
                      <w:vertAlign w:val="subscript"/>
                      <w:lang w:val="en-US" w:eastAsia="zh-CN" w:bidi="ar-SA"/>
                    </w:rPr>
                    <w:t>5</w:t>
                  </w:r>
                </w:p>
              </w:tc>
              <w:tc>
                <w:tcPr>
                  <w:tcW w:w="999" w:type="pct"/>
                  <w:tcBorders>
                    <w:tl2br w:val="nil"/>
                    <w:tr2bl w:val="nil"/>
                  </w:tcBorders>
                  <w:shd w:val="clear" w:color="auto" w:fill="auto"/>
                  <w:vAlign w:val="center"/>
                </w:tcPr>
                <w:p w14:paraId="078A44AE">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6</w:t>
                  </w:r>
                </w:p>
              </w:tc>
            </w:tr>
            <w:tr w14:paraId="35954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09873420">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5A2F3063">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12719EF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7B4DEB07">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5A5AC55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2C10900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7C0F257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167C3540">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00246C90">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氨氮</w:t>
                  </w:r>
                </w:p>
              </w:tc>
              <w:tc>
                <w:tcPr>
                  <w:tcW w:w="999" w:type="pct"/>
                  <w:tcBorders>
                    <w:tl2br w:val="nil"/>
                    <w:tr2bl w:val="nil"/>
                  </w:tcBorders>
                  <w:shd w:val="clear" w:color="auto" w:fill="auto"/>
                  <w:vAlign w:val="center"/>
                </w:tcPr>
                <w:p w14:paraId="044CD2DE">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r>
            <w:tr w14:paraId="09A4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17AD60C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548C7148">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4BFC954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42290871">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52717EE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0C44BF6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7D22166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5AC69CF3">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25ED4BE5">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LAS</w:t>
                  </w:r>
                </w:p>
              </w:tc>
              <w:tc>
                <w:tcPr>
                  <w:tcW w:w="999" w:type="pct"/>
                  <w:tcBorders>
                    <w:tl2br w:val="nil"/>
                    <w:tr2bl w:val="nil"/>
                  </w:tcBorders>
                  <w:shd w:val="clear" w:color="auto" w:fill="auto"/>
                  <w:vAlign w:val="center"/>
                </w:tcPr>
                <w:p w14:paraId="49160541">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sz w:val="21"/>
                      <w:szCs w:val="21"/>
                      <w:highlight w:val="none"/>
                      <w:lang w:val="en-US" w:eastAsia="zh-CN"/>
                    </w:rPr>
                    <w:t>0.5</w:t>
                  </w:r>
                </w:p>
              </w:tc>
            </w:tr>
            <w:tr w14:paraId="53366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555D8F1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507FDF43">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3EDD5AAB">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32F80F05">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4F0326D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34F8FF4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4F2C1AE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367FA416">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07A761CC">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TP</w:t>
                  </w:r>
                </w:p>
              </w:tc>
              <w:tc>
                <w:tcPr>
                  <w:tcW w:w="999" w:type="pct"/>
                  <w:tcBorders>
                    <w:tl2br w:val="nil"/>
                    <w:tr2bl w:val="nil"/>
                  </w:tcBorders>
                  <w:shd w:val="clear" w:color="auto" w:fill="auto"/>
                  <w:vAlign w:val="center"/>
                </w:tcPr>
                <w:p w14:paraId="306AA20F">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w:t>
                  </w:r>
                  <w:r>
                    <w:rPr>
                      <w:rFonts w:hint="eastAsia" w:cs="Times New Roman"/>
                      <w:snapToGrid w:val="0"/>
                      <w:color w:val="auto"/>
                      <w:kern w:val="2"/>
                      <w:sz w:val="21"/>
                      <w:szCs w:val="21"/>
                      <w:highlight w:val="none"/>
                      <w:lang w:val="en-US" w:eastAsia="zh-CN" w:bidi="ar-SA"/>
                    </w:rPr>
                    <w:t>3</w:t>
                  </w:r>
                </w:p>
              </w:tc>
            </w:tr>
            <w:tr w14:paraId="38F2D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3" w:type="pct"/>
                  <w:vMerge w:val="continue"/>
                  <w:tcBorders>
                    <w:tl2br w:val="nil"/>
                    <w:tr2bl w:val="nil"/>
                  </w:tcBorders>
                  <w:vAlign w:val="center"/>
                </w:tcPr>
                <w:p w14:paraId="637EA09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779" w:type="pct"/>
                  <w:vMerge w:val="continue"/>
                  <w:tcBorders>
                    <w:tl2br w:val="nil"/>
                    <w:tr2bl w:val="nil"/>
                  </w:tcBorders>
                  <w:vAlign w:val="center"/>
                </w:tcPr>
                <w:p w14:paraId="058AB45A">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717" w:type="pct"/>
                  <w:vMerge w:val="continue"/>
                  <w:tcBorders>
                    <w:tl2br w:val="nil"/>
                    <w:tr2bl w:val="nil"/>
                  </w:tcBorders>
                  <w:vAlign w:val="center"/>
                </w:tcPr>
                <w:p w14:paraId="71A9DE4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465" w:type="pct"/>
                  <w:vMerge w:val="continue"/>
                  <w:tcBorders>
                    <w:tl2br w:val="nil"/>
                    <w:tr2bl w:val="nil"/>
                  </w:tcBorders>
                  <w:vAlign w:val="center"/>
                </w:tcPr>
                <w:p w14:paraId="3D941EC2">
                  <w:pPr>
                    <w:widowControl w:val="0"/>
                    <w:snapToGrid w:val="0"/>
                    <w:spacing w:line="240" w:lineRule="auto"/>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04" w:type="pct"/>
                  <w:vMerge w:val="continue"/>
                  <w:tcBorders>
                    <w:tl2br w:val="nil"/>
                    <w:tr2bl w:val="nil"/>
                  </w:tcBorders>
                  <w:vAlign w:val="center"/>
                </w:tcPr>
                <w:p w14:paraId="67AFB9C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62" w:type="pct"/>
                  <w:vMerge w:val="continue"/>
                  <w:tcBorders>
                    <w:tl2br w:val="nil"/>
                    <w:tr2bl w:val="nil"/>
                  </w:tcBorders>
                  <w:vAlign w:val="center"/>
                </w:tcPr>
                <w:p w14:paraId="02B7E25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30" w:type="pct"/>
                  <w:vMerge w:val="continue"/>
                  <w:tcBorders>
                    <w:tl2br w:val="nil"/>
                    <w:tr2bl w:val="nil"/>
                  </w:tcBorders>
                  <w:vAlign w:val="center"/>
                </w:tcPr>
                <w:p w14:paraId="4208FFC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346" w:type="pct"/>
                  <w:vMerge w:val="continue"/>
                  <w:tcBorders>
                    <w:tl2br w:val="nil"/>
                    <w:tr2bl w:val="nil"/>
                  </w:tcBorders>
                  <w:vAlign w:val="center"/>
                </w:tcPr>
                <w:p w14:paraId="28A3D33B">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p>
              </w:tc>
              <w:tc>
                <w:tcPr>
                  <w:tcW w:w="391" w:type="pct"/>
                  <w:tcBorders>
                    <w:tl2br w:val="nil"/>
                    <w:tr2bl w:val="nil"/>
                  </w:tcBorders>
                  <w:shd w:val="clear" w:color="auto" w:fill="auto"/>
                  <w:vAlign w:val="center"/>
                </w:tcPr>
                <w:p w14:paraId="4BBCA50E">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粪大肠</w:t>
                  </w:r>
                </w:p>
                <w:p w14:paraId="5D701ABA">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菌群</w:t>
                  </w:r>
                </w:p>
              </w:tc>
              <w:tc>
                <w:tcPr>
                  <w:tcW w:w="999" w:type="pct"/>
                  <w:tcBorders>
                    <w:tl2br w:val="nil"/>
                    <w:tr2bl w:val="nil"/>
                  </w:tcBorders>
                  <w:shd w:val="clear" w:color="auto" w:fill="auto"/>
                  <w:vAlign w:val="center"/>
                </w:tcPr>
                <w:p w14:paraId="10BC70D1">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1000个/L</w:t>
                  </w:r>
                </w:p>
              </w:tc>
            </w:tr>
            <w:tr w14:paraId="47981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0"/>
                  <w:tcBorders>
                    <w:tl2br w:val="nil"/>
                    <w:tr2bl w:val="nil"/>
                  </w:tcBorders>
                  <w:vAlign w:val="center"/>
                </w:tcPr>
                <w:p w14:paraId="1BF1A9D6">
                  <w:pPr>
                    <w:pStyle w:val="49"/>
                    <w:jc w:val="center"/>
                    <w:rPr>
                      <w:rFonts w:hint="eastAsia" w:eastAsia="宋体"/>
                      <w:color w:val="auto"/>
                      <w:highlight w:val="none"/>
                      <w:lang w:val="en-US" w:eastAsia="zh-CN"/>
                    </w:rPr>
                  </w:pPr>
                  <w:r>
                    <w:rPr>
                      <w:rFonts w:ascii="Times New Roman" w:hAnsi="Times New Roman" w:eastAsia="宋体" w:cs="Times New Roman"/>
                      <w:snapToGrid w:val="0"/>
                      <w:color w:val="auto"/>
                      <w:kern w:val="2"/>
                      <w:sz w:val="21"/>
                      <w:szCs w:val="21"/>
                      <w:highlight w:val="none"/>
                      <w:lang w:val="en-US" w:eastAsia="zh-CN" w:bidi="ar-SA"/>
                    </w:rPr>
                    <w:t>注：</w:t>
                  </w:r>
                  <w:r>
                    <w:rPr>
                      <w:rFonts w:hint="eastAsia" w:cs="Times New Roman"/>
                      <w:snapToGrid w:val="0"/>
                      <w:color w:val="auto"/>
                      <w:kern w:val="2"/>
                      <w:sz w:val="21"/>
                      <w:szCs w:val="21"/>
                      <w:highlight w:val="none"/>
                      <w:lang w:val="en-US" w:eastAsia="zh-CN" w:bidi="ar-SA"/>
                    </w:rPr>
                    <w:t>①</w:t>
                  </w:r>
                  <w:r>
                    <w:rPr>
                      <w:rFonts w:hint="eastAsia" w:ascii="Times New Roman" w:hAnsi="Times New Roman" w:eastAsia="宋体" w:cs="Times New Roman"/>
                      <w:snapToGrid w:val="0"/>
                      <w:color w:val="auto"/>
                      <w:kern w:val="2"/>
                      <w:sz w:val="21"/>
                      <w:szCs w:val="21"/>
                      <w:highlight w:val="none"/>
                      <w:lang w:val="en-US" w:eastAsia="zh-CN" w:bidi="ar-SA"/>
                    </w:rPr>
                    <w:t>括号外为水温＞12度，括号内为水温＜12度</w:t>
                  </w:r>
                  <w:r>
                    <w:rPr>
                      <w:rFonts w:hint="eastAsia" w:cs="Times New Roman"/>
                      <w:snapToGrid w:val="0"/>
                      <w:color w:val="auto"/>
                      <w:kern w:val="2"/>
                      <w:sz w:val="21"/>
                      <w:szCs w:val="21"/>
                      <w:highlight w:val="none"/>
                      <w:lang w:val="en-US" w:eastAsia="zh-CN" w:bidi="ar-SA"/>
                    </w:rPr>
                    <w:t>。</w:t>
                  </w:r>
                </w:p>
              </w:tc>
            </w:tr>
          </w:tbl>
          <w:p w14:paraId="197B5B87">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4"/>
                <w:szCs w:val="24"/>
                <w:highlight w:val="none"/>
                <w:lang w:val="en-US" w:eastAsia="zh-CN" w:bidi="ar-SA"/>
              </w:rPr>
              <w:t xml:space="preserve">表 </w:t>
            </w:r>
            <w:r>
              <w:rPr>
                <w:rFonts w:hint="eastAsia" w:ascii="Times New Roman" w:hAnsi="Times New Roman" w:eastAsia="宋体" w:cs="Times New Roman"/>
                <w:b w:val="0"/>
                <w:bCs/>
                <w:color w:val="auto"/>
                <w:kern w:val="2"/>
                <w:sz w:val="24"/>
                <w:szCs w:val="24"/>
                <w:highlight w:val="none"/>
                <w:lang w:val="en-US" w:eastAsia="zh-CN" w:bidi="ar-SA"/>
              </w:rPr>
              <w:t>4.-16</w:t>
            </w:r>
            <w:r>
              <w:rPr>
                <w:rFonts w:ascii="Times New Roman" w:hAnsi="Times New Roman" w:eastAsia="宋体" w:cs="Times New Roman"/>
                <w:b w:val="0"/>
                <w:bCs/>
                <w:color w:val="auto"/>
                <w:kern w:val="2"/>
                <w:sz w:val="24"/>
                <w:szCs w:val="24"/>
                <w:highlight w:val="none"/>
                <w:lang w:val="en-US" w:eastAsia="zh-CN" w:bidi="ar-SA"/>
              </w:rPr>
              <w:t xml:space="preserve"> 废水污染物排放执行标准表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2"/>
              <w:gridCol w:w="1145"/>
              <w:gridCol w:w="3902"/>
              <w:gridCol w:w="2151"/>
            </w:tblGrid>
            <w:tr w14:paraId="275D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restart"/>
                  <w:vAlign w:val="center"/>
                </w:tcPr>
                <w:p w14:paraId="53E4F00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1177" w:type="dxa"/>
                  <w:vMerge w:val="restart"/>
                  <w:vAlign w:val="center"/>
                </w:tcPr>
                <w:p w14:paraId="66E4DDD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污染物种类</w:t>
                  </w:r>
                </w:p>
              </w:tc>
              <w:tc>
                <w:tcPr>
                  <w:tcW w:w="6223" w:type="dxa"/>
                  <w:gridSpan w:val="2"/>
                  <w:vAlign w:val="center"/>
                </w:tcPr>
                <w:p w14:paraId="05D3D98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国家或地方污染物排放标准及其他按规定商定的排放协议（a）</w:t>
                  </w:r>
                </w:p>
              </w:tc>
            </w:tr>
            <w:tr w14:paraId="527D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0183DA70">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vMerge w:val="continue"/>
                  <w:vAlign w:val="center"/>
                </w:tcPr>
                <w:p w14:paraId="60AA7F4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4012" w:type="dxa"/>
                  <w:vAlign w:val="center"/>
                </w:tcPr>
                <w:p w14:paraId="7B37E92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名称</w:t>
                  </w:r>
                </w:p>
              </w:tc>
              <w:tc>
                <w:tcPr>
                  <w:tcW w:w="2211" w:type="dxa"/>
                  <w:vAlign w:val="center"/>
                </w:tcPr>
                <w:p w14:paraId="4430344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浓度限值/（mg/L）</w:t>
                  </w:r>
                </w:p>
              </w:tc>
            </w:tr>
            <w:tr w14:paraId="2E9D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restart"/>
                  <w:vAlign w:val="center"/>
                </w:tcPr>
                <w:p w14:paraId="7C121C49">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DW001</w:t>
                  </w:r>
                </w:p>
              </w:tc>
              <w:tc>
                <w:tcPr>
                  <w:tcW w:w="1177" w:type="dxa"/>
                  <w:shd w:val="clear" w:color="auto" w:fill="auto"/>
                  <w:vAlign w:val="center"/>
                </w:tcPr>
                <w:p w14:paraId="36FFB431">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粪大肠菌群</w:t>
                  </w:r>
                </w:p>
              </w:tc>
              <w:tc>
                <w:tcPr>
                  <w:tcW w:w="4012" w:type="dxa"/>
                  <w:vMerge w:val="restart"/>
                  <w:vAlign w:val="center"/>
                </w:tcPr>
                <w:p w14:paraId="52E86023">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《医疗机构水污染物排放标准》</w:t>
                  </w:r>
                </w:p>
                <w:p w14:paraId="5025100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（GB 18466-2005）预处理标准</w:t>
                  </w:r>
                </w:p>
              </w:tc>
              <w:tc>
                <w:tcPr>
                  <w:tcW w:w="2211" w:type="dxa"/>
                  <w:shd w:val="clear" w:color="auto" w:fill="auto"/>
                  <w:vAlign w:val="center"/>
                </w:tcPr>
                <w:p w14:paraId="75A764A6">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5000MPN/L</w:t>
                  </w:r>
                </w:p>
              </w:tc>
            </w:tr>
            <w:tr w14:paraId="7273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643C7A9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3852AF6D">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4012" w:type="dxa"/>
                  <w:vMerge w:val="continue"/>
                  <w:vAlign w:val="center"/>
                </w:tcPr>
                <w:p w14:paraId="08BDE194">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4941F9B8">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000000"/>
                      <w:kern w:val="2"/>
                      <w:sz w:val="21"/>
                      <w:szCs w:val="21"/>
                      <w:lang w:val="en-US" w:eastAsia="zh-CN" w:bidi="ar-SA"/>
                    </w:rPr>
                    <w:t>2~8</w:t>
                  </w:r>
                </w:p>
              </w:tc>
            </w:tr>
            <w:tr w14:paraId="5318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atLeast"/>
                <w:jc w:val="center"/>
              </w:trPr>
              <w:tc>
                <w:tcPr>
                  <w:tcW w:w="1112" w:type="dxa"/>
                  <w:vMerge w:val="restart"/>
                  <w:vAlign w:val="center"/>
                </w:tcPr>
                <w:p w14:paraId="083D6F1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DW002</w:t>
                  </w:r>
                </w:p>
              </w:tc>
              <w:tc>
                <w:tcPr>
                  <w:tcW w:w="1177" w:type="dxa"/>
                  <w:shd w:val="clear" w:color="auto" w:fill="auto"/>
                  <w:vAlign w:val="center"/>
                </w:tcPr>
                <w:p w14:paraId="326387B3">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粪大肠菌群</w:t>
                  </w:r>
                </w:p>
              </w:tc>
              <w:tc>
                <w:tcPr>
                  <w:tcW w:w="4012" w:type="dxa"/>
                  <w:vMerge w:val="restart"/>
                  <w:vAlign w:val="center"/>
                </w:tcPr>
                <w:p w14:paraId="343B2D9C">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《医疗机构水污染物排放标准》</w:t>
                  </w:r>
                </w:p>
                <w:p w14:paraId="0C054A9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（GB 18466-2005）预处理标准</w:t>
                  </w:r>
                </w:p>
              </w:tc>
              <w:tc>
                <w:tcPr>
                  <w:tcW w:w="2211" w:type="dxa"/>
                  <w:shd w:val="clear" w:color="auto" w:fill="auto"/>
                  <w:vAlign w:val="center"/>
                </w:tcPr>
                <w:p w14:paraId="5D631C40">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5000MPN/L</w:t>
                  </w:r>
                </w:p>
              </w:tc>
            </w:tr>
            <w:tr w14:paraId="44BA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182C2B5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5C2DCA41">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4012" w:type="dxa"/>
                  <w:vMerge w:val="continue"/>
                  <w:vAlign w:val="center"/>
                </w:tcPr>
                <w:p w14:paraId="129A384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151D09BA">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000000"/>
                      <w:kern w:val="2"/>
                      <w:sz w:val="21"/>
                      <w:szCs w:val="21"/>
                      <w:lang w:val="en-US" w:eastAsia="zh-CN" w:bidi="ar-SA"/>
                    </w:rPr>
                    <w:t>2~8</w:t>
                  </w:r>
                </w:p>
              </w:tc>
            </w:tr>
            <w:tr w14:paraId="0117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restart"/>
                  <w:vAlign w:val="center"/>
                </w:tcPr>
                <w:p w14:paraId="386A842A">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DW003</w:t>
                  </w:r>
                </w:p>
              </w:tc>
              <w:tc>
                <w:tcPr>
                  <w:tcW w:w="1177" w:type="dxa"/>
                  <w:shd w:val="clear" w:color="auto" w:fill="auto"/>
                  <w:vAlign w:val="center"/>
                </w:tcPr>
                <w:p w14:paraId="0E45939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pH</w:t>
                  </w:r>
                </w:p>
              </w:tc>
              <w:tc>
                <w:tcPr>
                  <w:tcW w:w="4012" w:type="dxa"/>
                  <w:vMerge w:val="restart"/>
                  <w:vAlign w:val="center"/>
                </w:tcPr>
                <w:p w14:paraId="59A5D19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《污水综合排放标准》</w:t>
                  </w:r>
                </w:p>
                <w:p w14:paraId="61DD745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（GB 8978-1996）三级标准</w:t>
                  </w:r>
                </w:p>
              </w:tc>
              <w:tc>
                <w:tcPr>
                  <w:tcW w:w="2211" w:type="dxa"/>
                  <w:shd w:val="clear" w:color="auto" w:fill="auto"/>
                  <w:vAlign w:val="center"/>
                </w:tcPr>
                <w:p w14:paraId="68DDB497">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6~9</w:t>
                  </w:r>
                </w:p>
              </w:tc>
            </w:tr>
            <w:tr w14:paraId="5BFA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4F82856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2953D49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COD</w:t>
                  </w:r>
                </w:p>
              </w:tc>
              <w:tc>
                <w:tcPr>
                  <w:tcW w:w="4012" w:type="dxa"/>
                  <w:vMerge w:val="continue"/>
                  <w:vAlign w:val="center"/>
                </w:tcPr>
                <w:p w14:paraId="3674E08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223892DB">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highlight w:val="none"/>
                      <w:lang w:val="en-US" w:eastAsia="zh-CN"/>
                    </w:rPr>
                    <w:t>500</w:t>
                  </w:r>
                </w:p>
              </w:tc>
            </w:tr>
            <w:tr w14:paraId="1154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3F745C4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6671B0C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SS</w:t>
                  </w:r>
                </w:p>
              </w:tc>
              <w:tc>
                <w:tcPr>
                  <w:tcW w:w="4012" w:type="dxa"/>
                  <w:vMerge w:val="continue"/>
                  <w:vAlign w:val="center"/>
                </w:tcPr>
                <w:p w14:paraId="1A397663">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1B25E824">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highlight w:val="none"/>
                      <w:lang w:val="en-US" w:eastAsia="zh-CN"/>
                    </w:rPr>
                    <w:t>400</w:t>
                  </w:r>
                </w:p>
              </w:tc>
            </w:tr>
            <w:tr w14:paraId="7205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5828697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6F761BE4">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BOD</w:t>
                  </w:r>
                  <w:r>
                    <w:rPr>
                      <w:rFonts w:ascii="Times New Roman" w:hAnsi="Times New Roman" w:eastAsia="宋体" w:cs="Times New Roman"/>
                      <w:snapToGrid w:val="0"/>
                      <w:color w:val="auto"/>
                      <w:kern w:val="2"/>
                      <w:sz w:val="21"/>
                      <w:szCs w:val="21"/>
                      <w:highlight w:val="none"/>
                      <w:vertAlign w:val="subscript"/>
                      <w:lang w:val="en-US" w:eastAsia="zh-CN" w:bidi="ar-SA"/>
                    </w:rPr>
                    <w:t>5</w:t>
                  </w:r>
                </w:p>
              </w:tc>
              <w:tc>
                <w:tcPr>
                  <w:tcW w:w="4012" w:type="dxa"/>
                  <w:vMerge w:val="continue"/>
                  <w:vAlign w:val="center"/>
                </w:tcPr>
                <w:p w14:paraId="4D90C3F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544A481B">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highlight w:val="none"/>
                      <w:lang w:val="en-US" w:eastAsia="zh-CN"/>
                    </w:rPr>
                    <w:t>300</w:t>
                  </w:r>
                </w:p>
              </w:tc>
            </w:tr>
            <w:tr w14:paraId="0691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1112" w:type="dxa"/>
                  <w:vMerge w:val="continue"/>
                  <w:vAlign w:val="center"/>
                </w:tcPr>
                <w:p w14:paraId="59E9892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4720D066">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LAS</w:t>
                  </w:r>
                </w:p>
              </w:tc>
              <w:tc>
                <w:tcPr>
                  <w:tcW w:w="4012" w:type="dxa"/>
                  <w:vMerge w:val="continue"/>
                  <w:shd w:val="clear" w:color="auto" w:fill="auto"/>
                  <w:vAlign w:val="center"/>
                </w:tcPr>
                <w:p w14:paraId="47B380F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3E0D4B51">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highlight w:val="none"/>
                      <w:lang w:val="en-US" w:eastAsia="zh-CN"/>
                    </w:rPr>
                    <w:t>20</w:t>
                  </w:r>
                </w:p>
              </w:tc>
            </w:tr>
            <w:tr w14:paraId="30E5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471B6C7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30964433">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粪大肠菌群</w:t>
                  </w:r>
                </w:p>
              </w:tc>
              <w:tc>
                <w:tcPr>
                  <w:tcW w:w="4012" w:type="dxa"/>
                  <w:vMerge w:val="continue"/>
                  <w:shd w:val="clear" w:color="auto" w:fill="auto"/>
                  <w:vAlign w:val="center"/>
                </w:tcPr>
                <w:p w14:paraId="110A6E4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773402A7">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ascii="Times New Roman" w:hAnsi="Times New Roman" w:eastAsia="宋体" w:cs="Times New Roman"/>
                      <w:color w:val="auto"/>
                      <w:highlight w:val="none"/>
                      <w:lang w:val="en-US" w:eastAsia="zh-CN"/>
                    </w:rPr>
                  </w:pPr>
                  <w:r>
                    <w:rPr>
                      <w:rFonts w:hint="eastAsia" w:cs="Times New Roman"/>
                      <w:snapToGrid w:val="0"/>
                      <w:color w:val="auto"/>
                      <w:kern w:val="2"/>
                      <w:sz w:val="21"/>
                      <w:szCs w:val="21"/>
                      <w:highlight w:val="none"/>
                      <w:lang w:val="en-US" w:eastAsia="zh-CN" w:bidi="ar-SA"/>
                    </w:rPr>
                    <w:t>1000个/L</w:t>
                  </w:r>
                </w:p>
              </w:tc>
            </w:tr>
            <w:tr w14:paraId="705C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2E2C44E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1609A747">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氨氮</w:t>
                  </w:r>
                </w:p>
              </w:tc>
              <w:tc>
                <w:tcPr>
                  <w:tcW w:w="4012" w:type="dxa"/>
                  <w:vMerge w:val="restart"/>
                  <w:shd w:val="clear" w:color="auto" w:fill="auto"/>
                  <w:vAlign w:val="center"/>
                </w:tcPr>
                <w:p w14:paraId="5FAC4EDA">
                  <w:pPr>
                    <w:widowControl w:val="0"/>
                    <w:snapToGrid w:val="0"/>
                    <w:spacing w:line="240" w:lineRule="auto"/>
                    <w:ind w:firstLine="0" w:firstLineChars="0"/>
                    <w:jc w:val="center"/>
                    <w:rPr>
                      <w:rFonts w:hint="eastAsia"/>
                      <w:color w:val="auto"/>
                      <w:sz w:val="21"/>
                      <w:szCs w:val="21"/>
                      <w:highlight w:val="none"/>
                    </w:rPr>
                  </w:pPr>
                  <w:r>
                    <w:rPr>
                      <w:rFonts w:hint="eastAsia"/>
                      <w:color w:val="auto"/>
                      <w:sz w:val="21"/>
                      <w:szCs w:val="21"/>
                      <w:highlight w:val="none"/>
                    </w:rPr>
                    <w:t>《污水排入城镇下水道水质标准》</w:t>
                  </w:r>
                </w:p>
                <w:p w14:paraId="2DC7FCC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olor w:val="auto"/>
                      <w:sz w:val="21"/>
                      <w:szCs w:val="21"/>
                      <w:highlight w:val="none"/>
                    </w:rPr>
                    <w:t>（</w:t>
                  </w:r>
                  <w:r>
                    <w:rPr>
                      <w:color w:val="auto"/>
                      <w:sz w:val="21"/>
                      <w:szCs w:val="21"/>
                      <w:highlight w:val="none"/>
                    </w:rPr>
                    <w:t>GB/T</w:t>
                  </w:r>
                  <w:r>
                    <w:rPr>
                      <w:rFonts w:hint="eastAsia"/>
                      <w:color w:val="auto"/>
                      <w:sz w:val="21"/>
                      <w:szCs w:val="21"/>
                      <w:highlight w:val="none"/>
                    </w:rPr>
                    <w:t xml:space="preserve"> </w:t>
                  </w:r>
                  <w:r>
                    <w:rPr>
                      <w:color w:val="auto"/>
                      <w:sz w:val="21"/>
                      <w:szCs w:val="21"/>
                      <w:highlight w:val="none"/>
                    </w:rPr>
                    <w:t>31962-2015</w:t>
                  </w:r>
                  <w:r>
                    <w:rPr>
                      <w:rFonts w:hint="eastAsia"/>
                      <w:color w:val="auto"/>
                      <w:sz w:val="21"/>
                      <w:szCs w:val="21"/>
                      <w:highlight w:val="none"/>
                    </w:rPr>
                    <w:t>）</w:t>
                  </w:r>
                  <w:r>
                    <w:rPr>
                      <w:color w:val="auto"/>
                      <w:sz w:val="21"/>
                      <w:szCs w:val="21"/>
                      <w:highlight w:val="none"/>
                    </w:rPr>
                    <w:t>B</w:t>
                  </w:r>
                  <w:r>
                    <w:rPr>
                      <w:rFonts w:hint="eastAsia"/>
                      <w:color w:val="auto"/>
                      <w:sz w:val="21"/>
                      <w:szCs w:val="21"/>
                      <w:highlight w:val="none"/>
                    </w:rPr>
                    <w:t>标准</w:t>
                  </w:r>
                </w:p>
              </w:tc>
              <w:tc>
                <w:tcPr>
                  <w:tcW w:w="2211" w:type="dxa"/>
                  <w:shd w:val="clear" w:color="auto" w:fill="auto"/>
                  <w:vAlign w:val="center"/>
                </w:tcPr>
                <w:p w14:paraId="64DD02BF">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highlight w:val="none"/>
                      <w:lang w:val="en-US" w:eastAsia="zh-CN"/>
                    </w:rPr>
                    <w:t>45</w:t>
                  </w:r>
                  <w:r>
                    <w:rPr>
                      <w:rFonts w:ascii="Times New Roman" w:hAnsi="Times New Roman" w:eastAsia="宋体" w:cs="Times New Roman"/>
                      <w:color w:val="auto"/>
                      <w:highlight w:val="none"/>
                      <w:vertAlign w:val="superscript"/>
                      <w:lang w:val="en-US" w:eastAsia="zh-CN"/>
                    </w:rPr>
                    <w:fldChar w:fldCharType="begin"/>
                  </w:r>
                  <w:r>
                    <w:rPr>
                      <w:rFonts w:ascii="Times New Roman" w:hAnsi="Times New Roman" w:eastAsia="宋体" w:cs="Times New Roman"/>
                      <w:color w:val="auto"/>
                      <w:highlight w:val="none"/>
                      <w:vertAlign w:val="superscript"/>
                      <w:lang w:val="en-US" w:eastAsia="zh-CN"/>
                    </w:rPr>
                    <w:instrText xml:space="preserve"> = 1 \* GB3 </w:instrText>
                  </w:r>
                  <w:r>
                    <w:rPr>
                      <w:rFonts w:ascii="Times New Roman" w:hAnsi="Times New Roman" w:eastAsia="宋体" w:cs="Times New Roman"/>
                      <w:color w:val="auto"/>
                      <w:highlight w:val="none"/>
                      <w:vertAlign w:val="superscript"/>
                      <w:lang w:val="en-US" w:eastAsia="zh-CN"/>
                    </w:rPr>
                    <w:fldChar w:fldCharType="separate"/>
                  </w:r>
                  <w:r>
                    <w:rPr>
                      <w:rFonts w:ascii="Times New Roman" w:hAnsi="Times New Roman" w:eastAsia="宋体" w:cs="Times New Roman"/>
                      <w:color w:val="auto"/>
                      <w:highlight w:val="none"/>
                      <w:vertAlign w:val="superscript"/>
                      <w:lang w:val="en-US" w:eastAsia="zh-CN"/>
                    </w:rPr>
                    <w:t>①</w:t>
                  </w:r>
                  <w:r>
                    <w:rPr>
                      <w:rFonts w:ascii="Times New Roman" w:hAnsi="Times New Roman" w:eastAsia="宋体" w:cs="Times New Roman"/>
                      <w:color w:val="auto"/>
                      <w:highlight w:val="none"/>
                      <w:vertAlign w:val="superscript"/>
                      <w:lang w:val="en-US" w:eastAsia="zh-CN"/>
                    </w:rPr>
                    <w:fldChar w:fldCharType="end"/>
                  </w:r>
                </w:p>
              </w:tc>
            </w:tr>
            <w:tr w14:paraId="06C8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112" w:type="dxa"/>
                  <w:vMerge w:val="continue"/>
                  <w:vAlign w:val="center"/>
                </w:tcPr>
                <w:p w14:paraId="733804A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177" w:type="dxa"/>
                  <w:shd w:val="clear" w:color="auto" w:fill="auto"/>
                  <w:vAlign w:val="center"/>
                </w:tcPr>
                <w:p w14:paraId="47E6EE5B">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TP</w:t>
                  </w:r>
                </w:p>
              </w:tc>
              <w:tc>
                <w:tcPr>
                  <w:tcW w:w="4012" w:type="dxa"/>
                  <w:vMerge w:val="continue"/>
                  <w:shd w:val="clear" w:color="auto" w:fill="auto"/>
                  <w:vAlign w:val="center"/>
                </w:tcPr>
                <w:p w14:paraId="45DE5EF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2211" w:type="dxa"/>
                  <w:shd w:val="clear" w:color="auto" w:fill="auto"/>
                  <w:vAlign w:val="center"/>
                </w:tcPr>
                <w:p w14:paraId="5C073F5B">
                  <w:pPr>
                    <w:pStyle w:val="49"/>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color w:val="auto"/>
                      <w:highlight w:val="none"/>
                      <w:lang w:val="en-US" w:eastAsia="zh-CN"/>
                    </w:rPr>
                    <w:t>8</w:t>
                  </w:r>
                  <w:r>
                    <w:rPr>
                      <w:rFonts w:ascii="Times New Roman" w:hAnsi="Times New Roman" w:eastAsia="宋体" w:cs="Times New Roman"/>
                      <w:color w:val="auto"/>
                      <w:highlight w:val="none"/>
                      <w:vertAlign w:val="superscript"/>
                      <w:lang w:val="en-US" w:eastAsia="zh-CN"/>
                    </w:rPr>
                    <w:fldChar w:fldCharType="begin"/>
                  </w:r>
                  <w:r>
                    <w:rPr>
                      <w:rFonts w:ascii="Times New Roman" w:hAnsi="Times New Roman" w:eastAsia="宋体" w:cs="Times New Roman"/>
                      <w:color w:val="auto"/>
                      <w:highlight w:val="none"/>
                      <w:vertAlign w:val="superscript"/>
                      <w:lang w:val="en-US" w:eastAsia="zh-CN"/>
                    </w:rPr>
                    <w:instrText xml:space="preserve"> = 1 \* GB3 </w:instrText>
                  </w:r>
                  <w:r>
                    <w:rPr>
                      <w:rFonts w:ascii="Times New Roman" w:hAnsi="Times New Roman" w:eastAsia="宋体" w:cs="Times New Roman"/>
                      <w:color w:val="auto"/>
                      <w:highlight w:val="none"/>
                      <w:vertAlign w:val="superscript"/>
                      <w:lang w:val="en-US" w:eastAsia="zh-CN"/>
                    </w:rPr>
                    <w:fldChar w:fldCharType="separate"/>
                  </w:r>
                  <w:r>
                    <w:rPr>
                      <w:rFonts w:ascii="Times New Roman" w:hAnsi="Times New Roman" w:eastAsia="宋体" w:cs="Times New Roman"/>
                      <w:color w:val="auto"/>
                      <w:highlight w:val="none"/>
                      <w:vertAlign w:val="superscript"/>
                      <w:lang w:val="en-US" w:eastAsia="zh-CN"/>
                    </w:rPr>
                    <w:t>①</w:t>
                  </w:r>
                  <w:r>
                    <w:rPr>
                      <w:rFonts w:ascii="Times New Roman" w:hAnsi="Times New Roman" w:eastAsia="宋体" w:cs="Times New Roman"/>
                      <w:color w:val="auto"/>
                      <w:highlight w:val="none"/>
                      <w:vertAlign w:val="superscript"/>
                      <w:lang w:val="en-US" w:eastAsia="zh-CN"/>
                    </w:rPr>
                    <w:fldChar w:fldCharType="end"/>
                  </w:r>
                </w:p>
              </w:tc>
            </w:tr>
          </w:tbl>
          <w:p w14:paraId="17EB84E5">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4"/>
                <w:szCs w:val="24"/>
                <w:highlight w:val="none"/>
                <w:lang w:val="en-US" w:eastAsia="zh-CN" w:bidi="ar-SA"/>
              </w:rPr>
              <w:t>表 4</w:t>
            </w:r>
            <w:r>
              <w:rPr>
                <w:rFonts w:ascii="Times New Roman" w:hAnsi="Times New Roman" w:eastAsia="宋体" w:cs="Times New Roman"/>
                <w:b w:val="0"/>
                <w:bCs/>
                <w:color w:val="auto"/>
                <w:kern w:val="2"/>
                <w:sz w:val="24"/>
                <w:szCs w:val="24"/>
                <w:highlight w:val="none"/>
                <w:lang w:val="en-US" w:eastAsia="zh-CN" w:bidi="ar-SA"/>
              </w:rPr>
              <w:noBreakHyphen/>
            </w:r>
            <w:r>
              <w:rPr>
                <w:rFonts w:hint="eastAsia" w:ascii="Times New Roman" w:hAnsi="Times New Roman" w:cs="Times New Roman"/>
                <w:b w:val="0"/>
                <w:bCs/>
                <w:color w:val="auto"/>
                <w:kern w:val="2"/>
                <w:sz w:val="24"/>
                <w:szCs w:val="24"/>
                <w:highlight w:val="none"/>
                <w:lang w:val="en-US" w:eastAsia="zh-CN" w:bidi="ar-SA"/>
              </w:rPr>
              <w:t>17</w:t>
            </w:r>
            <w:r>
              <w:rPr>
                <w:rFonts w:ascii="Times New Roman" w:hAnsi="Times New Roman" w:eastAsia="宋体" w:cs="Times New Roman"/>
                <w:b w:val="0"/>
                <w:bCs/>
                <w:color w:val="auto"/>
                <w:kern w:val="2"/>
                <w:sz w:val="24"/>
                <w:szCs w:val="24"/>
                <w:highlight w:val="none"/>
                <w:lang w:val="en-US" w:eastAsia="zh-CN" w:bidi="ar-SA"/>
              </w:rPr>
              <w:t xml:space="preserve"> 废水污染物排放信息表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1"/>
              <w:gridCol w:w="1694"/>
              <w:gridCol w:w="1431"/>
              <w:gridCol w:w="2045"/>
              <w:gridCol w:w="2226"/>
            </w:tblGrid>
            <w:tr w14:paraId="5581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Align w:val="center"/>
                </w:tcPr>
                <w:p w14:paraId="3656EC7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序号</w:t>
                  </w:r>
                </w:p>
              </w:tc>
              <w:tc>
                <w:tcPr>
                  <w:tcW w:w="1023" w:type="pct"/>
                  <w:vAlign w:val="center"/>
                </w:tcPr>
                <w:p w14:paraId="3E9C6A84">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排放口编号</w:t>
                  </w:r>
                </w:p>
              </w:tc>
              <w:tc>
                <w:tcPr>
                  <w:tcW w:w="864" w:type="pct"/>
                  <w:vAlign w:val="center"/>
                </w:tcPr>
                <w:p w14:paraId="0F6C399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污染物种类</w:t>
                  </w:r>
                </w:p>
              </w:tc>
              <w:tc>
                <w:tcPr>
                  <w:tcW w:w="1235" w:type="pct"/>
                  <w:vAlign w:val="center"/>
                </w:tcPr>
                <w:p w14:paraId="17EF44F3">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排放浓度/（mg/L）</w:t>
                  </w:r>
                </w:p>
              </w:tc>
              <w:tc>
                <w:tcPr>
                  <w:tcW w:w="1344" w:type="pct"/>
                  <w:vAlign w:val="center"/>
                </w:tcPr>
                <w:p w14:paraId="77E7880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年</w:t>
                  </w:r>
                  <w:r>
                    <w:rPr>
                      <w:rFonts w:ascii="Times New Roman" w:hAnsi="Times New Roman" w:eastAsia="宋体" w:cs="Times New Roman"/>
                      <w:snapToGrid w:val="0"/>
                      <w:color w:val="auto"/>
                      <w:kern w:val="2"/>
                      <w:sz w:val="21"/>
                      <w:szCs w:val="21"/>
                      <w:highlight w:val="none"/>
                      <w:lang w:val="en-US" w:eastAsia="zh-CN" w:bidi="ar-SA"/>
                    </w:rPr>
                    <w:t>排放量/（t/a）</w:t>
                  </w:r>
                </w:p>
              </w:tc>
            </w:tr>
            <w:tr w14:paraId="67F1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restart"/>
                  <w:vAlign w:val="center"/>
                </w:tcPr>
                <w:p w14:paraId="6B0CF7D9">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1023" w:type="pct"/>
                  <w:vMerge w:val="restart"/>
                  <w:vAlign w:val="center"/>
                </w:tcPr>
                <w:p w14:paraId="74E8B063">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DW001</w:t>
                  </w:r>
                </w:p>
              </w:tc>
              <w:tc>
                <w:tcPr>
                  <w:tcW w:w="864" w:type="pct"/>
                  <w:vAlign w:val="center"/>
                </w:tcPr>
                <w:p w14:paraId="028408C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b w:val="0"/>
                      <w:bCs/>
                      <w:spacing w:val="0"/>
                      <w:sz w:val="21"/>
                      <w:szCs w:val="21"/>
                      <w:vertAlign w:val="baseline"/>
                      <w:lang w:val="en-US" w:eastAsia="zh-CN"/>
                    </w:rPr>
                    <w:t>粪大肠菌群</w:t>
                  </w:r>
                </w:p>
              </w:tc>
              <w:tc>
                <w:tcPr>
                  <w:tcW w:w="1235" w:type="pct"/>
                  <w:shd w:val="clear" w:color="auto" w:fill="auto"/>
                  <w:vAlign w:val="center"/>
                </w:tcPr>
                <w:p w14:paraId="3A5D7A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5000MPN/L</w:t>
                  </w:r>
                </w:p>
              </w:tc>
              <w:tc>
                <w:tcPr>
                  <w:tcW w:w="1344" w:type="pct"/>
                  <w:shd w:val="clear" w:color="auto" w:fill="auto"/>
                  <w:vAlign w:val="center"/>
                </w:tcPr>
                <w:p w14:paraId="27A4BA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5.5×10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MPN/L</w:t>
                  </w:r>
                </w:p>
              </w:tc>
            </w:tr>
            <w:tr w14:paraId="5183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3285973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1758054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vAlign w:val="center"/>
                </w:tcPr>
                <w:p w14:paraId="74DB7DE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1235" w:type="pct"/>
                  <w:shd w:val="clear" w:color="auto" w:fill="auto"/>
                  <w:vAlign w:val="center"/>
                </w:tcPr>
                <w:p w14:paraId="734953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2~8</w:t>
                  </w:r>
                </w:p>
              </w:tc>
              <w:tc>
                <w:tcPr>
                  <w:tcW w:w="1344" w:type="pct"/>
                  <w:shd w:val="clear" w:color="auto" w:fill="auto"/>
                  <w:vAlign w:val="center"/>
                </w:tcPr>
                <w:p w14:paraId="5BCA06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0.00022~0.00088</w:t>
                  </w:r>
                </w:p>
              </w:tc>
            </w:tr>
            <w:tr w14:paraId="41E60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restart"/>
                  <w:vAlign w:val="center"/>
                </w:tcPr>
                <w:p w14:paraId="10669008">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023" w:type="pct"/>
                  <w:vMerge w:val="restart"/>
                  <w:vAlign w:val="center"/>
                </w:tcPr>
                <w:p w14:paraId="632606C7">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DW002</w:t>
                  </w:r>
                </w:p>
              </w:tc>
              <w:tc>
                <w:tcPr>
                  <w:tcW w:w="864" w:type="pct"/>
                  <w:shd w:val="clear" w:color="auto" w:fill="auto"/>
                  <w:vAlign w:val="center"/>
                </w:tcPr>
                <w:p w14:paraId="2DA8649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b w:val="0"/>
                      <w:bCs/>
                      <w:spacing w:val="0"/>
                      <w:sz w:val="21"/>
                      <w:szCs w:val="21"/>
                      <w:vertAlign w:val="baseline"/>
                      <w:lang w:val="en-US" w:eastAsia="zh-CN"/>
                    </w:rPr>
                    <w:t>粪大肠菌群</w:t>
                  </w:r>
                </w:p>
              </w:tc>
              <w:tc>
                <w:tcPr>
                  <w:tcW w:w="1235" w:type="pct"/>
                  <w:shd w:val="clear" w:color="auto" w:fill="auto"/>
                  <w:vAlign w:val="center"/>
                </w:tcPr>
                <w:p w14:paraId="2FBC3B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5000MPN/L</w:t>
                  </w:r>
                </w:p>
              </w:tc>
              <w:tc>
                <w:tcPr>
                  <w:tcW w:w="1344" w:type="pct"/>
                  <w:shd w:val="clear" w:color="auto" w:fill="auto"/>
                  <w:vAlign w:val="center"/>
                </w:tcPr>
                <w:p w14:paraId="2E7306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2.14×10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MPN/L</w:t>
                  </w:r>
                </w:p>
              </w:tc>
            </w:tr>
            <w:tr w14:paraId="6F37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733D447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6AC3803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0D70265A">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1235" w:type="pct"/>
                  <w:shd w:val="clear" w:color="auto" w:fill="auto"/>
                  <w:vAlign w:val="center"/>
                </w:tcPr>
                <w:p w14:paraId="0404EA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2~8</w:t>
                  </w:r>
                </w:p>
              </w:tc>
              <w:tc>
                <w:tcPr>
                  <w:tcW w:w="1344" w:type="pct"/>
                  <w:shd w:val="clear" w:color="auto" w:fill="auto"/>
                  <w:vAlign w:val="center"/>
                </w:tcPr>
                <w:p w14:paraId="5F5B72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0.00009~0.00034</w:t>
                  </w:r>
                </w:p>
              </w:tc>
            </w:tr>
            <w:tr w14:paraId="359A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restart"/>
                  <w:vAlign w:val="center"/>
                </w:tcPr>
                <w:p w14:paraId="4D375918">
                  <w:pPr>
                    <w:widowControl w:val="0"/>
                    <w:snapToGrid w:val="0"/>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023" w:type="pct"/>
                  <w:vMerge w:val="restart"/>
                  <w:vAlign w:val="center"/>
                </w:tcPr>
                <w:p w14:paraId="7CB81459">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DW003</w:t>
                  </w:r>
                </w:p>
              </w:tc>
              <w:tc>
                <w:tcPr>
                  <w:tcW w:w="864" w:type="pct"/>
                  <w:shd w:val="clear" w:color="auto" w:fill="auto"/>
                  <w:vAlign w:val="center"/>
                </w:tcPr>
                <w:p w14:paraId="40E60FA2">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pH</w:t>
                  </w:r>
                </w:p>
              </w:tc>
              <w:tc>
                <w:tcPr>
                  <w:tcW w:w="1235" w:type="pct"/>
                  <w:vAlign w:val="center"/>
                </w:tcPr>
                <w:p w14:paraId="5AF01E11">
                  <w:pPr>
                    <w:widowControl w:val="0"/>
                    <w:snapToGrid w:val="0"/>
                    <w:spacing w:line="240" w:lineRule="auto"/>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6~9</w:t>
                  </w:r>
                </w:p>
              </w:tc>
              <w:tc>
                <w:tcPr>
                  <w:tcW w:w="1344" w:type="pct"/>
                  <w:shd w:val="clear" w:color="auto" w:fill="auto"/>
                  <w:vAlign w:val="center"/>
                </w:tcPr>
                <w:p w14:paraId="1AC665C4">
                  <w:pPr>
                    <w:widowControl w:val="0"/>
                    <w:snapToGrid w:val="0"/>
                    <w:spacing w:line="240" w:lineRule="auto"/>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w:t>
                  </w:r>
                </w:p>
              </w:tc>
            </w:tr>
            <w:tr w14:paraId="7F3B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307DEEA2">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5386F76B">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375ADC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COD</w:t>
                  </w:r>
                </w:p>
              </w:tc>
              <w:tc>
                <w:tcPr>
                  <w:tcW w:w="1235" w:type="pct"/>
                  <w:shd w:val="clear" w:color="auto" w:fill="auto"/>
                  <w:vAlign w:val="center"/>
                </w:tcPr>
                <w:p w14:paraId="565CB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300</w:t>
                  </w:r>
                </w:p>
              </w:tc>
              <w:tc>
                <w:tcPr>
                  <w:tcW w:w="1344" w:type="pct"/>
                  <w:shd w:val="clear" w:color="auto" w:fill="auto"/>
                  <w:vAlign w:val="center"/>
                </w:tcPr>
                <w:p w14:paraId="6B60F5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0.142</w:t>
                  </w:r>
                </w:p>
              </w:tc>
            </w:tr>
            <w:tr w14:paraId="28FB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7D2996E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17F0B8F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6FE3E3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BOD</w:t>
                  </w:r>
                  <w:r>
                    <w:rPr>
                      <w:rFonts w:hint="eastAsia" w:cs="Times New Roman"/>
                      <w:b w:val="0"/>
                      <w:bCs/>
                      <w:spacing w:val="0"/>
                      <w:sz w:val="21"/>
                      <w:szCs w:val="21"/>
                      <w:vertAlign w:val="subscript"/>
                      <w:lang w:val="en-US" w:eastAsia="zh-CN"/>
                    </w:rPr>
                    <w:t>5</w:t>
                  </w:r>
                </w:p>
              </w:tc>
              <w:tc>
                <w:tcPr>
                  <w:tcW w:w="1235" w:type="pct"/>
                  <w:shd w:val="clear" w:color="auto" w:fill="auto"/>
                  <w:vAlign w:val="center"/>
                </w:tcPr>
                <w:p w14:paraId="221F4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150</w:t>
                  </w:r>
                </w:p>
              </w:tc>
              <w:tc>
                <w:tcPr>
                  <w:tcW w:w="1344" w:type="pct"/>
                  <w:shd w:val="clear" w:color="auto" w:fill="auto"/>
                  <w:vAlign w:val="center"/>
                </w:tcPr>
                <w:p w14:paraId="753435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0.071</w:t>
                  </w:r>
                </w:p>
              </w:tc>
            </w:tr>
            <w:tr w14:paraId="4843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051F6CE5">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4CFDE8E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50E04B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氨氮</w:t>
                  </w:r>
                </w:p>
              </w:tc>
              <w:tc>
                <w:tcPr>
                  <w:tcW w:w="1235" w:type="pct"/>
                  <w:shd w:val="clear" w:color="auto" w:fill="auto"/>
                  <w:vAlign w:val="center"/>
                </w:tcPr>
                <w:p w14:paraId="04764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20</w:t>
                  </w:r>
                </w:p>
              </w:tc>
              <w:tc>
                <w:tcPr>
                  <w:tcW w:w="1344" w:type="pct"/>
                  <w:shd w:val="clear" w:color="auto" w:fill="auto"/>
                  <w:vAlign w:val="center"/>
                </w:tcPr>
                <w:p w14:paraId="3F0907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0.0095</w:t>
                  </w:r>
                </w:p>
              </w:tc>
            </w:tr>
            <w:tr w14:paraId="7B47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4361C9BF">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69A25B5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167CA1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SS</w:t>
                  </w:r>
                </w:p>
              </w:tc>
              <w:tc>
                <w:tcPr>
                  <w:tcW w:w="1235" w:type="pct"/>
                  <w:shd w:val="clear" w:color="auto" w:fill="auto"/>
                  <w:vAlign w:val="center"/>
                </w:tcPr>
                <w:p w14:paraId="1BF9FD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130</w:t>
                  </w:r>
                </w:p>
              </w:tc>
              <w:tc>
                <w:tcPr>
                  <w:tcW w:w="1344" w:type="pct"/>
                  <w:shd w:val="clear" w:color="auto" w:fill="auto"/>
                  <w:vAlign w:val="center"/>
                </w:tcPr>
                <w:p w14:paraId="552AF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0.062</w:t>
                  </w:r>
                </w:p>
              </w:tc>
            </w:tr>
            <w:tr w14:paraId="32A6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1DBDAD0A">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26B44E51">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118047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TP</w:t>
                  </w:r>
                </w:p>
              </w:tc>
              <w:tc>
                <w:tcPr>
                  <w:tcW w:w="1235" w:type="pct"/>
                  <w:shd w:val="clear" w:color="auto" w:fill="auto"/>
                  <w:vAlign w:val="center"/>
                </w:tcPr>
                <w:p w14:paraId="1E025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7</w:t>
                  </w:r>
                </w:p>
              </w:tc>
              <w:tc>
                <w:tcPr>
                  <w:tcW w:w="1344" w:type="pct"/>
                  <w:shd w:val="clear" w:color="auto" w:fill="auto"/>
                  <w:vAlign w:val="center"/>
                </w:tcPr>
                <w:p w14:paraId="34CB0F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0.0033</w:t>
                  </w:r>
                </w:p>
              </w:tc>
            </w:tr>
            <w:tr w14:paraId="68DE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42CBD5A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7345FDDD">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4A2475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粪大肠菌群</w:t>
                  </w:r>
                </w:p>
              </w:tc>
              <w:tc>
                <w:tcPr>
                  <w:tcW w:w="1235" w:type="pct"/>
                  <w:shd w:val="clear" w:color="auto" w:fill="auto"/>
                  <w:vAlign w:val="center"/>
                </w:tcPr>
                <w:p w14:paraId="176295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1931个/L</w:t>
                  </w:r>
                </w:p>
              </w:tc>
              <w:tc>
                <w:tcPr>
                  <w:tcW w:w="1344" w:type="pct"/>
                  <w:shd w:val="clear" w:color="auto" w:fill="auto"/>
                  <w:vAlign w:val="center"/>
                </w:tcPr>
                <w:p w14:paraId="47FDD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9.17×10</w:t>
                  </w:r>
                  <w:r>
                    <w:rPr>
                      <w:rFonts w:hint="eastAsia" w:cs="Times New Roman"/>
                      <w:b w:val="0"/>
                      <w:bCs/>
                      <w:spacing w:val="0"/>
                      <w:sz w:val="21"/>
                      <w:szCs w:val="21"/>
                      <w:vertAlign w:val="superscript"/>
                      <w:lang w:val="en-US" w:eastAsia="zh-CN"/>
                    </w:rPr>
                    <w:t>8</w:t>
                  </w:r>
                  <w:r>
                    <w:rPr>
                      <w:rFonts w:hint="eastAsia" w:cs="Times New Roman"/>
                      <w:b w:val="0"/>
                      <w:bCs/>
                      <w:spacing w:val="0"/>
                      <w:sz w:val="21"/>
                      <w:szCs w:val="21"/>
                      <w:vertAlign w:val="baseline"/>
                      <w:lang w:val="en-US" w:eastAsia="zh-CN"/>
                    </w:rPr>
                    <w:t>个/L</w:t>
                  </w:r>
                </w:p>
              </w:tc>
            </w:tr>
            <w:tr w14:paraId="30FD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3FFC71C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565A0010">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0EBC33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LAS</w:t>
                  </w:r>
                </w:p>
              </w:tc>
              <w:tc>
                <w:tcPr>
                  <w:tcW w:w="1235" w:type="pct"/>
                  <w:shd w:val="clear" w:color="auto" w:fill="auto"/>
                  <w:vAlign w:val="center"/>
                </w:tcPr>
                <w:p w14:paraId="63898F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sz w:val="21"/>
                      <w:szCs w:val="21"/>
                      <w:vertAlign w:val="baseline"/>
                      <w:lang w:val="en-US" w:eastAsia="zh-CN"/>
                    </w:rPr>
                    <w:t>3</w:t>
                  </w:r>
                </w:p>
              </w:tc>
              <w:tc>
                <w:tcPr>
                  <w:tcW w:w="1344" w:type="pct"/>
                  <w:shd w:val="clear" w:color="auto" w:fill="auto"/>
                  <w:vAlign w:val="center"/>
                </w:tcPr>
                <w:p w14:paraId="75C97B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spacing w:val="0"/>
                      <w:kern w:val="2"/>
                      <w:sz w:val="21"/>
                      <w:szCs w:val="21"/>
                      <w:vertAlign w:val="baseline"/>
                      <w:lang w:val="en-US" w:eastAsia="zh-CN" w:bidi="ar-SA"/>
                    </w:rPr>
                  </w:pPr>
                  <w:r>
                    <w:rPr>
                      <w:rFonts w:hint="eastAsia" w:cs="Times New Roman"/>
                      <w:b w:val="0"/>
                      <w:bCs/>
                      <w:spacing w:val="0"/>
                      <w:kern w:val="2"/>
                      <w:sz w:val="21"/>
                      <w:szCs w:val="21"/>
                      <w:vertAlign w:val="baseline"/>
                      <w:lang w:val="en-US" w:eastAsia="zh-CN" w:bidi="ar-SA"/>
                    </w:rPr>
                    <w:t>0.0014</w:t>
                  </w:r>
                </w:p>
              </w:tc>
            </w:tr>
            <w:tr w14:paraId="1A2F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32" w:type="pct"/>
                  <w:vMerge w:val="continue"/>
                  <w:vAlign w:val="center"/>
                </w:tcPr>
                <w:p w14:paraId="183ACC9E">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1023" w:type="pct"/>
                  <w:vMerge w:val="continue"/>
                  <w:vAlign w:val="center"/>
                </w:tcPr>
                <w:p w14:paraId="2678ADEC">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p>
              </w:tc>
              <w:tc>
                <w:tcPr>
                  <w:tcW w:w="864" w:type="pct"/>
                  <w:shd w:val="clear" w:color="auto" w:fill="auto"/>
                  <w:vAlign w:val="center"/>
                </w:tcPr>
                <w:p w14:paraId="491723BA">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总余氯</w:t>
                  </w:r>
                </w:p>
              </w:tc>
              <w:tc>
                <w:tcPr>
                  <w:tcW w:w="1235" w:type="pct"/>
                  <w:shd w:val="clear" w:color="auto" w:fill="auto"/>
                  <w:vAlign w:val="center"/>
                </w:tcPr>
                <w:p w14:paraId="4A688BAE">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1344" w:type="pct"/>
                  <w:shd w:val="clear" w:color="auto" w:fill="auto"/>
                  <w:vAlign w:val="center"/>
                </w:tcPr>
                <w:p w14:paraId="6A753850">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0.00047</w:t>
                  </w:r>
                </w:p>
              </w:tc>
            </w:tr>
          </w:tbl>
          <w:p w14:paraId="7D5C229B">
            <w:pPr>
              <w:keepNext w:val="0"/>
              <w:keepLines w:val="0"/>
              <w:pageBreakBefore w:val="0"/>
              <w:widowControl w:val="0"/>
              <w:kinsoku/>
              <w:wordWrap/>
              <w:overflowPunct/>
              <w:topLinePunct w:val="0"/>
              <w:autoSpaceDE/>
              <w:autoSpaceDN/>
              <w:bidi w:val="0"/>
              <w:adjustRightInd/>
              <w:snapToGrid/>
              <w:spacing w:before="120" w:beforeLines="50" w:line="360" w:lineRule="auto"/>
              <w:ind w:firstLine="0" w:firstLineChars="0"/>
              <w:textAlignment w:val="auto"/>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lang w:bidi="ar"/>
              </w:rPr>
              <w:t>4.2.1.</w:t>
            </w:r>
            <w:r>
              <w:rPr>
                <w:rFonts w:hint="eastAsia" w:cs="Times New Roman"/>
                <w:b/>
                <w:bCs/>
                <w:color w:val="auto"/>
                <w:sz w:val="24"/>
                <w:szCs w:val="24"/>
                <w:highlight w:val="none"/>
                <w:lang w:val="en-US" w:eastAsia="zh-CN" w:bidi="ar"/>
              </w:rPr>
              <w:t>5</w:t>
            </w:r>
            <w:r>
              <w:rPr>
                <w:rFonts w:ascii="Times New Roman" w:hAnsi="Times New Roman" w:eastAsia="宋体" w:cs="Times New Roman"/>
                <w:b/>
                <w:bCs/>
                <w:color w:val="auto"/>
                <w:sz w:val="24"/>
                <w:szCs w:val="24"/>
                <w:highlight w:val="none"/>
                <w:lang w:bidi="ar"/>
              </w:rPr>
              <w:t xml:space="preserve"> 废水</w:t>
            </w:r>
            <w:r>
              <w:rPr>
                <w:rFonts w:ascii="Times New Roman" w:hAnsi="Times New Roman" w:eastAsia="宋体" w:cs="Times New Roman"/>
                <w:b/>
                <w:bCs/>
                <w:color w:val="auto"/>
                <w:sz w:val="24"/>
                <w:szCs w:val="24"/>
                <w:highlight w:val="none"/>
              </w:rPr>
              <w:t>监测计划</w:t>
            </w:r>
          </w:p>
          <w:p w14:paraId="423508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本项目污废水排入恒大绿岛新城B区生化池进行处理，该生化池的管理及维护均由重庆同景物业服务有限公司承担。</w:t>
            </w:r>
          </w:p>
          <w:p w14:paraId="465042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为配合粪大肠菌群和余氯的监督性监测</w:t>
            </w:r>
            <w:r>
              <w:rPr>
                <w:rFonts w:hint="eastAsia" w:cs="Times New Roman"/>
                <w:color w:val="auto"/>
                <w:sz w:val="24"/>
                <w:szCs w:val="24"/>
                <w:highlight w:val="none"/>
                <w:lang w:val="en-US" w:eastAsia="zh-CN"/>
              </w:rPr>
              <w:t>和确保项目消毒设施处理效果</w:t>
            </w:r>
            <w:r>
              <w:rPr>
                <w:rFonts w:hint="eastAsia" w:ascii="Times New Roman" w:hAnsi="Times New Roman" w:eastAsia="宋体" w:cs="Times New Roman"/>
                <w:color w:val="auto"/>
                <w:sz w:val="24"/>
                <w:szCs w:val="24"/>
                <w:highlight w:val="none"/>
              </w:rPr>
              <w:t>，对消毒设备废水污染物粪大肠菌群、总余氯排放限值进行控制，参照《排污单位自行监测技术指南</w:t>
            </w:r>
            <w:r>
              <w:rPr>
                <w:rFonts w:hint="eastAsia"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总则》（HJ819-2017），</w:t>
            </w:r>
            <w:r>
              <w:rPr>
                <w:rFonts w:ascii="Times New Roman" w:hAnsi="Times New Roman" w:eastAsia="宋体" w:cs="Times New Roman"/>
                <w:color w:val="auto"/>
                <w:sz w:val="24"/>
                <w:szCs w:val="24"/>
                <w:highlight w:val="none"/>
              </w:rPr>
              <w:t>本项目废水自行监测计划详见下表。</w:t>
            </w:r>
          </w:p>
          <w:p w14:paraId="3BF1FB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auto"/>
                <w:kern w:val="2"/>
                <w:sz w:val="24"/>
                <w:szCs w:val="24"/>
                <w:highlight w:val="none"/>
                <w:lang w:val="en-US" w:eastAsia="zh-CN" w:bidi="ar-SA"/>
              </w:rPr>
            </w:pPr>
            <w:r>
              <w:rPr>
                <w:rFonts w:ascii="Times New Roman" w:hAnsi="Times New Roman" w:eastAsia="宋体" w:cs="Times New Roman"/>
                <w:b w:val="0"/>
                <w:bCs/>
                <w:color w:val="auto"/>
                <w:kern w:val="2"/>
                <w:sz w:val="24"/>
                <w:szCs w:val="24"/>
                <w:highlight w:val="none"/>
                <w:lang w:val="en-US" w:eastAsia="zh-CN" w:bidi="ar-SA"/>
              </w:rPr>
              <w:t>表 4</w:t>
            </w:r>
            <w:r>
              <w:rPr>
                <w:rFonts w:ascii="Times New Roman" w:hAnsi="Times New Roman" w:eastAsia="宋体" w:cs="Times New Roman"/>
                <w:b w:val="0"/>
                <w:bCs/>
                <w:color w:val="auto"/>
                <w:kern w:val="2"/>
                <w:sz w:val="24"/>
                <w:szCs w:val="24"/>
                <w:highlight w:val="none"/>
                <w:lang w:val="en-US" w:eastAsia="zh-CN" w:bidi="ar-SA"/>
              </w:rPr>
              <w:noBreakHyphen/>
            </w:r>
            <w:r>
              <w:rPr>
                <w:rFonts w:hint="eastAsia" w:cs="Times New Roman"/>
                <w:b w:val="0"/>
                <w:bCs/>
                <w:color w:val="auto"/>
                <w:kern w:val="2"/>
                <w:sz w:val="24"/>
                <w:szCs w:val="24"/>
                <w:highlight w:val="none"/>
                <w:lang w:val="en-US" w:eastAsia="zh-CN" w:bidi="ar-SA"/>
              </w:rPr>
              <w:t>18</w:t>
            </w:r>
            <w:r>
              <w:rPr>
                <w:rFonts w:ascii="Times New Roman" w:hAnsi="Times New Roman" w:eastAsia="宋体" w:cs="Times New Roman"/>
                <w:b w:val="0"/>
                <w:bCs/>
                <w:color w:val="auto"/>
                <w:kern w:val="2"/>
                <w:sz w:val="24"/>
                <w:szCs w:val="24"/>
                <w:highlight w:val="none"/>
                <w:lang w:val="en-US" w:eastAsia="zh-CN" w:bidi="ar-SA"/>
              </w:rPr>
              <w:t xml:space="preserve"> 废水自行监测计划一览表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040"/>
              <w:gridCol w:w="2158"/>
              <w:gridCol w:w="3072"/>
            </w:tblGrid>
            <w:tr w14:paraId="4324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vAlign w:val="center"/>
                </w:tcPr>
                <w:p w14:paraId="5032DE33">
                  <w:pPr>
                    <w:widowControl w:val="0"/>
                    <w:snapToGrid w:val="0"/>
                    <w:spacing w:line="240" w:lineRule="auto"/>
                    <w:ind w:left="-105" w:leftChars="-50" w:right="-105" w:rightChars="-50"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监测点位</w:t>
                  </w:r>
                </w:p>
              </w:tc>
              <w:tc>
                <w:tcPr>
                  <w:tcW w:w="2097" w:type="dxa"/>
                  <w:vAlign w:val="center"/>
                </w:tcPr>
                <w:p w14:paraId="45AE2E48">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监测指标</w:t>
                  </w:r>
                </w:p>
              </w:tc>
              <w:tc>
                <w:tcPr>
                  <w:tcW w:w="2219" w:type="dxa"/>
                  <w:vAlign w:val="center"/>
                </w:tcPr>
                <w:p w14:paraId="6EC073B6">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监测频次</w:t>
                  </w:r>
                </w:p>
              </w:tc>
              <w:tc>
                <w:tcPr>
                  <w:tcW w:w="3161" w:type="dxa"/>
                  <w:vAlign w:val="center"/>
                </w:tcPr>
                <w:p w14:paraId="1E8C0A39">
                  <w:pPr>
                    <w:widowControl w:val="0"/>
                    <w:snapToGrid w:val="0"/>
                    <w:spacing w:line="240" w:lineRule="auto"/>
                    <w:ind w:firstLine="0" w:firstLineChars="0"/>
                    <w:jc w:val="center"/>
                    <w:rPr>
                      <w:rFonts w:ascii="Times New Roman" w:hAnsi="Times New Roman" w:eastAsia="宋体" w:cs="Times New Roman"/>
                      <w:snapToGrid w:val="0"/>
                      <w:color w:val="auto"/>
                      <w:kern w:val="2"/>
                      <w:sz w:val="21"/>
                      <w:szCs w:val="21"/>
                      <w:highlight w:val="none"/>
                      <w:lang w:val="en-US" w:eastAsia="zh-CN" w:bidi="ar-SA"/>
                    </w:rPr>
                  </w:pPr>
                  <w:r>
                    <w:rPr>
                      <w:rFonts w:ascii="Times New Roman" w:hAnsi="Times New Roman" w:eastAsia="宋体" w:cs="Times New Roman"/>
                      <w:snapToGrid w:val="0"/>
                      <w:color w:val="auto"/>
                      <w:kern w:val="2"/>
                      <w:sz w:val="21"/>
                      <w:szCs w:val="21"/>
                      <w:highlight w:val="none"/>
                      <w:lang w:val="en-US" w:eastAsia="zh-CN" w:bidi="ar-SA"/>
                    </w:rPr>
                    <w:t>执行标准</w:t>
                  </w:r>
                </w:p>
              </w:tc>
            </w:tr>
            <w:tr w14:paraId="48CE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shd w:val="clear" w:color="auto" w:fill="auto"/>
                  <w:vAlign w:val="center"/>
                </w:tcPr>
                <w:p w14:paraId="43B58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eastAsia" w:cs="Times New Roman"/>
                      <w:b w:val="0"/>
                      <w:bCs/>
                      <w:kern w:val="0"/>
                      <w:sz w:val="21"/>
                      <w:szCs w:val="21"/>
                      <w:vertAlign w:val="baseline"/>
                      <w:lang w:val="en-US" w:eastAsia="zh-CN"/>
                    </w:rPr>
                    <w:t>1#</w:t>
                  </w:r>
                  <w:r>
                    <w:rPr>
                      <w:rFonts w:hint="eastAsia" w:cs="Times New Roman"/>
                      <w:b w:val="0"/>
                      <w:bCs/>
                      <w:kern w:val="0"/>
                      <w:sz w:val="21"/>
                      <w:szCs w:val="21"/>
                      <w:vertAlign w:val="baseline"/>
                      <w:lang w:eastAsia="zh-CN"/>
                    </w:rPr>
                    <w:t>消毒设施</w:t>
                  </w:r>
                  <w:r>
                    <w:rPr>
                      <w:rFonts w:hint="eastAsia" w:ascii="Times New Roman" w:hAnsi="Times New Roman" w:cs="Times New Roman"/>
                      <w:b w:val="0"/>
                      <w:bCs/>
                      <w:kern w:val="0"/>
                      <w:sz w:val="21"/>
                      <w:szCs w:val="21"/>
                      <w:vertAlign w:val="baseline"/>
                    </w:rPr>
                    <w:t>排放口</w:t>
                  </w:r>
                </w:p>
              </w:tc>
              <w:tc>
                <w:tcPr>
                  <w:tcW w:w="2097" w:type="dxa"/>
                  <w:shd w:val="clear" w:color="auto" w:fill="auto"/>
                  <w:vAlign w:val="center"/>
                </w:tcPr>
                <w:p w14:paraId="3E64F8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rPr>
                    <w:t>粪大肠菌群、总余氯</w:t>
                  </w:r>
                </w:p>
              </w:tc>
              <w:tc>
                <w:tcPr>
                  <w:tcW w:w="2219" w:type="dxa"/>
                  <w:shd w:val="clear" w:color="auto" w:fill="auto"/>
                  <w:vAlign w:val="center"/>
                </w:tcPr>
                <w:p w14:paraId="3DE0E1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lang w:val="en-US" w:eastAsia="zh-CN"/>
                    </w:rPr>
                    <w:t>验收时监测一次</w:t>
                  </w:r>
                  <w:r>
                    <w:rPr>
                      <w:rFonts w:hint="eastAsia" w:cs="Times New Roman"/>
                      <w:b w:val="0"/>
                      <w:bCs/>
                      <w:kern w:val="0"/>
                      <w:sz w:val="21"/>
                      <w:szCs w:val="21"/>
                      <w:vertAlign w:val="baseline"/>
                      <w:lang w:val="en-US" w:eastAsia="zh-CN"/>
                    </w:rPr>
                    <w:t>，每年监测一次</w:t>
                  </w:r>
                </w:p>
              </w:tc>
              <w:tc>
                <w:tcPr>
                  <w:tcW w:w="3161" w:type="dxa"/>
                  <w:shd w:val="clear" w:color="auto" w:fill="auto"/>
                  <w:vAlign w:val="center"/>
                </w:tcPr>
                <w:p w14:paraId="1D2CD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rPr>
                    <w:t>《医疗机构水污染物排放标准》</w:t>
                  </w:r>
                  <w:r>
                    <w:rPr>
                      <w:rFonts w:hint="eastAsia" w:ascii="Times New Roman" w:hAnsi="Times New Roman" w:cs="Times New Roman"/>
                      <w:b w:val="0"/>
                      <w:bCs/>
                      <w:kern w:val="0"/>
                      <w:sz w:val="21"/>
                      <w:szCs w:val="21"/>
                      <w:vertAlign w:val="baseline"/>
                      <w:lang w:eastAsia="zh-CN"/>
                    </w:rPr>
                    <w:t>（</w:t>
                  </w:r>
                  <w:r>
                    <w:rPr>
                      <w:rFonts w:hint="eastAsia" w:ascii="Times New Roman" w:hAnsi="Times New Roman" w:cs="Times New Roman"/>
                      <w:b w:val="0"/>
                      <w:bCs/>
                      <w:kern w:val="0"/>
                      <w:sz w:val="21"/>
                      <w:szCs w:val="21"/>
                      <w:vertAlign w:val="baseline"/>
                    </w:rPr>
                    <w:t>GB18466-2005</w:t>
                  </w:r>
                  <w:r>
                    <w:rPr>
                      <w:rFonts w:hint="eastAsia" w:ascii="Times New Roman" w:hAnsi="Times New Roman" w:cs="Times New Roman"/>
                      <w:b w:val="0"/>
                      <w:bCs/>
                      <w:kern w:val="0"/>
                      <w:sz w:val="21"/>
                      <w:szCs w:val="21"/>
                      <w:vertAlign w:val="baseline"/>
                      <w:lang w:eastAsia="zh-CN"/>
                    </w:rPr>
                    <w:t>）</w:t>
                  </w:r>
                  <w:r>
                    <w:rPr>
                      <w:rFonts w:hint="eastAsia" w:ascii="Times New Roman" w:hAnsi="Times New Roman" w:cs="Times New Roman"/>
                      <w:b w:val="0"/>
                      <w:bCs/>
                      <w:kern w:val="0"/>
                      <w:sz w:val="21"/>
                      <w:szCs w:val="21"/>
                      <w:vertAlign w:val="baseline"/>
                    </w:rPr>
                    <w:t>预</w:t>
                  </w:r>
                  <w:r>
                    <w:rPr>
                      <w:rFonts w:hint="eastAsia" w:ascii="Times New Roman" w:hAnsi="Times New Roman" w:cs="Times New Roman"/>
                      <w:b w:val="0"/>
                      <w:bCs/>
                      <w:kern w:val="0"/>
                      <w:sz w:val="21"/>
                      <w:szCs w:val="21"/>
                      <w:vertAlign w:val="baseline"/>
                      <w:lang w:val="en-US" w:eastAsia="zh-CN"/>
                    </w:rPr>
                    <w:t>处理标准</w:t>
                  </w:r>
                </w:p>
              </w:tc>
            </w:tr>
            <w:tr w14:paraId="7645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shd w:val="clear" w:color="auto" w:fill="auto"/>
                  <w:vAlign w:val="center"/>
                </w:tcPr>
                <w:p w14:paraId="50412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cs="Times New Roman"/>
                      <w:b w:val="0"/>
                      <w:bCs/>
                      <w:kern w:val="0"/>
                      <w:sz w:val="21"/>
                      <w:szCs w:val="21"/>
                      <w:vertAlign w:val="baseline"/>
                      <w:lang w:val="en-US" w:eastAsia="zh-CN"/>
                    </w:rPr>
                    <w:t>2#</w:t>
                  </w:r>
                  <w:r>
                    <w:rPr>
                      <w:rFonts w:hint="eastAsia" w:cs="Times New Roman"/>
                      <w:b w:val="0"/>
                      <w:bCs/>
                      <w:kern w:val="0"/>
                      <w:sz w:val="21"/>
                      <w:szCs w:val="21"/>
                      <w:vertAlign w:val="baseline"/>
                      <w:lang w:eastAsia="zh-CN"/>
                    </w:rPr>
                    <w:t>消毒设施</w:t>
                  </w:r>
                  <w:r>
                    <w:rPr>
                      <w:rFonts w:hint="eastAsia" w:ascii="Times New Roman" w:hAnsi="Times New Roman" w:cs="Times New Roman"/>
                      <w:b w:val="0"/>
                      <w:bCs/>
                      <w:kern w:val="0"/>
                      <w:sz w:val="21"/>
                      <w:szCs w:val="21"/>
                      <w:vertAlign w:val="baseline"/>
                    </w:rPr>
                    <w:t>排放口</w:t>
                  </w:r>
                </w:p>
              </w:tc>
              <w:tc>
                <w:tcPr>
                  <w:tcW w:w="2097" w:type="dxa"/>
                  <w:shd w:val="clear" w:color="auto" w:fill="auto"/>
                  <w:vAlign w:val="center"/>
                </w:tcPr>
                <w:p w14:paraId="5F8DA3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rPr>
                    <w:t>粪大肠菌群、总余氯</w:t>
                  </w:r>
                </w:p>
              </w:tc>
              <w:tc>
                <w:tcPr>
                  <w:tcW w:w="2219" w:type="dxa"/>
                  <w:shd w:val="clear" w:color="auto" w:fill="auto"/>
                  <w:vAlign w:val="center"/>
                </w:tcPr>
                <w:p w14:paraId="5E41DD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lang w:val="en-US" w:eastAsia="zh-CN"/>
                    </w:rPr>
                    <w:t>验收时监测一次</w:t>
                  </w:r>
                  <w:r>
                    <w:rPr>
                      <w:rFonts w:hint="eastAsia" w:cs="Times New Roman"/>
                      <w:b w:val="0"/>
                      <w:bCs/>
                      <w:kern w:val="0"/>
                      <w:sz w:val="21"/>
                      <w:szCs w:val="21"/>
                      <w:vertAlign w:val="baseline"/>
                      <w:lang w:val="en-US" w:eastAsia="zh-CN"/>
                    </w:rPr>
                    <w:t>，每年监测一次</w:t>
                  </w:r>
                </w:p>
              </w:tc>
              <w:tc>
                <w:tcPr>
                  <w:tcW w:w="3161" w:type="dxa"/>
                  <w:shd w:val="clear" w:color="auto" w:fill="auto"/>
                  <w:vAlign w:val="center"/>
                </w:tcPr>
                <w:p w14:paraId="10802F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rPr>
                    <w:t>《医疗机构水污染物排放标准》</w:t>
                  </w:r>
                  <w:r>
                    <w:rPr>
                      <w:rFonts w:hint="eastAsia" w:ascii="Times New Roman" w:hAnsi="Times New Roman" w:cs="Times New Roman"/>
                      <w:b w:val="0"/>
                      <w:bCs/>
                      <w:kern w:val="0"/>
                      <w:sz w:val="21"/>
                      <w:szCs w:val="21"/>
                      <w:vertAlign w:val="baseline"/>
                      <w:lang w:eastAsia="zh-CN"/>
                    </w:rPr>
                    <w:t>（</w:t>
                  </w:r>
                  <w:r>
                    <w:rPr>
                      <w:rFonts w:hint="eastAsia" w:ascii="Times New Roman" w:hAnsi="Times New Roman" w:cs="Times New Roman"/>
                      <w:b w:val="0"/>
                      <w:bCs/>
                      <w:kern w:val="0"/>
                      <w:sz w:val="21"/>
                      <w:szCs w:val="21"/>
                      <w:vertAlign w:val="baseline"/>
                    </w:rPr>
                    <w:t>GB18466-2005</w:t>
                  </w:r>
                  <w:r>
                    <w:rPr>
                      <w:rFonts w:hint="eastAsia" w:ascii="Times New Roman" w:hAnsi="Times New Roman" w:cs="Times New Roman"/>
                      <w:b w:val="0"/>
                      <w:bCs/>
                      <w:kern w:val="0"/>
                      <w:sz w:val="21"/>
                      <w:szCs w:val="21"/>
                      <w:vertAlign w:val="baseline"/>
                      <w:lang w:eastAsia="zh-CN"/>
                    </w:rPr>
                    <w:t>）</w:t>
                  </w:r>
                  <w:r>
                    <w:rPr>
                      <w:rFonts w:hint="eastAsia" w:ascii="Times New Roman" w:hAnsi="Times New Roman" w:cs="Times New Roman"/>
                      <w:b w:val="0"/>
                      <w:bCs/>
                      <w:kern w:val="0"/>
                      <w:sz w:val="21"/>
                      <w:szCs w:val="21"/>
                      <w:vertAlign w:val="baseline"/>
                    </w:rPr>
                    <w:t>预</w:t>
                  </w:r>
                  <w:r>
                    <w:rPr>
                      <w:rFonts w:hint="eastAsia" w:ascii="Times New Roman" w:hAnsi="Times New Roman" w:cs="Times New Roman"/>
                      <w:b w:val="0"/>
                      <w:bCs/>
                      <w:kern w:val="0"/>
                      <w:sz w:val="21"/>
                      <w:szCs w:val="21"/>
                      <w:vertAlign w:val="baseline"/>
                      <w:lang w:val="en-US" w:eastAsia="zh-CN"/>
                    </w:rPr>
                    <w:t>处理标准</w:t>
                  </w:r>
                </w:p>
              </w:tc>
            </w:tr>
            <w:tr w14:paraId="7F87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5" w:type="dxa"/>
                  <w:shd w:val="clear" w:color="auto" w:fill="auto"/>
                  <w:vAlign w:val="center"/>
                </w:tcPr>
                <w:p w14:paraId="4558C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cs="Times New Roman"/>
                      <w:b w:val="0"/>
                      <w:bCs/>
                      <w:kern w:val="0"/>
                      <w:sz w:val="21"/>
                      <w:szCs w:val="21"/>
                      <w:vertAlign w:val="baseline"/>
                      <w:lang w:val="en-US" w:eastAsia="zh-CN"/>
                    </w:rPr>
                    <w:t>生化池排放口</w:t>
                  </w:r>
                </w:p>
              </w:tc>
              <w:tc>
                <w:tcPr>
                  <w:tcW w:w="2097" w:type="dxa"/>
                  <w:shd w:val="clear" w:color="auto" w:fill="auto"/>
                  <w:vAlign w:val="center"/>
                </w:tcPr>
                <w:p w14:paraId="7A118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rPr>
                    <w:t>pH、COD、氨氮、SS、BOD</w:t>
                  </w:r>
                  <w:r>
                    <w:rPr>
                      <w:rFonts w:hint="eastAsia" w:ascii="Times New Roman" w:hAnsi="Times New Roman" w:cs="Times New Roman"/>
                      <w:b w:val="0"/>
                      <w:bCs/>
                      <w:kern w:val="0"/>
                      <w:sz w:val="21"/>
                      <w:szCs w:val="21"/>
                      <w:vertAlign w:val="subscript"/>
                      <w:lang w:val="en-US" w:eastAsia="zh-CN"/>
                    </w:rPr>
                    <w:t>5</w:t>
                  </w:r>
                  <w:r>
                    <w:rPr>
                      <w:rFonts w:hint="eastAsia" w:ascii="Times New Roman" w:hAnsi="Times New Roman" w:cs="Times New Roman"/>
                      <w:b w:val="0"/>
                      <w:bCs/>
                      <w:kern w:val="0"/>
                      <w:sz w:val="21"/>
                      <w:szCs w:val="21"/>
                      <w:vertAlign w:val="baseline"/>
                    </w:rPr>
                    <w:t>、</w:t>
                  </w:r>
                  <w:r>
                    <w:rPr>
                      <w:rFonts w:hint="eastAsia" w:cs="Times New Roman"/>
                      <w:b w:val="0"/>
                      <w:bCs/>
                      <w:kern w:val="0"/>
                      <w:sz w:val="21"/>
                      <w:szCs w:val="21"/>
                      <w:vertAlign w:val="baseline"/>
                      <w:lang w:val="en-US" w:eastAsia="zh-CN"/>
                    </w:rPr>
                    <w:t>LAS、总磷</w:t>
                  </w:r>
                  <w:r>
                    <w:rPr>
                      <w:rFonts w:hint="eastAsia" w:ascii="Times New Roman" w:hAnsi="Times New Roman" w:cs="Times New Roman"/>
                      <w:b w:val="0"/>
                      <w:bCs/>
                      <w:kern w:val="0"/>
                      <w:sz w:val="21"/>
                      <w:szCs w:val="21"/>
                      <w:vertAlign w:val="baseline"/>
                    </w:rPr>
                    <w:t>、粪大肠菌群</w:t>
                  </w:r>
                </w:p>
              </w:tc>
              <w:tc>
                <w:tcPr>
                  <w:tcW w:w="2219" w:type="dxa"/>
                  <w:shd w:val="clear" w:color="auto" w:fill="auto"/>
                  <w:vAlign w:val="center"/>
                </w:tcPr>
                <w:p w14:paraId="2FFE60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ascii="Times New Roman" w:hAnsi="Times New Roman" w:cs="Times New Roman"/>
                      <w:b w:val="0"/>
                      <w:bCs/>
                      <w:kern w:val="0"/>
                      <w:sz w:val="21"/>
                      <w:szCs w:val="21"/>
                      <w:vertAlign w:val="baseline"/>
                      <w:lang w:val="en-US" w:eastAsia="zh-CN"/>
                    </w:rPr>
                    <w:t>验收时监测一次</w:t>
                  </w:r>
                </w:p>
              </w:tc>
              <w:tc>
                <w:tcPr>
                  <w:tcW w:w="3161" w:type="dxa"/>
                  <w:shd w:val="clear" w:color="auto" w:fill="auto"/>
                  <w:vAlign w:val="center"/>
                </w:tcPr>
                <w:p w14:paraId="3313C0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kern w:val="0"/>
                      <w:sz w:val="21"/>
                      <w:szCs w:val="21"/>
                      <w:vertAlign w:val="baseline"/>
                      <w:lang w:val="en-US" w:eastAsia="zh-CN" w:bidi="ar-SA"/>
                    </w:rPr>
                  </w:pPr>
                  <w:r>
                    <w:rPr>
                      <w:rFonts w:hint="eastAsia" w:cs="Times New Roman"/>
                      <w:b w:val="0"/>
                      <w:bCs/>
                      <w:kern w:val="0"/>
                      <w:sz w:val="21"/>
                      <w:szCs w:val="21"/>
                      <w:vertAlign w:val="baseline"/>
                      <w:lang w:eastAsia="zh-CN"/>
                    </w:rPr>
                    <w:t>《</w:t>
                  </w:r>
                  <w:r>
                    <w:rPr>
                      <w:rFonts w:hint="eastAsia" w:ascii="Times New Roman" w:hAnsi="Times New Roman" w:cs="Times New Roman"/>
                      <w:b w:val="0"/>
                      <w:bCs/>
                      <w:kern w:val="0"/>
                      <w:sz w:val="21"/>
                      <w:szCs w:val="21"/>
                      <w:vertAlign w:val="baseline"/>
                    </w:rPr>
                    <w:t>污水综合排放标准》(GB8978-1996)三级标准</w:t>
                  </w:r>
                </w:p>
              </w:tc>
            </w:tr>
          </w:tbl>
          <w:p w14:paraId="062A3F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b/>
                <w:color w:val="auto"/>
                <w:sz w:val="24"/>
                <w:szCs w:val="24"/>
                <w:highlight w:val="none"/>
                <w:lang w:val="en-US" w:eastAsia="zh-CN"/>
              </w:rPr>
            </w:pPr>
          </w:p>
        </w:tc>
      </w:tr>
    </w:tbl>
    <w:p w14:paraId="10D4FE6D">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
        <w:gridCol w:w="8568"/>
      </w:tblGrid>
      <w:tr w14:paraId="47258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03" w:hRule="atLeast"/>
        </w:trPr>
        <w:tc>
          <w:tcPr>
            <w:tcW w:w="272" w:type="pct"/>
            <w:tcBorders>
              <w:tl2br w:val="nil"/>
              <w:tr2bl w:val="nil"/>
            </w:tcBorders>
            <w:vAlign w:val="center"/>
          </w:tcPr>
          <w:p w14:paraId="7B8E6D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cs="宋体"/>
                <w:b w:val="0"/>
                <w:bCs/>
                <w:kern w:val="0"/>
                <w:sz w:val="21"/>
                <w:szCs w:val="21"/>
                <w:vertAlign w:val="baseline"/>
              </w:rPr>
            </w:pPr>
            <w:r>
              <w:rPr>
                <w:rFonts w:hint="eastAsia" w:ascii="宋体" w:cs="宋体"/>
                <w:b w:val="0"/>
                <w:bCs/>
                <w:kern w:val="0"/>
                <w:sz w:val="21"/>
                <w:szCs w:val="21"/>
                <w:vertAlign w:val="baseline"/>
                <w:lang w:val="en-US" w:eastAsia="zh-CN"/>
              </w:rPr>
              <w:t>运营期环境影响和保护措施</w:t>
            </w:r>
          </w:p>
        </w:tc>
        <w:tc>
          <w:tcPr>
            <w:tcW w:w="4727" w:type="pct"/>
            <w:tcBorders>
              <w:tl2br w:val="nil"/>
              <w:tr2bl w:val="nil"/>
            </w:tcBorders>
            <w:vAlign w:val="center"/>
          </w:tcPr>
          <w:p w14:paraId="2992B4F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kern w:val="0"/>
                <w:sz w:val="24"/>
                <w:szCs w:val="24"/>
                <w:vertAlign w:val="baseline"/>
                <w:lang w:eastAsia="zh-CN"/>
              </w:rPr>
            </w:pPr>
            <w:r>
              <w:rPr>
                <w:rFonts w:hint="eastAsia" w:ascii="Times New Roman" w:hAnsi="Times New Roman" w:cs="Times New Roman"/>
                <w:b/>
                <w:bCs w:val="0"/>
                <w:kern w:val="0"/>
                <w:sz w:val="24"/>
                <w:szCs w:val="24"/>
                <w:vertAlign w:val="baseline"/>
                <w:lang w:eastAsia="zh-CN"/>
              </w:rPr>
              <w:t>4.2.3.噪声环境影响及保护措施</w:t>
            </w:r>
          </w:p>
          <w:p w14:paraId="47BE3DE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kern w:val="0"/>
                <w:sz w:val="24"/>
                <w:szCs w:val="24"/>
                <w:vertAlign w:val="baseline"/>
                <w:lang w:eastAsia="zh-CN"/>
              </w:rPr>
            </w:pPr>
            <w:r>
              <w:rPr>
                <w:rFonts w:hint="eastAsia" w:ascii="Times New Roman" w:hAnsi="Times New Roman" w:cs="Times New Roman"/>
                <w:b/>
                <w:bCs w:val="0"/>
                <w:kern w:val="0"/>
                <w:sz w:val="24"/>
                <w:szCs w:val="24"/>
                <w:vertAlign w:val="baseline"/>
                <w:lang w:eastAsia="zh-CN"/>
              </w:rPr>
              <w:t>4.2.3.1 噪声源强及降噪措施</w:t>
            </w:r>
          </w:p>
          <w:p w14:paraId="6DBDEC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kern w:val="0"/>
                <w:sz w:val="24"/>
                <w:szCs w:val="24"/>
                <w:vertAlign w:val="baseline"/>
                <w:lang w:eastAsia="zh-CN"/>
              </w:rPr>
            </w:pPr>
            <w:r>
              <w:rPr>
                <w:rFonts w:hint="eastAsia" w:ascii="Times New Roman" w:hAnsi="Times New Roman" w:cs="Times New Roman"/>
                <w:b w:val="0"/>
                <w:bCs/>
                <w:kern w:val="0"/>
                <w:sz w:val="24"/>
                <w:szCs w:val="24"/>
                <w:vertAlign w:val="baseline"/>
                <w:lang w:val="en-US" w:eastAsia="zh-CN"/>
              </w:rPr>
              <w:t>本</w:t>
            </w:r>
            <w:r>
              <w:rPr>
                <w:rFonts w:hint="default" w:ascii="Times New Roman" w:hAnsi="Times New Roman" w:cs="Times New Roman"/>
                <w:b w:val="0"/>
                <w:bCs/>
                <w:kern w:val="0"/>
                <w:sz w:val="24"/>
                <w:szCs w:val="24"/>
                <w:vertAlign w:val="baseline"/>
                <w:lang w:eastAsia="zh-CN"/>
              </w:rPr>
              <w:t>项目</w:t>
            </w:r>
            <w:r>
              <w:rPr>
                <w:rFonts w:hint="eastAsia" w:ascii="Times New Roman" w:hAnsi="Times New Roman" w:cs="Times New Roman"/>
                <w:b w:val="0"/>
                <w:bCs/>
                <w:kern w:val="0"/>
                <w:sz w:val="24"/>
                <w:szCs w:val="24"/>
                <w:vertAlign w:val="baseline"/>
                <w:lang w:val="en-US" w:eastAsia="zh-CN"/>
              </w:rPr>
              <w:t>为</w:t>
            </w:r>
            <w:r>
              <w:rPr>
                <w:rFonts w:hint="default" w:ascii="Times New Roman" w:hAnsi="Times New Roman" w:cs="Times New Roman"/>
                <w:b w:val="0"/>
                <w:bCs/>
                <w:kern w:val="0"/>
                <w:sz w:val="24"/>
                <w:szCs w:val="24"/>
                <w:vertAlign w:val="baseline"/>
                <w:lang w:eastAsia="zh-CN"/>
              </w:rPr>
              <w:t>宠物医院，无高噪声设备，使用空调设备为常规家用型挂机及柜机空调，噪声源强约为</w:t>
            </w:r>
            <w:r>
              <w:rPr>
                <w:rFonts w:hint="eastAsia" w:ascii="Times New Roman" w:hAnsi="Times New Roman" w:cs="Times New Roman"/>
                <w:b w:val="0"/>
                <w:bCs/>
                <w:kern w:val="0"/>
                <w:sz w:val="24"/>
                <w:szCs w:val="24"/>
                <w:vertAlign w:val="baseline"/>
                <w:lang w:val="en-US" w:eastAsia="zh-CN"/>
              </w:rPr>
              <w:t>65</w:t>
            </w:r>
            <w:r>
              <w:rPr>
                <w:rFonts w:hint="default" w:ascii="Times New Roman" w:hAnsi="Times New Roman" w:cs="Times New Roman"/>
                <w:b w:val="0"/>
                <w:bCs/>
                <w:kern w:val="0"/>
                <w:sz w:val="24"/>
                <w:szCs w:val="24"/>
                <w:vertAlign w:val="baseline"/>
                <w:lang w:eastAsia="zh-CN"/>
              </w:rPr>
              <w:t>dB（A）</w:t>
            </w:r>
            <w:r>
              <w:rPr>
                <w:rFonts w:hint="eastAsia" w:ascii="Times New Roman" w:hAnsi="Times New Roman" w:cs="Times New Roman"/>
                <w:b w:val="0"/>
                <w:bCs/>
                <w:kern w:val="0"/>
                <w:sz w:val="24"/>
                <w:szCs w:val="24"/>
                <w:vertAlign w:val="baseline"/>
                <w:lang w:eastAsia="zh-CN"/>
              </w:rPr>
              <w:t>，</w:t>
            </w:r>
            <w:r>
              <w:rPr>
                <w:rFonts w:hint="eastAsia" w:ascii="Times New Roman" w:hAnsi="Times New Roman" w:cs="Times New Roman"/>
                <w:b w:val="0"/>
                <w:bCs/>
                <w:kern w:val="0"/>
                <w:sz w:val="24"/>
                <w:szCs w:val="24"/>
                <w:vertAlign w:val="baseline"/>
                <w:lang w:val="en-US" w:eastAsia="zh-CN"/>
              </w:rPr>
              <w:t>声级值较低，不纳入噪声源预测</w:t>
            </w:r>
            <w:r>
              <w:rPr>
                <w:rFonts w:hint="eastAsia" w:cs="Times New Roman"/>
                <w:b w:val="0"/>
                <w:bCs/>
                <w:kern w:val="0"/>
                <w:sz w:val="24"/>
                <w:szCs w:val="24"/>
                <w:vertAlign w:val="baseline"/>
                <w:lang w:val="en-US" w:eastAsia="zh-CN"/>
              </w:rPr>
              <w:t>。</w:t>
            </w:r>
            <w:r>
              <w:rPr>
                <w:rFonts w:hint="default" w:ascii="Times New Roman" w:hAnsi="Times New Roman" w:cs="Times New Roman"/>
                <w:b w:val="0"/>
                <w:bCs/>
                <w:kern w:val="0"/>
                <w:sz w:val="24"/>
                <w:szCs w:val="24"/>
                <w:vertAlign w:val="baseline"/>
                <w:lang w:eastAsia="zh-CN"/>
              </w:rPr>
              <w:t>主要噪声来源于</w:t>
            </w:r>
            <w:r>
              <w:rPr>
                <w:rFonts w:hint="eastAsia" w:ascii="Times New Roman" w:hAnsi="Times New Roman" w:cs="Times New Roman"/>
                <w:b w:val="0"/>
                <w:bCs/>
                <w:kern w:val="0"/>
                <w:sz w:val="24"/>
                <w:szCs w:val="24"/>
                <w:vertAlign w:val="baseline"/>
                <w:lang w:val="en-US" w:eastAsia="zh-CN"/>
              </w:rPr>
              <w:t>宠物</w:t>
            </w:r>
            <w:r>
              <w:rPr>
                <w:rFonts w:hint="default" w:ascii="Times New Roman" w:hAnsi="Times New Roman" w:cs="Times New Roman"/>
                <w:b w:val="0"/>
                <w:bCs/>
                <w:kern w:val="0"/>
                <w:sz w:val="24"/>
                <w:szCs w:val="24"/>
                <w:vertAlign w:val="baseline"/>
                <w:lang w:eastAsia="zh-CN"/>
              </w:rPr>
              <w:t>偶发吼叫噪声，噪声源强约为7</w:t>
            </w:r>
            <w:r>
              <w:rPr>
                <w:rFonts w:hint="eastAsia" w:ascii="Times New Roman" w:hAnsi="Times New Roman" w:cs="Times New Roman"/>
                <w:b w:val="0"/>
                <w:bCs/>
                <w:kern w:val="0"/>
                <w:sz w:val="24"/>
                <w:szCs w:val="24"/>
                <w:vertAlign w:val="baseline"/>
                <w:lang w:val="en-US" w:eastAsia="zh-CN"/>
              </w:rPr>
              <w:t>5</w:t>
            </w:r>
            <w:r>
              <w:rPr>
                <w:rFonts w:hint="default" w:ascii="Times New Roman" w:hAnsi="Times New Roman" w:cs="Times New Roman"/>
                <w:b w:val="0"/>
                <w:bCs/>
                <w:kern w:val="0"/>
                <w:sz w:val="24"/>
                <w:szCs w:val="24"/>
                <w:vertAlign w:val="baseline"/>
                <w:lang w:eastAsia="zh-CN"/>
              </w:rPr>
              <w:t>dB（A）。本项目主要噪声源强详见下表。</w:t>
            </w:r>
          </w:p>
          <w:p w14:paraId="7B875AA7">
            <w:pPr>
              <w:pStyle w:val="6"/>
              <w:keepNext w:val="0"/>
              <w:keepLines w:val="0"/>
              <w:pageBreakBefore w:val="0"/>
              <w:widowControl w:val="0"/>
              <w:kinsoku/>
              <w:wordWrap/>
              <w:overflowPunct/>
              <w:topLinePunct w:val="0"/>
              <w:autoSpaceDE/>
              <w:autoSpaceDN/>
              <w:bidi w:val="0"/>
              <w:adjustRightInd/>
              <w:snapToGrid/>
              <w:textAlignment w:val="auto"/>
              <w:rPr>
                <w:rFonts w:cs="Times New Roman"/>
                <w:b w:val="0"/>
                <w:bCs/>
                <w:color w:val="auto"/>
                <w:sz w:val="24"/>
                <w:szCs w:val="24"/>
                <w:highlight w:val="none"/>
              </w:rPr>
            </w:pPr>
            <w:r>
              <w:rPr>
                <w:rFonts w:cs="Times New Roman"/>
                <w:b w:val="0"/>
                <w:bCs/>
                <w:color w:val="auto"/>
                <w:sz w:val="24"/>
                <w:szCs w:val="24"/>
                <w:highlight w:val="none"/>
              </w:rPr>
              <w:t>表4</w:t>
            </w:r>
            <w:r>
              <w:rPr>
                <w:rFonts w:cs="Times New Roman"/>
                <w:b w:val="0"/>
                <w:bCs/>
                <w:color w:val="auto"/>
                <w:sz w:val="24"/>
                <w:szCs w:val="24"/>
                <w:highlight w:val="none"/>
              </w:rPr>
              <w:noBreakHyphen/>
            </w:r>
            <w:r>
              <w:rPr>
                <w:rFonts w:cs="Times New Roman"/>
                <w:b w:val="0"/>
                <w:bCs/>
                <w:color w:val="auto"/>
                <w:sz w:val="24"/>
                <w:szCs w:val="24"/>
                <w:highlight w:val="none"/>
              </w:rPr>
              <w:fldChar w:fldCharType="begin"/>
            </w:r>
            <w:r>
              <w:rPr>
                <w:rFonts w:cs="Times New Roman"/>
                <w:b w:val="0"/>
                <w:bCs/>
                <w:color w:val="auto"/>
                <w:sz w:val="24"/>
                <w:szCs w:val="24"/>
                <w:highlight w:val="none"/>
              </w:rPr>
              <w:instrText xml:space="preserve"> SEQ 表 \* ARABIC \s 1 </w:instrText>
            </w:r>
            <w:r>
              <w:rPr>
                <w:rFonts w:cs="Times New Roman"/>
                <w:b w:val="0"/>
                <w:bCs/>
                <w:color w:val="auto"/>
                <w:sz w:val="24"/>
                <w:szCs w:val="24"/>
                <w:highlight w:val="none"/>
              </w:rPr>
              <w:fldChar w:fldCharType="separate"/>
            </w:r>
            <w:r>
              <w:rPr>
                <w:rFonts w:cs="Times New Roman"/>
                <w:b w:val="0"/>
                <w:bCs/>
                <w:color w:val="auto"/>
                <w:sz w:val="24"/>
                <w:szCs w:val="24"/>
                <w:highlight w:val="none"/>
              </w:rPr>
              <w:t>8</w:t>
            </w:r>
            <w:r>
              <w:rPr>
                <w:rFonts w:cs="Times New Roman"/>
                <w:b w:val="0"/>
                <w:bCs/>
                <w:color w:val="auto"/>
                <w:sz w:val="24"/>
                <w:szCs w:val="24"/>
                <w:highlight w:val="none"/>
              </w:rPr>
              <w:fldChar w:fldCharType="end"/>
            </w:r>
            <w:r>
              <w:rPr>
                <w:rFonts w:cs="Times New Roman"/>
                <w:b w:val="0"/>
                <w:bCs/>
                <w:color w:val="auto"/>
                <w:sz w:val="24"/>
                <w:szCs w:val="24"/>
                <w:highlight w:val="none"/>
              </w:rPr>
              <w:t>本项目噪声源强调查清单（室内声源）</w:t>
            </w:r>
          </w:p>
          <w:tbl>
            <w:tblPr>
              <w:tblStyle w:val="20"/>
              <w:tblW w:w="83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
              <w:gridCol w:w="239"/>
              <w:gridCol w:w="271"/>
              <w:gridCol w:w="5"/>
              <w:gridCol w:w="574"/>
              <w:gridCol w:w="632"/>
              <w:gridCol w:w="261"/>
              <w:gridCol w:w="261"/>
              <w:gridCol w:w="229"/>
              <w:gridCol w:w="6"/>
              <w:gridCol w:w="230"/>
              <w:gridCol w:w="259"/>
              <w:gridCol w:w="369"/>
              <w:gridCol w:w="266"/>
              <w:gridCol w:w="18"/>
              <w:gridCol w:w="218"/>
              <w:gridCol w:w="354"/>
              <w:gridCol w:w="371"/>
              <w:gridCol w:w="369"/>
              <w:gridCol w:w="27"/>
              <w:gridCol w:w="411"/>
              <w:gridCol w:w="12"/>
              <w:gridCol w:w="660"/>
              <w:gridCol w:w="12"/>
              <w:gridCol w:w="222"/>
              <w:gridCol w:w="354"/>
              <w:gridCol w:w="379"/>
              <w:gridCol w:w="379"/>
              <w:gridCol w:w="6"/>
              <w:gridCol w:w="651"/>
              <w:gridCol w:w="6"/>
              <w:gridCol w:w="30"/>
              <w:gridCol w:w="28"/>
            </w:tblGrid>
            <w:tr w14:paraId="7B22F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7" w:type="pct"/>
                <w:trHeight w:val="397" w:hRule="atLeast"/>
                <w:jc w:val="center"/>
              </w:trPr>
              <w:tc>
                <w:tcPr>
                  <w:tcW w:w="132" w:type="pct"/>
                  <w:vMerge w:val="restart"/>
                  <w:tcBorders>
                    <w:tl2br w:val="nil"/>
                    <w:tr2bl w:val="nil"/>
                  </w:tcBorders>
                  <w:vAlign w:val="center"/>
                </w:tcPr>
                <w:p w14:paraId="7F8B019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序号</w:t>
                  </w:r>
                </w:p>
              </w:tc>
              <w:tc>
                <w:tcPr>
                  <w:tcW w:w="144" w:type="pct"/>
                  <w:vMerge w:val="restart"/>
                  <w:tcBorders>
                    <w:tl2br w:val="nil"/>
                    <w:tr2bl w:val="nil"/>
                  </w:tcBorders>
                  <w:vAlign w:val="center"/>
                </w:tcPr>
                <w:p w14:paraId="65AD6FCB">
                  <w:pPr>
                    <w:pStyle w:val="49"/>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建筑物名称</w:t>
                  </w:r>
                </w:p>
              </w:tc>
              <w:tc>
                <w:tcPr>
                  <w:tcW w:w="166" w:type="pct"/>
                  <w:gridSpan w:val="2"/>
                  <w:vMerge w:val="restart"/>
                  <w:tcBorders>
                    <w:tl2br w:val="nil"/>
                    <w:tr2bl w:val="nil"/>
                  </w:tcBorders>
                  <w:vAlign w:val="center"/>
                </w:tcPr>
                <w:p w14:paraId="7215E0D5">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声源</w:t>
                  </w:r>
                </w:p>
                <w:p w14:paraId="711ADCEF">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名称</w:t>
                  </w:r>
                </w:p>
              </w:tc>
              <w:tc>
                <w:tcPr>
                  <w:tcW w:w="345" w:type="pct"/>
                  <w:vMerge w:val="restart"/>
                  <w:tcBorders>
                    <w:tl2br w:val="nil"/>
                    <w:tr2bl w:val="nil"/>
                  </w:tcBorders>
                  <w:vAlign w:val="center"/>
                </w:tcPr>
                <w:p w14:paraId="55EF93B8">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声源源强</w:t>
                  </w:r>
                </w:p>
                <w:p w14:paraId="6ED5F418">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（声压级/距声源距离）/（dB（A）/m）</w:t>
                  </w:r>
                </w:p>
              </w:tc>
              <w:tc>
                <w:tcPr>
                  <w:tcW w:w="380" w:type="pct"/>
                  <w:vMerge w:val="restart"/>
                  <w:tcBorders>
                    <w:tl2br w:val="nil"/>
                    <w:tr2bl w:val="nil"/>
                  </w:tcBorders>
                  <w:vAlign w:val="center"/>
                </w:tcPr>
                <w:p w14:paraId="7B742A9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声源控制措施</w:t>
                  </w:r>
                </w:p>
              </w:tc>
              <w:tc>
                <w:tcPr>
                  <w:tcW w:w="455" w:type="pct"/>
                  <w:gridSpan w:val="4"/>
                  <w:tcBorders>
                    <w:tl2br w:val="nil"/>
                    <w:tr2bl w:val="nil"/>
                  </w:tcBorders>
                  <w:vAlign w:val="center"/>
                </w:tcPr>
                <w:p w14:paraId="01C670C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空间相对位置/m</w:t>
                  </w:r>
                </w:p>
              </w:tc>
              <w:tc>
                <w:tcPr>
                  <w:tcW w:w="686" w:type="pct"/>
                  <w:gridSpan w:val="5"/>
                  <w:tcBorders>
                    <w:tl2br w:val="nil"/>
                    <w:tr2bl w:val="nil"/>
                  </w:tcBorders>
                  <w:vAlign w:val="center"/>
                </w:tcPr>
                <w:p w14:paraId="29CDAAA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距室内边界距离/m</w:t>
                  </w:r>
                </w:p>
              </w:tc>
              <w:tc>
                <w:tcPr>
                  <w:tcW w:w="804" w:type="pct"/>
                  <w:gridSpan w:val="5"/>
                  <w:tcBorders>
                    <w:tl2br w:val="nil"/>
                    <w:tr2bl w:val="nil"/>
                  </w:tcBorders>
                  <w:vAlign w:val="center"/>
                </w:tcPr>
                <w:p w14:paraId="67D2A16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室内边界声级/dB（A）</w:t>
                  </w:r>
                </w:p>
              </w:tc>
              <w:tc>
                <w:tcPr>
                  <w:tcW w:w="254" w:type="pct"/>
                  <w:gridSpan w:val="2"/>
                  <w:tcBorders>
                    <w:tl2br w:val="nil"/>
                    <w:tr2bl w:val="nil"/>
                  </w:tcBorders>
                  <w:vAlign w:val="center"/>
                </w:tcPr>
                <w:p w14:paraId="5926CC5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运行</w:t>
                  </w:r>
                </w:p>
                <w:p w14:paraId="00FD093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时段</w:t>
                  </w:r>
                </w:p>
              </w:tc>
              <w:tc>
                <w:tcPr>
                  <w:tcW w:w="404" w:type="pct"/>
                  <w:gridSpan w:val="2"/>
                  <w:tcBorders>
                    <w:tl2br w:val="nil"/>
                    <w:tr2bl w:val="nil"/>
                  </w:tcBorders>
                  <w:vAlign w:val="center"/>
                </w:tcPr>
                <w:p w14:paraId="404E6116">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w:t>
                  </w:r>
                </w:p>
                <w:p w14:paraId="3469897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插入损失（dB）</w:t>
                  </w:r>
                </w:p>
              </w:tc>
              <w:tc>
                <w:tcPr>
                  <w:tcW w:w="1217" w:type="pct"/>
                  <w:gridSpan w:val="8"/>
                  <w:tcBorders>
                    <w:tl2br w:val="nil"/>
                    <w:tr2bl w:val="nil"/>
                  </w:tcBorders>
                  <w:vAlign w:val="center"/>
                </w:tcPr>
                <w:p w14:paraId="73C80318">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建筑物外噪声</w:t>
                  </w:r>
                </w:p>
              </w:tc>
            </w:tr>
            <w:tr w14:paraId="51439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16" w:type="pct"/>
                <w:trHeight w:val="397" w:hRule="atLeast"/>
                <w:jc w:val="center"/>
              </w:trPr>
              <w:tc>
                <w:tcPr>
                  <w:tcW w:w="132" w:type="pct"/>
                  <w:vMerge w:val="continue"/>
                  <w:tcBorders>
                    <w:tl2br w:val="nil"/>
                    <w:tr2bl w:val="nil"/>
                  </w:tcBorders>
                  <w:vAlign w:val="center"/>
                </w:tcPr>
                <w:p w14:paraId="12D3688A">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4" w:type="pct"/>
                  <w:vMerge w:val="continue"/>
                  <w:tcBorders>
                    <w:tl2br w:val="nil"/>
                    <w:tr2bl w:val="nil"/>
                  </w:tcBorders>
                  <w:vAlign w:val="center"/>
                </w:tcPr>
                <w:p w14:paraId="3D2E10F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6" w:type="pct"/>
                  <w:gridSpan w:val="2"/>
                  <w:vMerge w:val="continue"/>
                  <w:tcBorders>
                    <w:tl2br w:val="nil"/>
                    <w:tr2bl w:val="nil"/>
                  </w:tcBorders>
                  <w:vAlign w:val="center"/>
                </w:tcPr>
                <w:p w14:paraId="670FBDD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45" w:type="pct"/>
                  <w:vMerge w:val="continue"/>
                  <w:tcBorders>
                    <w:tl2br w:val="nil"/>
                    <w:tr2bl w:val="nil"/>
                  </w:tcBorders>
                  <w:vAlign w:val="center"/>
                </w:tcPr>
                <w:p w14:paraId="1B658AE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80" w:type="pct"/>
                  <w:vMerge w:val="continue"/>
                  <w:tcBorders>
                    <w:tl2br w:val="nil"/>
                    <w:tr2bl w:val="nil"/>
                  </w:tcBorders>
                  <w:vAlign w:val="center"/>
                </w:tcPr>
                <w:p w14:paraId="5EBE85BE">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57" w:type="pct"/>
                  <w:vMerge w:val="restart"/>
                  <w:tcBorders>
                    <w:tl2br w:val="nil"/>
                    <w:tr2bl w:val="nil"/>
                  </w:tcBorders>
                  <w:vAlign w:val="center"/>
                </w:tcPr>
                <w:p w14:paraId="2C1FBAFD">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X</w:t>
                  </w:r>
                </w:p>
              </w:tc>
              <w:tc>
                <w:tcPr>
                  <w:tcW w:w="157" w:type="pct"/>
                  <w:vMerge w:val="restart"/>
                  <w:tcBorders>
                    <w:tl2br w:val="nil"/>
                    <w:tr2bl w:val="nil"/>
                  </w:tcBorders>
                  <w:vAlign w:val="center"/>
                </w:tcPr>
                <w:p w14:paraId="64A1858D">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Y</w:t>
                  </w:r>
                </w:p>
              </w:tc>
              <w:tc>
                <w:tcPr>
                  <w:tcW w:w="138" w:type="pct"/>
                  <w:vMerge w:val="restart"/>
                  <w:tcBorders>
                    <w:tl2br w:val="nil"/>
                    <w:tr2bl w:val="nil"/>
                  </w:tcBorders>
                  <w:vAlign w:val="center"/>
                </w:tcPr>
                <w:p w14:paraId="68489C0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Z</w:t>
                  </w:r>
                </w:p>
              </w:tc>
              <w:tc>
                <w:tcPr>
                  <w:tcW w:w="142" w:type="pct"/>
                  <w:gridSpan w:val="2"/>
                  <w:vMerge w:val="restart"/>
                  <w:tcBorders>
                    <w:tl2br w:val="nil"/>
                    <w:tr2bl w:val="nil"/>
                  </w:tcBorders>
                  <w:vAlign w:val="center"/>
                </w:tcPr>
                <w:p w14:paraId="6F4613A4">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南侧</w:t>
                  </w:r>
                </w:p>
              </w:tc>
              <w:tc>
                <w:tcPr>
                  <w:tcW w:w="156" w:type="pct"/>
                  <w:vMerge w:val="restart"/>
                  <w:tcBorders>
                    <w:tl2br w:val="nil"/>
                    <w:tr2bl w:val="nil"/>
                  </w:tcBorders>
                  <w:vAlign w:val="center"/>
                </w:tcPr>
                <w:p w14:paraId="5CDA6D1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西侧</w:t>
                  </w:r>
                </w:p>
              </w:tc>
              <w:tc>
                <w:tcPr>
                  <w:tcW w:w="222" w:type="pct"/>
                  <w:vMerge w:val="restart"/>
                  <w:tcBorders>
                    <w:tl2br w:val="nil"/>
                    <w:tr2bl w:val="nil"/>
                  </w:tcBorders>
                  <w:vAlign w:val="center"/>
                </w:tcPr>
                <w:p w14:paraId="4EE322EC">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北侧</w:t>
                  </w:r>
                </w:p>
              </w:tc>
              <w:tc>
                <w:tcPr>
                  <w:tcW w:w="160" w:type="pct"/>
                  <w:vMerge w:val="restart"/>
                  <w:tcBorders>
                    <w:tl2br w:val="nil"/>
                    <w:tr2bl w:val="nil"/>
                  </w:tcBorders>
                  <w:vAlign w:val="center"/>
                </w:tcPr>
                <w:p w14:paraId="3D2D830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东侧</w:t>
                  </w:r>
                </w:p>
              </w:tc>
              <w:tc>
                <w:tcPr>
                  <w:tcW w:w="142" w:type="pct"/>
                  <w:gridSpan w:val="2"/>
                  <w:vMerge w:val="restart"/>
                  <w:tcBorders>
                    <w:tl2br w:val="nil"/>
                    <w:tr2bl w:val="nil"/>
                  </w:tcBorders>
                  <w:shd w:val="clear" w:color="auto" w:fill="auto"/>
                  <w:vAlign w:val="center"/>
                </w:tcPr>
                <w:p w14:paraId="58AC09A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南侧</w:t>
                  </w:r>
                </w:p>
              </w:tc>
              <w:tc>
                <w:tcPr>
                  <w:tcW w:w="213" w:type="pct"/>
                  <w:vMerge w:val="restart"/>
                  <w:tcBorders>
                    <w:tl2br w:val="nil"/>
                    <w:tr2bl w:val="nil"/>
                  </w:tcBorders>
                  <w:shd w:val="clear" w:color="auto" w:fill="auto"/>
                  <w:vAlign w:val="center"/>
                </w:tcPr>
                <w:p w14:paraId="79A7C41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西侧</w:t>
                  </w:r>
                </w:p>
              </w:tc>
              <w:tc>
                <w:tcPr>
                  <w:tcW w:w="223" w:type="pct"/>
                  <w:vMerge w:val="restart"/>
                  <w:tcBorders>
                    <w:tl2br w:val="nil"/>
                    <w:tr2bl w:val="nil"/>
                  </w:tcBorders>
                  <w:shd w:val="clear" w:color="auto" w:fill="auto"/>
                  <w:vAlign w:val="center"/>
                </w:tcPr>
                <w:p w14:paraId="562F67C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北侧</w:t>
                  </w:r>
                </w:p>
              </w:tc>
              <w:tc>
                <w:tcPr>
                  <w:tcW w:w="222" w:type="pct"/>
                  <w:vMerge w:val="restart"/>
                  <w:tcBorders>
                    <w:tl2br w:val="nil"/>
                    <w:tr2bl w:val="nil"/>
                  </w:tcBorders>
                  <w:shd w:val="clear" w:color="auto" w:fill="auto"/>
                  <w:vAlign w:val="center"/>
                </w:tcPr>
                <w:p w14:paraId="4CB8D90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东侧</w:t>
                  </w:r>
                </w:p>
              </w:tc>
              <w:tc>
                <w:tcPr>
                  <w:tcW w:w="263" w:type="pct"/>
                  <w:gridSpan w:val="2"/>
                  <w:vMerge w:val="restart"/>
                  <w:tcBorders>
                    <w:tl2br w:val="nil"/>
                    <w:tr2bl w:val="nil"/>
                  </w:tcBorders>
                  <w:vAlign w:val="center"/>
                </w:tcPr>
                <w:p w14:paraId="3960B8D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404" w:type="pct"/>
                  <w:gridSpan w:val="2"/>
                  <w:vMerge w:val="restart"/>
                  <w:tcBorders>
                    <w:tl2br w:val="nil"/>
                    <w:tr2bl w:val="nil"/>
                  </w:tcBorders>
                  <w:vAlign w:val="center"/>
                </w:tcPr>
                <w:p w14:paraId="4B78AA5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812" w:type="pct"/>
                  <w:gridSpan w:val="6"/>
                  <w:tcBorders>
                    <w:tl2br w:val="nil"/>
                    <w:tr2bl w:val="nil"/>
                  </w:tcBorders>
                  <w:vAlign w:val="center"/>
                </w:tcPr>
                <w:p w14:paraId="1D741DB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声压级</w:t>
                  </w:r>
                </w:p>
              </w:tc>
              <w:tc>
                <w:tcPr>
                  <w:tcW w:w="395" w:type="pct"/>
                  <w:gridSpan w:val="2"/>
                  <w:tcBorders>
                    <w:tl2br w:val="nil"/>
                    <w:tr2bl w:val="nil"/>
                  </w:tcBorders>
                  <w:vAlign w:val="center"/>
                </w:tcPr>
                <w:p w14:paraId="60B01176">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r>
                    <w:rPr>
                      <w:rFonts w:hint="eastAsia"/>
                      <w:color w:val="auto"/>
                      <w:highlight w:val="none"/>
                      <w:lang w:val="en-US" w:eastAsia="zh-CN"/>
                    </w:rPr>
                    <w:t>建筑物外距离（m）</w:t>
                  </w:r>
                </w:p>
              </w:tc>
            </w:tr>
            <w:tr w14:paraId="5D6DB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3"/>
                <w:wAfter w:w="18" w:type="pct"/>
                <w:trHeight w:val="397" w:hRule="atLeast"/>
                <w:jc w:val="center"/>
              </w:trPr>
              <w:tc>
                <w:tcPr>
                  <w:tcW w:w="132" w:type="pct"/>
                  <w:vMerge w:val="continue"/>
                  <w:tcBorders>
                    <w:tl2br w:val="nil"/>
                    <w:tr2bl w:val="nil"/>
                  </w:tcBorders>
                  <w:vAlign w:val="center"/>
                </w:tcPr>
                <w:p w14:paraId="596E977C">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4" w:type="pct"/>
                  <w:vMerge w:val="continue"/>
                  <w:tcBorders>
                    <w:tl2br w:val="nil"/>
                    <w:tr2bl w:val="nil"/>
                  </w:tcBorders>
                  <w:vAlign w:val="center"/>
                </w:tcPr>
                <w:p w14:paraId="028A301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6" w:type="pct"/>
                  <w:gridSpan w:val="2"/>
                  <w:vMerge w:val="continue"/>
                  <w:tcBorders>
                    <w:tl2br w:val="nil"/>
                    <w:tr2bl w:val="nil"/>
                  </w:tcBorders>
                  <w:vAlign w:val="center"/>
                </w:tcPr>
                <w:p w14:paraId="74D6AAD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45" w:type="pct"/>
                  <w:vMerge w:val="continue"/>
                  <w:tcBorders>
                    <w:tl2br w:val="nil"/>
                    <w:tr2bl w:val="nil"/>
                  </w:tcBorders>
                  <w:vAlign w:val="center"/>
                </w:tcPr>
                <w:p w14:paraId="0B84901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380" w:type="pct"/>
                  <w:vMerge w:val="continue"/>
                  <w:tcBorders>
                    <w:tl2br w:val="nil"/>
                    <w:tr2bl w:val="nil"/>
                  </w:tcBorders>
                  <w:vAlign w:val="center"/>
                </w:tcPr>
                <w:p w14:paraId="52567D05">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57" w:type="pct"/>
                  <w:vMerge w:val="continue"/>
                  <w:tcBorders>
                    <w:tl2br w:val="nil"/>
                    <w:tr2bl w:val="nil"/>
                  </w:tcBorders>
                  <w:vAlign w:val="center"/>
                </w:tcPr>
                <w:p w14:paraId="3936BCDF">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57" w:type="pct"/>
                  <w:vMerge w:val="continue"/>
                  <w:tcBorders>
                    <w:tl2br w:val="nil"/>
                    <w:tr2bl w:val="nil"/>
                  </w:tcBorders>
                  <w:vAlign w:val="center"/>
                </w:tcPr>
                <w:p w14:paraId="3FD87FD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38" w:type="pct"/>
                  <w:vMerge w:val="continue"/>
                  <w:tcBorders>
                    <w:tl2br w:val="nil"/>
                    <w:tr2bl w:val="nil"/>
                  </w:tcBorders>
                  <w:vAlign w:val="center"/>
                </w:tcPr>
                <w:p w14:paraId="074950C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2" w:type="pct"/>
                  <w:gridSpan w:val="2"/>
                  <w:vMerge w:val="continue"/>
                  <w:tcBorders>
                    <w:tl2br w:val="nil"/>
                    <w:tr2bl w:val="nil"/>
                  </w:tcBorders>
                  <w:vAlign w:val="center"/>
                </w:tcPr>
                <w:p w14:paraId="31BB5CB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56" w:type="pct"/>
                  <w:vMerge w:val="continue"/>
                  <w:tcBorders>
                    <w:tl2br w:val="nil"/>
                    <w:tr2bl w:val="nil"/>
                  </w:tcBorders>
                  <w:vAlign w:val="center"/>
                </w:tcPr>
                <w:p w14:paraId="39D87B8C">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22" w:type="pct"/>
                  <w:vMerge w:val="continue"/>
                  <w:tcBorders>
                    <w:tl2br w:val="nil"/>
                    <w:tr2bl w:val="nil"/>
                  </w:tcBorders>
                  <w:vAlign w:val="center"/>
                </w:tcPr>
                <w:p w14:paraId="5AF629CD">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60" w:type="pct"/>
                  <w:vMerge w:val="continue"/>
                  <w:tcBorders>
                    <w:tl2br w:val="nil"/>
                    <w:tr2bl w:val="nil"/>
                  </w:tcBorders>
                  <w:vAlign w:val="center"/>
                </w:tcPr>
                <w:p w14:paraId="5ABD0C5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2" w:type="pct"/>
                  <w:gridSpan w:val="2"/>
                  <w:vMerge w:val="continue"/>
                  <w:tcBorders>
                    <w:tl2br w:val="nil"/>
                    <w:tr2bl w:val="nil"/>
                  </w:tcBorders>
                  <w:vAlign w:val="center"/>
                </w:tcPr>
                <w:p w14:paraId="42D3554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13" w:type="pct"/>
                  <w:vMerge w:val="continue"/>
                  <w:tcBorders>
                    <w:tl2br w:val="nil"/>
                    <w:tr2bl w:val="nil"/>
                  </w:tcBorders>
                  <w:vAlign w:val="center"/>
                </w:tcPr>
                <w:p w14:paraId="4F7029D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23" w:type="pct"/>
                  <w:vMerge w:val="continue"/>
                  <w:tcBorders>
                    <w:tl2br w:val="nil"/>
                    <w:tr2bl w:val="nil"/>
                  </w:tcBorders>
                  <w:vAlign w:val="center"/>
                </w:tcPr>
                <w:p w14:paraId="4599EB5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22" w:type="pct"/>
                  <w:vMerge w:val="continue"/>
                  <w:tcBorders>
                    <w:tl2br w:val="nil"/>
                    <w:tr2bl w:val="nil"/>
                  </w:tcBorders>
                  <w:vAlign w:val="center"/>
                </w:tcPr>
                <w:p w14:paraId="0C7A643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263" w:type="pct"/>
                  <w:gridSpan w:val="2"/>
                  <w:vMerge w:val="continue"/>
                  <w:tcBorders>
                    <w:tl2br w:val="nil"/>
                    <w:tr2bl w:val="nil"/>
                  </w:tcBorders>
                  <w:vAlign w:val="center"/>
                </w:tcPr>
                <w:p w14:paraId="465F771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404" w:type="pct"/>
                  <w:gridSpan w:val="2"/>
                  <w:vMerge w:val="continue"/>
                  <w:tcBorders>
                    <w:tl2br w:val="nil"/>
                    <w:tr2bl w:val="nil"/>
                  </w:tcBorders>
                  <w:vAlign w:val="center"/>
                </w:tcPr>
                <w:p w14:paraId="2515B4AE">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c>
                <w:tcPr>
                  <w:tcW w:w="141" w:type="pct"/>
                  <w:gridSpan w:val="2"/>
                  <w:tcBorders>
                    <w:tl2br w:val="nil"/>
                    <w:tr2bl w:val="nil"/>
                  </w:tcBorders>
                  <w:shd w:val="clear" w:color="auto" w:fill="auto"/>
                  <w:vAlign w:val="center"/>
                </w:tcPr>
                <w:p w14:paraId="6D8D933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南侧</w:t>
                  </w:r>
                </w:p>
              </w:tc>
              <w:tc>
                <w:tcPr>
                  <w:tcW w:w="213" w:type="pct"/>
                  <w:tcBorders>
                    <w:tl2br w:val="nil"/>
                    <w:tr2bl w:val="nil"/>
                  </w:tcBorders>
                  <w:shd w:val="clear" w:color="auto" w:fill="auto"/>
                  <w:vAlign w:val="center"/>
                </w:tcPr>
                <w:p w14:paraId="22FD8A6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西侧</w:t>
                  </w:r>
                </w:p>
              </w:tc>
              <w:tc>
                <w:tcPr>
                  <w:tcW w:w="228" w:type="pct"/>
                  <w:tcBorders>
                    <w:tl2br w:val="nil"/>
                    <w:tr2bl w:val="nil"/>
                  </w:tcBorders>
                  <w:shd w:val="clear" w:color="auto" w:fill="auto"/>
                  <w:vAlign w:val="center"/>
                </w:tcPr>
                <w:p w14:paraId="07C7FFF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北侧</w:t>
                  </w:r>
                </w:p>
              </w:tc>
              <w:tc>
                <w:tcPr>
                  <w:tcW w:w="228" w:type="pct"/>
                  <w:tcBorders>
                    <w:tl2br w:val="nil"/>
                    <w:tr2bl w:val="nil"/>
                  </w:tcBorders>
                  <w:shd w:val="clear" w:color="auto" w:fill="auto"/>
                  <w:vAlign w:val="center"/>
                </w:tcPr>
                <w:p w14:paraId="45E54CC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东侧</w:t>
                  </w:r>
                </w:p>
              </w:tc>
              <w:tc>
                <w:tcPr>
                  <w:tcW w:w="395" w:type="pct"/>
                  <w:gridSpan w:val="2"/>
                  <w:tcBorders>
                    <w:tl2br w:val="nil"/>
                    <w:tr2bl w:val="nil"/>
                  </w:tcBorders>
                  <w:vAlign w:val="center"/>
                </w:tcPr>
                <w:p w14:paraId="23C4C3D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olor w:val="auto"/>
                      <w:highlight w:val="none"/>
                      <w:lang w:val="en-US" w:eastAsia="zh-CN"/>
                    </w:rPr>
                  </w:pPr>
                </w:p>
              </w:tc>
            </w:tr>
            <w:tr w14:paraId="6838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3"/>
                <w:wAfter w:w="18" w:type="pct"/>
                <w:trHeight w:val="397" w:hRule="atLeast"/>
                <w:jc w:val="center"/>
              </w:trPr>
              <w:tc>
                <w:tcPr>
                  <w:tcW w:w="132" w:type="pct"/>
                  <w:tcBorders>
                    <w:tl2br w:val="nil"/>
                    <w:tr2bl w:val="nil"/>
                  </w:tcBorders>
                  <w:vAlign w:val="center"/>
                </w:tcPr>
                <w:p w14:paraId="5DCEF138">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w:t>
                  </w:r>
                </w:p>
              </w:tc>
              <w:tc>
                <w:tcPr>
                  <w:tcW w:w="144" w:type="pct"/>
                  <w:tcBorders>
                    <w:tl2br w:val="nil"/>
                    <w:tr2bl w:val="nil"/>
                  </w:tcBorders>
                  <w:vAlign w:val="center"/>
                </w:tcPr>
                <w:p w14:paraId="6B0DF484">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color w:val="auto"/>
                      <w:highlight w:val="none"/>
                      <w:lang w:val="en-US" w:eastAsia="zh-CN"/>
                    </w:rPr>
                  </w:pPr>
                  <w:r>
                    <w:rPr>
                      <w:rFonts w:hint="eastAsia"/>
                      <w:color w:val="auto"/>
                      <w:highlight w:val="none"/>
                      <w:lang w:val="en-US" w:eastAsia="zh-CN"/>
                    </w:rPr>
                    <w:t>住院区</w:t>
                  </w:r>
                </w:p>
              </w:tc>
              <w:tc>
                <w:tcPr>
                  <w:tcW w:w="163" w:type="pct"/>
                  <w:vMerge w:val="restart"/>
                  <w:tcBorders>
                    <w:tl2br w:val="nil"/>
                    <w:tr2bl w:val="nil"/>
                  </w:tcBorders>
                  <w:shd w:val="clear" w:color="auto" w:fill="auto"/>
                  <w:vAlign w:val="center"/>
                </w:tcPr>
                <w:p w14:paraId="3B7D0940">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宠物</w:t>
                  </w:r>
                </w:p>
                <w:p w14:paraId="40279F9D">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吼叫</w:t>
                  </w:r>
                </w:p>
              </w:tc>
              <w:tc>
                <w:tcPr>
                  <w:tcW w:w="348" w:type="pct"/>
                  <w:gridSpan w:val="2"/>
                  <w:tcBorders>
                    <w:tl2br w:val="nil"/>
                    <w:tr2bl w:val="nil"/>
                  </w:tcBorders>
                  <w:vAlign w:val="center"/>
                </w:tcPr>
                <w:p w14:paraId="62065EA6">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75</w:t>
                  </w:r>
                  <w:r>
                    <w:rPr>
                      <w:rFonts w:hint="eastAsia" w:eastAsia="宋体"/>
                      <w:color w:val="auto"/>
                      <w:highlight w:val="none"/>
                      <w:lang w:val="en-US" w:eastAsia="zh-CN"/>
                    </w:rPr>
                    <w:t>/1</w:t>
                  </w:r>
                </w:p>
              </w:tc>
              <w:tc>
                <w:tcPr>
                  <w:tcW w:w="380" w:type="pct"/>
                  <w:vMerge w:val="restart"/>
                  <w:tcBorders>
                    <w:tl2br w:val="nil"/>
                    <w:tr2bl w:val="nil"/>
                  </w:tcBorders>
                  <w:vAlign w:val="center"/>
                </w:tcPr>
                <w:p w14:paraId="79C127CE">
                  <w:pPr>
                    <w:pStyle w:val="49"/>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建筑隔声、加强管理</w:t>
                  </w:r>
                </w:p>
              </w:tc>
              <w:tc>
                <w:tcPr>
                  <w:tcW w:w="157" w:type="pct"/>
                  <w:tcBorders>
                    <w:tl2br w:val="nil"/>
                    <w:tr2bl w:val="nil"/>
                  </w:tcBorders>
                  <w:vAlign w:val="center"/>
                </w:tcPr>
                <w:p w14:paraId="6B0B145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57" w:type="pct"/>
                  <w:tcBorders>
                    <w:tl2br w:val="nil"/>
                    <w:tr2bl w:val="nil"/>
                  </w:tcBorders>
                  <w:vAlign w:val="center"/>
                </w:tcPr>
                <w:p w14:paraId="498470CD">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w:t>
                  </w:r>
                </w:p>
              </w:tc>
              <w:tc>
                <w:tcPr>
                  <w:tcW w:w="138" w:type="pct"/>
                  <w:tcBorders>
                    <w:tl2br w:val="nil"/>
                    <w:tr2bl w:val="nil"/>
                  </w:tcBorders>
                  <w:vAlign w:val="center"/>
                </w:tcPr>
                <w:p w14:paraId="508762DE">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142" w:type="pct"/>
                  <w:gridSpan w:val="2"/>
                  <w:tcBorders>
                    <w:tl2br w:val="nil"/>
                    <w:tr2bl w:val="nil"/>
                  </w:tcBorders>
                  <w:vAlign w:val="center"/>
                </w:tcPr>
                <w:p w14:paraId="3CBFF354">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w:t>
                  </w:r>
                </w:p>
              </w:tc>
              <w:tc>
                <w:tcPr>
                  <w:tcW w:w="156" w:type="pct"/>
                  <w:tcBorders>
                    <w:tl2br w:val="nil"/>
                    <w:tr2bl w:val="nil"/>
                  </w:tcBorders>
                  <w:vAlign w:val="center"/>
                </w:tcPr>
                <w:p w14:paraId="18F35B7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22" w:type="pct"/>
                  <w:tcBorders>
                    <w:tl2br w:val="nil"/>
                    <w:tr2bl w:val="nil"/>
                  </w:tcBorders>
                  <w:vAlign w:val="center"/>
                </w:tcPr>
                <w:p w14:paraId="22F3D0F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160" w:type="pct"/>
                  <w:tcBorders>
                    <w:tl2br w:val="nil"/>
                    <w:tr2bl w:val="nil"/>
                  </w:tcBorders>
                  <w:vAlign w:val="center"/>
                </w:tcPr>
                <w:p w14:paraId="110BCFF8">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default"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142" w:type="pct"/>
                  <w:gridSpan w:val="2"/>
                  <w:tcBorders>
                    <w:tl2br w:val="nil"/>
                    <w:tr2bl w:val="nil"/>
                  </w:tcBorders>
                  <w:shd w:val="clear" w:color="auto" w:fill="auto"/>
                  <w:vAlign w:val="center"/>
                </w:tcPr>
                <w:p w14:paraId="3EEF029A">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50</w:t>
                  </w:r>
                </w:p>
              </w:tc>
              <w:tc>
                <w:tcPr>
                  <w:tcW w:w="213" w:type="pct"/>
                  <w:tcBorders>
                    <w:tl2br w:val="nil"/>
                    <w:tr2bl w:val="nil"/>
                  </w:tcBorders>
                  <w:shd w:val="clear" w:color="auto" w:fill="auto"/>
                  <w:vAlign w:val="center"/>
                </w:tcPr>
                <w:p w14:paraId="47C36FD8">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67</w:t>
                  </w:r>
                </w:p>
              </w:tc>
              <w:tc>
                <w:tcPr>
                  <w:tcW w:w="223" w:type="pct"/>
                  <w:tcBorders>
                    <w:tl2br w:val="nil"/>
                    <w:tr2bl w:val="nil"/>
                  </w:tcBorders>
                  <w:shd w:val="clear" w:color="auto" w:fill="auto"/>
                  <w:vAlign w:val="center"/>
                </w:tcPr>
                <w:p w14:paraId="2327EDDB">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67</w:t>
                  </w:r>
                </w:p>
              </w:tc>
              <w:tc>
                <w:tcPr>
                  <w:tcW w:w="222" w:type="pct"/>
                  <w:tcBorders>
                    <w:tl2br w:val="nil"/>
                    <w:tr2bl w:val="nil"/>
                  </w:tcBorders>
                  <w:shd w:val="clear" w:color="auto" w:fill="auto"/>
                  <w:vAlign w:val="center"/>
                </w:tcPr>
                <w:p w14:paraId="34161CE4">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67</w:t>
                  </w:r>
                </w:p>
              </w:tc>
              <w:tc>
                <w:tcPr>
                  <w:tcW w:w="263" w:type="pct"/>
                  <w:gridSpan w:val="2"/>
                  <w:vMerge w:val="restart"/>
                  <w:tcBorders>
                    <w:tl2br w:val="nil"/>
                    <w:tr2bl w:val="nil"/>
                  </w:tcBorders>
                  <w:vAlign w:val="center"/>
                </w:tcPr>
                <w:p w14:paraId="38EB66BA">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昼、</w:t>
                  </w:r>
                </w:p>
                <w:p w14:paraId="1BF4D15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夜间</w:t>
                  </w:r>
                </w:p>
              </w:tc>
              <w:tc>
                <w:tcPr>
                  <w:tcW w:w="404" w:type="pct"/>
                  <w:gridSpan w:val="2"/>
                  <w:tcBorders>
                    <w:tl2br w:val="nil"/>
                    <w:tr2bl w:val="nil"/>
                  </w:tcBorders>
                  <w:vAlign w:val="center"/>
                </w:tcPr>
                <w:p w14:paraId="66BA2E5E">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20</w:t>
                  </w:r>
                </w:p>
              </w:tc>
              <w:tc>
                <w:tcPr>
                  <w:tcW w:w="141" w:type="pct"/>
                  <w:gridSpan w:val="2"/>
                  <w:tcBorders>
                    <w:tl2br w:val="nil"/>
                    <w:tr2bl w:val="nil"/>
                  </w:tcBorders>
                  <w:shd w:val="clear" w:color="auto" w:fill="auto"/>
                  <w:vAlign w:val="center"/>
                </w:tcPr>
                <w:p w14:paraId="188BCDB5">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30</w:t>
                  </w:r>
                </w:p>
              </w:tc>
              <w:tc>
                <w:tcPr>
                  <w:tcW w:w="213" w:type="pct"/>
                  <w:tcBorders>
                    <w:tl2br w:val="nil"/>
                    <w:tr2bl w:val="nil"/>
                  </w:tcBorders>
                  <w:shd w:val="clear" w:color="auto" w:fill="auto"/>
                  <w:vAlign w:val="center"/>
                </w:tcPr>
                <w:p w14:paraId="72C5CCC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47</w:t>
                  </w:r>
                </w:p>
              </w:tc>
              <w:tc>
                <w:tcPr>
                  <w:tcW w:w="228" w:type="pct"/>
                  <w:tcBorders>
                    <w:tl2br w:val="nil"/>
                    <w:tr2bl w:val="nil"/>
                  </w:tcBorders>
                  <w:shd w:val="clear" w:color="auto" w:fill="auto"/>
                  <w:vAlign w:val="center"/>
                </w:tcPr>
                <w:p w14:paraId="0EBF053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47</w:t>
                  </w:r>
                </w:p>
              </w:tc>
              <w:tc>
                <w:tcPr>
                  <w:tcW w:w="228" w:type="pct"/>
                  <w:tcBorders>
                    <w:tl2br w:val="nil"/>
                    <w:tr2bl w:val="nil"/>
                  </w:tcBorders>
                  <w:shd w:val="clear" w:color="auto" w:fill="auto"/>
                  <w:vAlign w:val="center"/>
                </w:tcPr>
                <w:p w14:paraId="22F0391A">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47</w:t>
                  </w:r>
                </w:p>
              </w:tc>
              <w:tc>
                <w:tcPr>
                  <w:tcW w:w="395" w:type="pct"/>
                  <w:gridSpan w:val="2"/>
                  <w:tcBorders>
                    <w:tl2br w:val="nil"/>
                    <w:tr2bl w:val="nil"/>
                  </w:tcBorders>
                  <w:vAlign w:val="center"/>
                </w:tcPr>
                <w:p w14:paraId="24293C0C">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424F2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3"/>
                <w:wAfter w:w="18" w:type="pct"/>
                <w:trHeight w:val="397" w:hRule="atLeast"/>
                <w:jc w:val="center"/>
              </w:trPr>
              <w:tc>
                <w:tcPr>
                  <w:tcW w:w="132" w:type="pct"/>
                  <w:tcBorders>
                    <w:tl2br w:val="nil"/>
                    <w:tr2bl w:val="nil"/>
                  </w:tcBorders>
                  <w:shd w:val="clear" w:color="auto" w:fill="auto"/>
                  <w:vAlign w:val="center"/>
                </w:tcPr>
                <w:p w14:paraId="3CEA121C">
                  <w:pPr>
                    <w:keepNext w:val="0"/>
                    <w:keepLines w:val="0"/>
                    <w:pageBreakBefore w:val="0"/>
                    <w:widowControl w:val="0"/>
                    <w:kinsoku/>
                    <w:wordWrap/>
                    <w:overflowPunct/>
                    <w:topLinePunct w:val="0"/>
                    <w:autoSpaceDE/>
                    <w:autoSpaceDN/>
                    <w:bidi w:val="0"/>
                    <w:adjustRightInd/>
                    <w:snapToGrid/>
                    <w:spacing w:line="240" w:lineRule="auto"/>
                    <w:ind w:left="-63" w:leftChars="-30" w:right="-63" w:rightChars="-3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w:t>
                  </w:r>
                </w:p>
              </w:tc>
              <w:tc>
                <w:tcPr>
                  <w:tcW w:w="144" w:type="pct"/>
                  <w:tcBorders>
                    <w:tl2br w:val="nil"/>
                    <w:tr2bl w:val="nil"/>
                  </w:tcBorders>
                  <w:shd w:val="clear" w:color="auto" w:fill="auto"/>
                  <w:vAlign w:val="center"/>
                </w:tcPr>
                <w:p w14:paraId="7FD58D1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隔离室</w:t>
                  </w:r>
                </w:p>
              </w:tc>
              <w:tc>
                <w:tcPr>
                  <w:tcW w:w="163" w:type="pct"/>
                  <w:vMerge w:val="continue"/>
                  <w:tcBorders>
                    <w:tl2br w:val="nil"/>
                    <w:tr2bl w:val="nil"/>
                  </w:tcBorders>
                  <w:shd w:val="clear" w:color="auto" w:fill="auto"/>
                  <w:vAlign w:val="center"/>
                </w:tcPr>
                <w:p w14:paraId="7AF51DE6">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cs="Times New Roman"/>
                      <w:b w:val="0"/>
                      <w:bCs w:val="0"/>
                      <w:color w:val="000000"/>
                      <w:sz w:val="21"/>
                      <w:szCs w:val="21"/>
                      <w:highlight w:val="none"/>
                      <w:lang w:val="en-US" w:eastAsia="zh-CN"/>
                    </w:rPr>
                  </w:pPr>
                </w:p>
              </w:tc>
              <w:tc>
                <w:tcPr>
                  <w:tcW w:w="348" w:type="pct"/>
                  <w:gridSpan w:val="2"/>
                  <w:tcBorders>
                    <w:tl2br w:val="nil"/>
                    <w:tr2bl w:val="nil"/>
                  </w:tcBorders>
                  <w:vAlign w:val="center"/>
                </w:tcPr>
                <w:p w14:paraId="357690BF">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olor w:val="auto"/>
                      <w:highlight w:val="none"/>
                      <w:lang w:val="en-US" w:eastAsia="zh-CN"/>
                    </w:rPr>
                  </w:pPr>
                  <w:r>
                    <w:rPr>
                      <w:rFonts w:hint="eastAsia"/>
                      <w:color w:val="auto"/>
                      <w:highlight w:val="none"/>
                      <w:lang w:val="en-US" w:eastAsia="zh-CN"/>
                    </w:rPr>
                    <w:t>75</w:t>
                  </w:r>
                  <w:r>
                    <w:rPr>
                      <w:rFonts w:hint="eastAsia" w:eastAsia="宋体"/>
                      <w:color w:val="auto"/>
                      <w:highlight w:val="none"/>
                      <w:lang w:val="en-US" w:eastAsia="zh-CN"/>
                    </w:rPr>
                    <w:t>/1</w:t>
                  </w:r>
                </w:p>
              </w:tc>
              <w:tc>
                <w:tcPr>
                  <w:tcW w:w="380" w:type="pct"/>
                  <w:vMerge w:val="continue"/>
                  <w:tcBorders>
                    <w:tl2br w:val="nil"/>
                    <w:tr2bl w:val="nil"/>
                  </w:tcBorders>
                  <w:vAlign w:val="center"/>
                </w:tcPr>
                <w:p w14:paraId="24724900">
                  <w:pPr>
                    <w:pStyle w:val="49"/>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color w:val="auto"/>
                      <w:highlight w:val="none"/>
                      <w:lang w:val="en-US" w:eastAsia="zh-CN"/>
                    </w:rPr>
                  </w:pPr>
                </w:p>
              </w:tc>
              <w:tc>
                <w:tcPr>
                  <w:tcW w:w="157" w:type="pct"/>
                  <w:tcBorders>
                    <w:tl2br w:val="nil"/>
                    <w:tr2bl w:val="nil"/>
                  </w:tcBorders>
                  <w:shd w:val="clear" w:color="auto" w:fill="auto"/>
                  <w:vAlign w:val="center"/>
                </w:tcPr>
                <w:p w14:paraId="57ACE921">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57" w:type="pct"/>
                  <w:tcBorders>
                    <w:tl2br w:val="nil"/>
                    <w:tr2bl w:val="nil"/>
                  </w:tcBorders>
                  <w:shd w:val="clear" w:color="auto" w:fill="auto"/>
                  <w:vAlign w:val="center"/>
                </w:tcPr>
                <w:p w14:paraId="04D87C99">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w:t>
                  </w:r>
                </w:p>
              </w:tc>
              <w:tc>
                <w:tcPr>
                  <w:tcW w:w="138" w:type="pct"/>
                  <w:tcBorders>
                    <w:tl2br w:val="nil"/>
                    <w:tr2bl w:val="nil"/>
                  </w:tcBorders>
                  <w:shd w:val="clear" w:color="auto" w:fill="auto"/>
                  <w:vAlign w:val="center"/>
                </w:tcPr>
                <w:p w14:paraId="2472F665">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142" w:type="pct"/>
                  <w:gridSpan w:val="2"/>
                  <w:tcBorders>
                    <w:tl2br w:val="nil"/>
                    <w:tr2bl w:val="nil"/>
                  </w:tcBorders>
                  <w:shd w:val="clear" w:color="auto" w:fill="auto"/>
                  <w:vAlign w:val="center"/>
                </w:tcPr>
                <w:p w14:paraId="21178A37">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156" w:type="pct"/>
                  <w:tcBorders>
                    <w:tl2br w:val="nil"/>
                    <w:tr2bl w:val="nil"/>
                  </w:tcBorders>
                  <w:shd w:val="clear" w:color="auto" w:fill="auto"/>
                  <w:vAlign w:val="center"/>
                </w:tcPr>
                <w:p w14:paraId="2549791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c>
                <w:tcPr>
                  <w:tcW w:w="222" w:type="pct"/>
                  <w:tcBorders>
                    <w:tl2br w:val="nil"/>
                    <w:tr2bl w:val="nil"/>
                  </w:tcBorders>
                  <w:shd w:val="clear" w:color="auto" w:fill="auto"/>
                  <w:vAlign w:val="center"/>
                </w:tcPr>
                <w:p w14:paraId="7BF35873">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160" w:type="pct"/>
                  <w:tcBorders>
                    <w:tl2br w:val="nil"/>
                    <w:tr2bl w:val="nil"/>
                  </w:tcBorders>
                  <w:shd w:val="clear" w:color="auto" w:fill="auto"/>
                  <w:vAlign w:val="center"/>
                </w:tcPr>
                <w:p w14:paraId="3882304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w:t>
                  </w:r>
                </w:p>
              </w:tc>
              <w:tc>
                <w:tcPr>
                  <w:tcW w:w="142" w:type="pct"/>
                  <w:gridSpan w:val="2"/>
                  <w:tcBorders>
                    <w:tl2br w:val="nil"/>
                    <w:tr2bl w:val="nil"/>
                  </w:tcBorders>
                  <w:shd w:val="clear" w:color="auto" w:fill="auto"/>
                  <w:vAlign w:val="center"/>
                </w:tcPr>
                <w:p w14:paraId="7EA270EE">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53</w:t>
                  </w:r>
                </w:p>
              </w:tc>
              <w:tc>
                <w:tcPr>
                  <w:tcW w:w="213" w:type="pct"/>
                  <w:tcBorders>
                    <w:tl2br w:val="nil"/>
                    <w:tr2bl w:val="nil"/>
                  </w:tcBorders>
                  <w:shd w:val="clear" w:color="auto" w:fill="auto"/>
                  <w:vAlign w:val="center"/>
                </w:tcPr>
                <w:p w14:paraId="353C7054">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67</w:t>
                  </w:r>
                </w:p>
              </w:tc>
              <w:tc>
                <w:tcPr>
                  <w:tcW w:w="223" w:type="pct"/>
                  <w:tcBorders>
                    <w:tl2br w:val="nil"/>
                    <w:tr2bl w:val="nil"/>
                  </w:tcBorders>
                  <w:shd w:val="clear" w:color="auto" w:fill="auto"/>
                  <w:vAlign w:val="center"/>
                </w:tcPr>
                <w:p w14:paraId="397CDFBD">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53</w:t>
                  </w:r>
                </w:p>
              </w:tc>
              <w:tc>
                <w:tcPr>
                  <w:tcW w:w="222" w:type="pct"/>
                  <w:tcBorders>
                    <w:tl2br w:val="nil"/>
                    <w:tr2bl w:val="nil"/>
                  </w:tcBorders>
                  <w:shd w:val="clear" w:color="auto" w:fill="auto"/>
                  <w:vAlign w:val="center"/>
                </w:tcPr>
                <w:p w14:paraId="74A4187E">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53</w:t>
                  </w:r>
                </w:p>
              </w:tc>
              <w:tc>
                <w:tcPr>
                  <w:tcW w:w="263" w:type="pct"/>
                  <w:gridSpan w:val="2"/>
                  <w:vMerge w:val="continue"/>
                  <w:tcBorders>
                    <w:tl2br w:val="nil"/>
                    <w:tr2bl w:val="nil"/>
                  </w:tcBorders>
                  <w:vAlign w:val="center"/>
                </w:tcPr>
                <w:p w14:paraId="6FF9692A">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p>
              </w:tc>
              <w:tc>
                <w:tcPr>
                  <w:tcW w:w="404" w:type="pct"/>
                  <w:gridSpan w:val="2"/>
                  <w:tcBorders>
                    <w:tl2br w:val="nil"/>
                    <w:tr2bl w:val="nil"/>
                  </w:tcBorders>
                  <w:shd w:val="clear" w:color="auto" w:fill="auto"/>
                  <w:vAlign w:val="center"/>
                </w:tcPr>
                <w:p w14:paraId="30A24CD4">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20</w:t>
                  </w:r>
                </w:p>
              </w:tc>
              <w:tc>
                <w:tcPr>
                  <w:tcW w:w="141" w:type="pct"/>
                  <w:gridSpan w:val="2"/>
                  <w:tcBorders>
                    <w:tl2br w:val="nil"/>
                    <w:tr2bl w:val="nil"/>
                  </w:tcBorders>
                  <w:shd w:val="clear" w:color="auto" w:fill="auto"/>
                  <w:vAlign w:val="center"/>
                </w:tcPr>
                <w:p w14:paraId="7B21B33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33</w:t>
                  </w:r>
                </w:p>
              </w:tc>
              <w:tc>
                <w:tcPr>
                  <w:tcW w:w="213" w:type="pct"/>
                  <w:tcBorders>
                    <w:tl2br w:val="nil"/>
                    <w:tr2bl w:val="nil"/>
                  </w:tcBorders>
                  <w:shd w:val="clear" w:color="auto" w:fill="auto"/>
                  <w:vAlign w:val="center"/>
                </w:tcPr>
                <w:p w14:paraId="4C18D92F">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47</w:t>
                  </w:r>
                </w:p>
              </w:tc>
              <w:tc>
                <w:tcPr>
                  <w:tcW w:w="228" w:type="pct"/>
                  <w:tcBorders>
                    <w:tl2br w:val="nil"/>
                    <w:tr2bl w:val="nil"/>
                  </w:tcBorders>
                  <w:shd w:val="clear" w:color="auto" w:fill="auto"/>
                  <w:vAlign w:val="center"/>
                </w:tcPr>
                <w:p w14:paraId="6761B1C2">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33</w:t>
                  </w:r>
                </w:p>
              </w:tc>
              <w:tc>
                <w:tcPr>
                  <w:tcW w:w="228" w:type="pct"/>
                  <w:tcBorders>
                    <w:tl2br w:val="nil"/>
                    <w:tr2bl w:val="nil"/>
                  </w:tcBorders>
                  <w:shd w:val="clear" w:color="auto" w:fill="auto"/>
                  <w:vAlign w:val="center"/>
                </w:tcPr>
                <w:p w14:paraId="59EEF0E0">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33</w:t>
                  </w:r>
                </w:p>
              </w:tc>
              <w:tc>
                <w:tcPr>
                  <w:tcW w:w="395" w:type="pct"/>
                  <w:gridSpan w:val="2"/>
                  <w:tcBorders>
                    <w:tl2br w:val="nil"/>
                    <w:tr2bl w:val="nil"/>
                  </w:tcBorders>
                  <w:shd w:val="clear" w:color="auto" w:fill="auto"/>
                  <w:vAlign w:val="center"/>
                </w:tcPr>
                <w:p w14:paraId="3701D826">
                  <w:pPr>
                    <w:pStyle w:val="49"/>
                    <w:keepNext w:val="0"/>
                    <w:keepLines w:val="0"/>
                    <w:pageBreakBefore w:val="0"/>
                    <w:widowControl w:val="0"/>
                    <w:kinsoku/>
                    <w:wordWrap/>
                    <w:overflowPunct/>
                    <w:topLinePunct w:val="0"/>
                    <w:autoSpaceDE/>
                    <w:autoSpaceDN/>
                    <w:bidi w:val="0"/>
                    <w:adjustRightInd/>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1</w:t>
                  </w:r>
                </w:p>
              </w:tc>
            </w:tr>
            <w:tr w14:paraId="2A128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33"/>
                  <w:tcBorders>
                    <w:tl2br w:val="nil"/>
                    <w:tr2bl w:val="nil"/>
                  </w:tcBorders>
                  <w:vAlign w:val="center"/>
                </w:tcPr>
                <w:p w14:paraId="3CAEA6BF">
                  <w:pPr>
                    <w:pStyle w:val="49"/>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olor w:val="auto"/>
                      <w:highlight w:val="none"/>
                      <w:lang w:val="en-US" w:eastAsia="zh-CN"/>
                    </w:rPr>
                  </w:pPr>
                  <w:r>
                    <w:rPr>
                      <w:rFonts w:hint="eastAsia"/>
                      <w:color w:val="auto"/>
                      <w:highlight w:val="none"/>
                      <w:lang w:val="en-US" w:eastAsia="zh-CN"/>
                    </w:rPr>
                    <w:t>注：以医院中心（106.221135450，29.550513001）为坐标原点（0，0），正东向为X轴正方向，正北向为Y轴正方向。本项目西侧场界为其他商铺门面，南侧为恒大绿岛新城B区地下，因此，本次评价不对南侧和西侧场界进行预测。</w:t>
                  </w:r>
                </w:p>
              </w:tc>
            </w:tr>
          </w:tbl>
          <w:p w14:paraId="3FC7373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kern w:val="0"/>
                <w:sz w:val="24"/>
                <w:szCs w:val="24"/>
                <w:vertAlign w:val="baseline"/>
                <w:lang w:eastAsia="zh-CN"/>
              </w:rPr>
            </w:pPr>
            <w:r>
              <w:rPr>
                <w:rFonts w:hint="eastAsia" w:ascii="Times New Roman" w:hAnsi="Times New Roman" w:cs="Times New Roman"/>
                <w:b/>
                <w:bCs w:val="0"/>
                <w:kern w:val="0"/>
                <w:sz w:val="24"/>
                <w:szCs w:val="24"/>
                <w:vertAlign w:val="baseline"/>
                <w:lang w:eastAsia="zh-CN"/>
              </w:rPr>
              <w:t>4.2.3.2 噪声预测</w:t>
            </w:r>
          </w:p>
          <w:p w14:paraId="1CDE79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预测方法和模式</w:t>
            </w:r>
            <w:r>
              <w:rPr>
                <w:rFonts w:hint="eastAsia" w:cs="Times New Roman"/>
                <w:b w:val="0"/>
                <w:bCs/>
                <w:color w:val="000000"/>
                <w:sz w:val="24"/>
                <w:szCs w:val="24"/>
                <w:lang w:val="en-US" w:eastAsia="zh-CN"/>
              </w:rPr>
              <w:t>：</w:t>
            </w:r>
          </w:p>
          <w:p w14:paraId="2D4178DC">
            <w:pPr>
              <w:spacing w:line="360" w:lineRule="auto"/>
              <w:ind w:firstLine="480" w:firstLineChars="200"/>
              <w:rPr>
                <w:sz w:val="24"/>
              </w:rPr>
            </w:pPr>
            <w:r>
              <w:rPr>
                <w:sz w:val="24"/>
              </w:rPr>
              <w:t>根据</w:t>
            </w:r>
            <w:r>
              <w:rPr>
                <w:rStyle w:val="23"/>
                <w:b w:val="0"/>
                <w:sz w:val="24"/>
              </w:rPr>
              <w:t>《环境影响评价技术导则—声环境》HJ2.4-2021，本项目采用预测模式如下：</w:t>
            </w:r>
          </w:p>
          <w:p w14:paraId="4E02983C">
            <w:pPr>
              <w:spacing w:line="360" w:lineRule="auto"/>
              <w:ind w:firstLine="480" w:firstLineChars="200"/>
              <w:textAlignment w:val="baseline"/>
              <w:rPr>
                <w:rFonts w:hint="eastAsia"/>
                <w:sz w:val="24"/>
              </w:rPr>
            </w:pPr>
            <w:r>
              <w:rPr>
                <w:rFonts w:hint="eastAsia" w:ascii="宋体" w:hAnsi="宋体" w:cs="宋体"/>
                <w:sz w:val="24"/>
              </w:rPr>
              <w:t>①</w:t>
            </w:r>
            <w:r>
              <w:rPr>
                <w:sz w:val="24"/>
              </w:rPr>
              <w:t>室外声源计算</w:t>
            </w:r>
            <w:r>
              <w:rPr>
                <w:rFonts w:hint="eastAsia"/>
                <w:sz w:val="24"/>
              </w:rPr>
              <w:t>方法</w:t>
            </w:r>
          </w:p>
          <w:p w14:paraId="68BCBB2C">
            <w:pPr>
              <w:spacing w:line="360" w:lineRule="auto"/>
              <w:ind w:firstLine="480" w:firstLineChars="200"/>
              <w:rPr>
                <w:sz w:val="24"/>
              </w:rPr>
            </w:pPr>
            <w:r>
              <w:rPr>
                <w:sz w:val="24"/>
              </w:rPr>
              <w:t>采用《环境影响评价技术导则 声环境》（HJ</w:t>
            </w:r>
            <w:r>
              <w:rPr>
                <w:rFonts w:hint="eastAsia"/>
                <w:sz w:val="24"/>
              </w:rPr>
              <w:t xml:space="preserve"> </w:t>
            </w:r>
            <w:r>
              <w:rPr>
                <w:sz w:val="24"/>
              </w:rPr>
              <w:t>2.4-2021）中推荐的室外声源计算方法的点声源的几何发散衰减公式。对于工业企业稳态机械设备，当声源处于自由空间且仅考虑声源的几何发散衰减，则距离点声源r处的声压级为：</w:t>
            </w:r>
          </w:p>
          <w:p w14:paraId="1F05188D">
            <w:pPr>
              <w:spacing w:line="360" w:lineRule="auto"/>
              <w:ind w:firstLine="480" w:firstLineChars="200"/>
              <w:jc w:val="center"/>
              <w:rPr>
                <w:kern w:val="0"/>
                <w:sz w:val="24"/>
              </w:rPr>
            </w:pPr>
            <w:r>
              <w:rPr>
                <w:sz w:val="24"/>
                <w:szCs w:val="22"/>
              </w:rPr>
              <w:drawing>
                <wp:inline distT="0" distB="0" distL="114300" distR="114300">
                  <wp:extent cx="1988820" cy="350520"/>
                  <wp:effectExtent l="0" t="0" r="0"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4"/>
                          <a:stretch>
                            <a:fillRect/>
                          </a:stretch>
                        </pic:blipFill>
                        <pic:spPr>
                          <a:xfrm>
                            <a:off x="0" y="0"/>
                            <a:ext cx="1988820" cy="350520"/>
                          </a:xfrm>
                          <a:prstGeom prst="rect">
                            <a:avLst/>
                          </a:prstGeom>
                          <a:noFill/>
                          <a:ln>
                            <a:noFill/>
                          </a:ln>
                        </pic:spPr>
                      </pic:pic>
                    </a:graphicData>
                  </a:graphic>
                </wp:inline>
              </w:drawing>
            </w:r>
          </w:p>
          <w:p w14:paraId="0970DDB2">
            <w:pPr>
              <w:spacing w:line="360" w:lineRule="auto"/>
              <w:ind w:firstLine="480" w:firstLineChars="200"/>
              <w:rPr>
                <w:sz w:val="24"/>
              </w:rPr>
            </w:pPr>
            <w:r>
              <w:rPr>
                <w:sz w:val="24"/>
              </w:rPr>
              <w:t>式中：L</w:t>
            </w:r>
            <w:r>
              <w:rPr>
                <w:sz w:val="24"/>
                <w:vertAlign w:val="subscript"/>
              </w:rPr>
              <w:t>A</w:t>
            </w:r>
            <w:r>
              <w:rPr>
                <w:sz w:val="24"/>
              </w:rPr>
              <w:t>（r）——距离声源r处的A声级，dB(A)；</w:t>
            </w:r>
          </w:p>
          <w:p w14:paraId="4E22AE86">
            <w:pPr>
              <w:spacing w:line="360" w:lineRule="auto"/>
              <w:ind w:firstLine="1200" w:firstLineChars="500"/>
              <w:jc w:val="left"/>
              <w:rPr>
                <w:sz w:val="24"/>
              </w:rPr>
            </w:pPr>
            <w:r>
              <w:rPr>
                <w:sz w:val="24"/>
              </w:rPr>
              <w:t>L</w:t>
            </w:r>
            <w:r>
              <w:rPr>
                <w:sz w:val="24"/>
                <w:vertAlign w:val="subscript"/>
              </w:rPr>
              <w:t>A</w:t>
            </w:r>
            <w:r>
              <w:rPr>
                <w:sz w:val="24"/>
              </w:rPr>
              <w:t>（r</w:t>
            </w:r>
            <w:r>
              <w:rPr>
                <w:sz w:val="24"/>
                <w:vertAlign w:val="subscript"/>
              </w:rPr>
              <w:t>o</w:t>
            </w:r>
            <w:r>
              <w:rPr>
                <w:sz w:val="24"/>
              </w:rPr>
              <w:t>）——距声源r</w:t>
            </w:r>
            <w:r>
              <w:rPr>
                <w:sz w:val="24"/>
                <w:vertAlign w:val="subscript"/>
              </w:rPr>
              <w:t>o</w:t>
            </w:r>
            <w:r>
              <w:rPr>
                <w:sz w:val="24"/>
              </w:rPr>
              <w:t>处的A声级，dB(A)；</w:t>
            </w:r>
          </w:p>
          <w:p w14:paraId="55512EEC">
            <w:pPr>
              <w:spacing w:line="360" w:lineRule="auto"/>
              <w:ind w:firstLine="1200" w:firstLineChars="500"/>
              <w:jc w:val="left"/>
              <w:rPr>
                <w:sz w:val="24"/>
              </w:rPr>
            </w:pPr>
            <w:r>
              <w:rPr>
                <w:sz w:val="24"/>
              </w:rPr>
              <w:t>r</w:t>
            </w:r>
            <w:r>
              <w:rPr>
                <w:sz w:val="24"/>
                <w:vertAlign w:val="subscript"/>
              </w:rPr>
              <w:t>o</w:t>
            </w:r>
            <w:r>
              <w:rPr>
                <w:sz w:val="24"/>
              </w:rPr>
              <w:t>、r——距声源的距离，m；</w:t>
            </w:r>
          </w:p>
          <w:p w14:paraId="6EDDF367">
            <w:pPr>
              <w:spacing w:line="360" w:lineRule="auto"/>
              <w:ind w:firstLine="480" w:firstLineChars="200"/>
              <w:rPr>
                <w:sz w:val="24"/>
              </w:rPr>
            </w:pPr>
            <w:r>
              <w:rPr>
                <w:rFonts w:hint="eastAsia"/>
                <w:sz w:val="24"/>
              </w:rPr>
              <w:t>②室内声源</w:t>
            </w:r>
          </w:p>
          <w:p w14:paraId="4C586F27">
            <w:pPr>
              <w:spacing w:line="360" w:lineRule="auto"/>
              <w:ind w:firstLine="480" w:firstLineChars="200"/>
              <w:rPr>
                <w:sz w:val="24"/>
              </w:rPr>
            </w:pPr>
            <w:r>
              <w:rPr>
                <w:rFonts w:hint="eastAsia"/>
                <w:sz w:val="24"/>
              </w:rPr>
              <w:t>若声源位于室内，室内声源可采用等效室外声源声功率级法进行计算。具体方法如下：</w:t>
            </w:r>
          </w:p>
          <w:p w14:paraId="47F9FFBD">
            <w:pPr>
              <w:spacing w:line="360" w:lineRule="auto"/>
              <w:ind w:firstLine="480" w:firstLineChars="200"/>
              <w:rPr>
                <w:sz w:val="24"/>
              </w:rPr>
            </w:pPr>
            <w:r>
              <w:rPr>
                <w:rFonts w:hint="eastAsia"/>
                <w:sz w:val="24"/>
              </w:rPr>
              <w:t>利用</w:t>
            </w:r>
            <w:r>
              <w:rPr>
                <w:sz w:val="24"/>
              </w:rPr>
              <w:t>室外声源计算方法的点声源的几何发散衰减公式</w:t>
            </w:r>
            <w:r>
              <w:rPr>
                <w:rFonts w:hint="eastAsia"/>
                <w:sz w:val="24"/>
              </w:rPr>
              <w:t>计算设备声源到靠近开口处（或窗户）室内某倍频带的声压级</w:t>
            </w:r>
            <w:r>
              <w:rPr>
                <w:sz w:val="24"/>
              </w:rPr>
              <w:t>。对于工业企业稳态机械设备，当声源处于自由空间且仅考虑声源的几何发散衰减，则距离点声源r处的声压级为：</w:t>
            </w:r>
          </w:p>
          <w:p w14:paraId="37E9CC7F">
            <w:pPr>
              <w:pStyle w:val="7"/>
              <w:jc w:val="center"/>
              <w:rPr>
                <w:kern w:val="0"/>
                <w:sz w:val="24"/>
                <w:szCs w:val="24"/>
              </w:rPr>
            </w:pPr>
            <w:r>
              <w:rPr>
                <w:rFonts w:hint="eastAsia"/>
                <w:position w:val="-30"/>
              </w:rPr>
              <w:object>
                <v:shape id="_x0000_i1025" o:spt="75" type="#_x0000_t75" style="height:34pt;width:121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00770C58">
            <w:pPr>
              <w:spacing w:line="360" w:lineRule="auto"/>
              <w:ind w:firstLine="480" w:firstLineChars="200"/>
              <w:rPr>
                <w:sz w:val="24"/>
              </w:rPr>
            </w:pPr>
            <w:r>
              <w:rPr>
                <w:sz w:val="24"/>
              </w:rPr>
              <w:t>式中：L</w:t>
            </w:r>
            <w:r>
              <w:rPr>
                <w:rFonts w:hint="eastAsia"/>
                <w:sz w:val="24"/>
                <w:vertAlign w:val="subscript"/>
              </w:rPr>
              <w:t>p1</w:t>
            </w:r>
            <w:r>
              <w:rPr>
                <w:rFonts w:hint="eastAsia"/>
                <w:sz w:val="24"/>
              </w:rPr>
              <w:t>（r）</w:t>
            </w:r>
            <w:r>
              <w:rPr>
                <w:sz w:val="24"/>
              </w:rPr>
              <w:t>——距离声源r处的A声级，dB(A)；</w:t>
            </w:r>
          </w:p>
          <w:p w14:paraId="20730406">
            <w:pPr>
              <w:spacing w:line="360" w:lineRule="auto"/>
              <w:ind w:firstLine="1200" w:firstLineChars="500"/>
              <w:jc w:val="left"/>
              <w:rPr>
                <w:sz w:val="24"/>
              </w:rPr>
            </w:pPr>
            <w:r>
              <w:rPr>
                <w:sz w:val="24"/>
              </w:rPr>
              <w:t>L</w:t>
            </w:r>
            <w:r>
              <w:rPr>
                <w:rFonts w:hint="eastAsia"/>
                <w:sz w:val="24"/>
                <w:vertAlign w:val="subscript"/>
              </w:rPr>
              <w:t>p1</w:t>
            </w:r>
            <w:r>
              <w:rPr>
                <w:sz w:val="24"/>
              </w:rPr>
              <w:t>（r</w:t>
            </w:r>
            <w:r>
              <w:rPr>
                <w:sz w:val="24"/>
                <w:vertAlign w:val="subscript"/>
              </w:rPr>
              <w:t>o</w:t>
            </w:r>
            <w:r>
              <w:rPr>
                <w:sz w:val="24"/>
              </w:rPr>
              <w:t>）——距声源r</w:t>
            </w:r>
            <w:r>
              <w:rPr>
                <w:sz w:val="24"/>
                <w:vertAlign w:val="subscript"/>
              </w:rPr>
              <w:t>o</w:t>
            </w:r>
            <w:r>
              <w:rPr>
                <w:sz w:val="24"/>
              </w:rPr>
              <w:t>处的A声级，dB(A)；</w:t>
            </w:r>
          </w:p>
          <w:p w14:paraId="3C068F04">
            <w:pPr>
              <w:spacing w:line="360" w:lineRule="auto"/>
              <w:ind w:firstLine="1200" w:firstLineChars="500"/>
              <w:jc w:val="left"/>
              <w:rPr>
                <w:sz w:val="24"/>
              </w:rPr>
            </w:pPr>
            <w:r>
              <w:rPr>
                <w:sz w:val="24"/>
              </w:rPr>
              <w:t>r</w:t>
            </w:r>
            <w:r>
              <w:rPr>
                <w:sz w:val="24"/>
                <w:vertAlign w:val="subscript"/>
              </w:rPr>
              <w:t>o</w:t>
            </w:r>
            <w:r>
              <w:rPr>
                <w:sz w:val="24"/>
              </w:rPr>
              <w:t>、r——距声源的距离，m；</w:t>
            </w:r>
          </w:p>
          <w:p w14:paraId="0200D711">
            <w:pPr>
              <w:spacing w:line="360" w:lineRule="auto"/>
              <w:ind w:firstLine="480" w:firstLineChars="200"/>
              <w:rPr>
                <w:rFonts w:hint="eastAsia"/>
                <w:sz w:val="24"/>
              </w:rPr>
            </w:pPr>
            <w:r>
              <w:rPr>
                <w:rFonts w:hint="eastAsia"/>
                <w:sz w:val="24"/>
              </w:rPr>
              <w:t>按下式计算</w:t>
            </w:r>
            <w:r>
              <w:rPr>
                <w:rFonts w:hint="eastAsia"/>
                <w:sz w:val="24"/>
                <w:lang w:eastAsia="zh-CN"/>
              </w:rPr>
              <w:t>出</w:t>
            </w:r>
            <w:r>
              <w:rPr>
                <w:rFonts w:hint="eastAsia"/>
                <w:sz w:val="24"/>
              </w:rPr>
              <w:t xml:space="preserve">所有室内声源在围护结构处产生的 </w:t>
            </w:r>
            <w:r>
              <w:rPr>
                <w:sz w:val="24"/>
              </w:rPr>
              <w:t xml:space="preserve">i </w:t>
            </w:r>
            <w:r>
              <w:rPr>
                <w:rFonts w:hint="eastAsia"/>
                <w:sz w:val="24"/>
              </w:rPr>
              <w:t>倍频带叠加</w:t>
            </w:r>
            <w:r>
              <w:rPr>
                <w:sz w:val="24"/>
              </w:rPr>
              <w:t>A声级</w:t>
            </w:r>
            <w:r>
              <w:rPr>
                <w:rFonts w:hint="eastAsia"/>
                <w:sz w:val="24"/>
              </w:rPr>
              <w:t xml:space="preserve">： </w:t>
            </w:r>
          </w:p>
          <w:p w14:paraId="0E11BF00">
            <w:pPr>
              <w:spacing w:line="360" w:lineRule="auto"/>
              <w:ind w:firstLine="480" w:firstLineChars="200"/>
              <w:jc w:val="center"/>
              <w:rPr>
                <w:sz w:val="24"/>
              </w:rPr>
            </w:pPr>
            <w:r>
              <w:rPr>
                <w:sz w:val="24"/>
              </w:rPr>
              <w:drawing>
                <wp:inline distT="0" distB="0" distL="114300" distR="114300">
                  <wp:extent cx="1967230" cy="499745"/>
                  <wp:effectExtent l="0" t="0" r="13970" b="14605"/>
                  <wp:docPr id="8" name="图片 7" descr="631330799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6313307991439279977312"/>
                          <pic:cNvPicPr>
                            <a:picLocks noChangeAspect="1"/>
                          </pic:cNvPicPr>
                        </pic:nvPicPr>
                        <pic:blipFill>
                          <a:blip r:embed="rId17"/>
                          <a:stretch>
                            <a:fillRect/>
                          </a:stretch>
                        </pic:blipFill>
                        <pic:spPr>
                          <a:xfrm>
                            <a:off x="0" y="0"/>
                            <a:ext cx="1967230" cy="499745"/>
                          </a:xfrm>
                          <a:prstGeom prst="rect">
                            <a:avLst/>
                          </a:prstGeom>
                          <a:noFill/>
                          <a:ln>
                            <a:noFill/>
                          </a:ln>
                        </pic:spPr>
                      </pic:pic>
                    </a:graphicData>
                  </a:graphic>
                </wp:inline>
              </w:drawing>
            </w:r>
          </w:p>
          <w:p w14:paraId="40994D81">
            <w:pPr>
              <w:spacing w:line="360" w:lineRule="auto"/>
              <w:ind w:firstLine="480" w:firstLineChars="200"/>
              <w:rPr>
                <w:sz w:val="24"/>
              </w:rPr>
            </w:pPr>
            <w:r>
              <w:rPr>
                <w:rFonts w:hint="eastAsia"/>
                <w:sz w:val="24"/>
              </w:rPr>
              <w:t>式中：</w:t>
            </w:r>
          </w:p>
          <w:p w14:paraId="16A2E5E3">
            <w:pPr>
              <w:spacing w:line="360" w:lineRule="auto"/>
              <w:ind w:firstLine="480" w:firstLineChars="200"/>
              <w:rPr>
                <w:sz w:val="24"/>
              </w:rPr>
            </w:pPr>
            <w:r>
              <w:rPr>
                <w:sz w:val="24"/>
              </w:rPr>
              <w:drawing>
                <wp:inline distT="0" distB="0" distL="114300" distR="114300">
                  <wp:extent cx="510540" cy="233680"/>
                  <wp:effectExtent l="0" t="0" r="3810" b="13970"/>
                  <wp:docPr id="9" name="图片 8" descr="992992344143927997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9929923441439279977312"/>
                          <pic:cNvPicPr>
                            <a:picLocks noChangeAspect="1"/>
                          </pic:cNvPicPr>
                        </pic:nvPicPr>
                        <pic:blipFill>
                          <a:blip r:embed="rId18"/>
                          <a:stretch>
                            <a:fillRect/>
                          </a:stretch>
                        </pic:blipFill>
                        <pic:spPr>
                          <a:xfrm>
                            <a:off x="0" y="0"/>
                            <a:ext cx="510540" cy="233680"/>
                          </a:xfrm>
                          <a:prstGeom prst="rect">
                            <a:avLst/>
                          </a:prstGeom>
                          <a:noFill/>
                          <a:ln>
                            <a:noFill/>
                          </a:ln>
                        </pic:spPr>
                      </pic:pic>
                    </a:graphicData>
                  </a:graphic>
                </wp:inline>
              </w:drawing>
            </w:r>
            <w:r>
              <w:rPr>
                <w:sz w:val="24"/>
              </w:rPr>
              <w:t>—</w:t>
            </w:r>
            <w:r>
              <w:rPr>
                <w:rFonts w:hint="eastAsia"/>
                <w:sz w:val="24"/>
              </w:rPr>
              <w:t>靠近围护结构处室内</w:t>
            </w:r>
            <w:r>
              <w:rPr>
                <w:sz w:val="24"/>
              </w:rPr>
              <w:t>N</w:t>
            </w:r>
            <w:r>
              <w:rPr>
                <w:rFonts w:hint="eastAsia"/>
                <w:sz w:val="24"/>
              </w:rPr>
              <w:t>个声源</w:t>
            </w:r>
            <w:r>
              <w:rPr>
                <w:sz w:val="24"/>
              </w:rPr>
              <w:t>i</w:t>
            </w:r>
            <w:r>
              <w:rPr>
                <w:rFonts w:hint="eastAsia"/>
                <w:sz w:val="24"/>
              </w:rPr>
              <w:t>倍频带的叠加</w:t>
            </w:r>
            <w:r>
              <w:rPr>
                <w:sz w:val="24"/>
              </w:rPr>
              <w:t>A声级</w:t>
            </w:r>
            <w:r>
              <w:rPr>
                <w:rFonts w:hint="eastAsia"/>
                <w:sz w:val="24"/>
              </w:rPr>
              <w:t>，</w:t>
            </w:r>
            <w:r>
              <w:rPr>
                <w:sz w:val="24"/>
              </w:rPr>
              <w:t>dB</w:t>
            </w:r>
            <w:r>
              <w:rPr>
                <w:rFonts w:hint="eastAsia"/>
                <w:sz w:val="24"/>
              </w:rPr>
              <w:t>（A）；</w:t>
            </w:r>
          </w:p>
          <w:p w14:paraId="73E84575">
            <w:pPr>
              <w:spacing w:line="360" w:lineRule="auto"/>
              <w:ind w:firstLine="480" w:firstLineChars="200"/>
              <w:rPr>
                <w:sz w:val="24"/>
              </w:rPr>
            </w:pPr>
            <w:r>
              <w:rPr>
                <w:sz w:val="24"/>
              </w:rPr>
              <w:drawing>
                <wp:inline distT="0" distB="0" distL="114300" distR="114300">
                  <wp:extent cx="276225" cy="233680"/>
                  <wp:effectExtent l="0" t="0" r="9525" b="13970"/>
                  <wp:docPr id="10" name="图片 9" descr="2165193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2165193811439279977328"/>
                          <pic:cNvPicPr>
                            <a:picLocks noChangeAspect="1"/>
                          </pic:cNvPicPr>
                        </pic:nvPicPr>
                        <pic:blipFill>
                          <a:blip r:embed="rId19"/>
                          <a:stretch>
                            <a:fillRect/>
                          </a:stretch>
                        </pic:blipFill>
                        <pic:spPr>
                          <a:xfrm>
                            <a:off x="0" y="0"/>
                            <a:ext cx="276225" cy="233680"/>
                          </a:xfrm>
                          <a:prstGeom prst="rect">
                            <a:avLst/>
                          </a:prstGeom>
                          <a:noFill/>
                          <a:ln>
                            <a:noFill/>
                          </a:ln>
                        </pic:spPr>
                      </pic:pic>
                    </a:graphicData>
                  </a:graphic>
                </wp:inline>
              </w:drawing>
            </w:r>
            <w:r>
              <w:rPr>
                <w:sz w:val="24"/>
              </w:rPr>
              <w:t>—</w:t>
            </w:r>
            <w:r>
              <w:rPr>
                <w:rFonts w:hint="eastAsia"/>
                <w:sz w:val="24"/>
              </w:rPr>
              <w:t>室内</w:t>
            </w:r>
            <w:r>
              <w:rPr>
                <w:sz w:val="24"/>
              </w:rPr>
              <w:drawing>
                <wp:inline distT="0" distB="0" distL="114300" distR="114300">
                  <wp:extent cx="42545" cy="191135"/>
                  <wp:effectExtent l="0" t="0" r="14605" b="18415"/>
                  <wp:docPr id="11" name="图片 10" descr="76669819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7666981991439279977328"/>
                          <pic:cNvPicPr>
                            <a:picLocks noChangeAspect="1"/>
                          </pic:cNvPicPr>
                        </pic:nvPicPr>
                        <pic:blipFill>
                          <a:blip r:embed="rId20"/>
                          <a:stretch>
                            <a:fillRect/>
                          </a:stretch>
                        </pic:blipFill>
                        <pic:spPr>
                          <a:xfrm>
                            <a:off x="0" y="0"/>
                            <a:ext cx="42545" cy="191135"/>
                          </a:xfrm>
                          <a:prstGeom prst="rect">
                            <a:avLst/>
                          </a:prstGeom>
                          <a:noFill/>
                          <a:ln>
                            <a:noFill/>
                          </a:ln>
                        </pic:spPr>
                      </pic:pic>
                    </a:graphicData>
                  </a:graphic>
                </wp:inline>
              </w:drawing>
            </w:r>
            <w:r>
              <w:rPr>
                <w:rFonts w:hint="eastAsia"/>
                <w:sz w:val="24"/>
              </w:rPr>
              <w:t>声源</w:t>
            </w:r>
            <w:r>
              <w:rPr>
                <w:sz w:val="24"/>
              </w:rPr>
              <w:drawing>
                <wp:inline distT="0" distB="0" distL="114300" distR="114300">
                  <wp:extent cx="42545" cy="191135"/>
                  <wp:effectExtent l="0" t="0" r="14605" b="18415"/>
                  <wp:docPr id="12" name="图片 11" descr="157682481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576824811439279977328"/>
                          <pic:cNvPicPr>
                            <a:picLocks noChangeAspect="1"/>
                          </pic:cNvPicPr>
                        </pic:nvPicPr>
                        <pic:blipFill>
                          <a:blip r:embed="rId21"/>
                          <a:stretch>
                            <a:fillRect/>
                          </a:stretch>
                        </pic:blipFill>
                        <pic:spPr>
                          <a:xfrm>
                            <a:off x="0" y="0"/>
                            <a:ext cx="42545" cy="191135"/>
                          </a:xfrm>
                          <a:prstGeom prst="rect">
                            <a:avLst/>
                          </a:prstGeom>
                          <a:noFill/>
                          <a:ln>
                            <a:noFill/>
                          </a:ln>
                        </pic:spPr>
                      </pic:pic>
                    </a:graphicData>
                  </a:graphic>
                </wp:inline>
              </w:drawing>
            </w:r>
            <w:r>
              <w:rPr>
                <w:rFonts w:hint="eastAsia"/>
                <w:sz w:val="24"/>
              </w:rPr>
              <w:t>倍频带的</w:t>
            </w:r>
            <w:r>
              <w:rPr>
                <w:sz w:val="24"/>
              </w:rPr>
              <w:t>A声级</w:t>
            </w:r>
            <w:r>
              <w:rPr>
                <w:rFonts w:hint="eastAsia"/>
                <w:sz w:val="24"/>
              </w:rPr>
              <w:t>，</w:t>
            </w:r>
            <w:r>
              <w:rPr>
                <w:sz w:val="24"/>
              </w:rPr>
              <w:t>dB</w:t>
            </w:r>
            <w:r>
              <w:rPr>
                <w:rFonts w:hint="eastAsia"/>
                <w:sz w:val="24"/>
              </w:rPr>
              <w:t>（A）；</w:t>
            </w:r>
          </w:p>
          <w:p w14:paraId="1EABAD99">
            <w:pPr>
              <w:spacing w:line="360" w:lineRule="auto"/>
              <w:ind w:firstLine="480" w:firstLineChars="200"/>
              <w:rPr>
                <w:sz w:val="24"/>
              </w:rPr>
            </w:pPr>
            <w:r>
              <w:rPr>
                <w:sz w:val="24"/>
              </w:rPr>
              <w:t>N—</w:t>
            </w:r>
            <w:r>
              <w:rPr>
                <w:rFonts w:hint="eastAsia"/>
                <w:sz w:val="24"/>
              </w:rPr>
              <w:t>室内声源总数。</w:t>
            </w:r>
          </w:p>
          <w:p w14:paraId="3C39D1C4">
            <w:pPr>
              <w:spacing w:line="360" w:lineRule="auto"/>
              <w:ind w:firstLine="480" w:firstLineChars="200"/>
              <w:rPr>
                <w:sz w:val="24"/>
              </w:rPr>
            </w:pPr>
            <w:r>
              <w:rPr>
                <w:rFonts w:hint="eastAsia"/>
                <w:sz w:val="24"/>
              </w:rPr>
              <w:t>在室内近似为扩散声场时，按公式计算出靠近室外围护结构处的A声级：</w:t>
            </w:r>
          </w:p>
          <w:p w14:paraId="171224F5">
            <w:pPr>
              <w:spacing w:line="360" w:lineRule="auto"/>
              <w:ind w:firstLine="480" w:firstLineChars="200"/>
              <w:jc w:val="center"/>
              <w:rPr>
                <w:sz w:val="24"/>
              </w:rPr>
            </w:pPr>
            <w:r>
              <w:rPr>
                <w:sz w:val="24"/>
              </w:rPr>
              <w:drawing>
                <wp:inline distT="0" distB="0" distL="114300" distR="114300">
                  <wp:extent cx="1797050" cy="223520"/>
                  <wp:effectExtent l="0" t="0" r="12700" b="5080"/>
                  <wp:docPr id="13" name="图片 12" descr="624506594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6245065941439279977328"/>
                          <pic:cNvPicPr>
                            <a:picLocks noChangeAspect="1"/>
                          </pic:cNvPicPr>
                        </pic:nvPicPr>
                        <pic:blipFill>
                          <a:blip r:embed="rId22"/>
                          <a:stretch>
                            <a:fillRect/>
                          </a:stretch>
                        </pic:blipFill>
                        <pic:spPr>
                          <a:xfrm>
                            <a:off x="0" y="0"/>
                            <a:ext cx="1797050" cy="223520"/>
                          </a:xfrm>
                          <a:prstGeom prst="rect">
                            <a:avLst/>
                          </a:prstGeom>
                          <a:noFill/>
                          <a:ln>
                            <a:noFill/>
                          </a:ln>
                        </pic:spPr>
                      </pic:pic>
                    </a:graphicData>
                  </a:graphic>
                </wp:inline>
              </w:drawing>
            </w:r>
          </w:p>
          <w:p w14:paraId="02D64AC0">
            <w:pPr>
              <w:spacing w:line="360" w:lineRule="auto"/>
              <w:ind w:firstLine="480" w:firstLineChars="200"/>
              <w:rPr>
                <w:sz w:val="24"/>
              </w:rPr>
            </w:pPr>
            <w:r>
              <w:rPr>
                <w:rFonts w:hint="eastAsia"/>
                <w:sz w:val="24"/>
              </w:rPr>
              <w:t>式中：</w:t>
            </w:r>
          </w:p>
          <w:p w14:paraId="4F831E66">
            <w:pPr>
              <w:spacing w:line="360" w:lineRule="auto"/>
              <w:ind w:firstLine="480" w:firstLineChars="200"/>
              <w:rPr>
                <w:sz w:val="24"/>
              </w:rPr>
            </w:pPr>
            <w:r>
              <w:rPr>
                <w:sz w:val="24"/>
              </w:rPr>
              <w:drawing>
                <wp:inline distT="0" distB="0" distL="114300" distR="114300">
                  <wp:extent cx="563245" cy="233680"/>
                  <wp:effectExtent l="0" t="0" r="8255" b="13970"/>
                  <wp:docPr id="14" name="图片 13" descr="131241889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312418891439279977328"/>
                          <pic:cNvPicPr>
                            <a:picLocks noChangeAspect="1"/>
                          </pic:cNvPicPr>
                        </pic:nvPicPr>
                        <pic:blipFill>
                          <a:blip r:embed="rId23"/>
                          <a:stretch>
                            <a:fillRect/>
                          </a:stretch>
                        </pic:blipFill>
                        <pic:spPr>
                          <a:xfrm>
                            <a:off x="0" y="0"/>
                            <a:ext cx="563245" cy="233680"/>
                          </a:xfrm>
                          <a:prstGeom prst="rect">
                            <a:avLst/>
                          </a:prstGeom>
                          <a:noFill/>
                          <a:ln>
                            <a:noFill/>
                          </a:ln>
                        </pic:spPr>
                      </pic:pic>
                    </a:graphicData>
                  </a:graphic>
                </wp:inline>
              </w:drawing>
            </w:r>
            <w:r>
              <w:rPr>
                <w:rFonts w:hint="eastAsia"/>
                <w:sz w:val="24"/>
              </w:rPr>
              <w:t>靠近围护结构处室外</w:t>
            </w:r>
            <w:r>
              <w:rPr>
                <w:sz w:val="24"/>
              </w:rPr>
              <w:t>N</w:t>
            </w:r>
            <w:r>
              <w:rPr>
                <w:rFonts w:hint="eastAsia"/>
                <w:sz w:val="24"/>
              </w:rPr>
              <w:t>个声源</w:t>
            </w:r>
            <w:r>
              <w:rPr>
                <w:sz w:val="24"/>
              </w:rPr>
              <w:t>i</w:t>
            </w:r>
            <w:r>
              <w:rPr>
                <w:rFonts w:hint="eastAsia"/>
                <w:sz w:val="24"/>
              </w:rPr>
              <w:t>倍频带的叠加声压级，</w:t>
            </w:r>
            <w:r>
              <w:rPr>
                <w:sz w:val="24"/>
              </w:rPr>
              <w:t>dB</w:t>
            </w:r>
            <w:r>
              <w:rPr>
                <w:rFonts w:hint="eastAsia"/>
                <w:sz w:val="24"/>
              </w:rPr>
              <w:t>（A）；</w:t>
            </w:r>
          </w:p>
          <w:p w14:paraId="2D4CB573">
            <w:pPr>
              <w:spacing w:line="360" w:lineRule="auto"/>
              <w:ind w:firstLine="480" w:firstLineChars="200"/>
              <w:rPr>
                <w:sz w:val="24"/>
              </w:rPr>
            </w:pPr>
            <w:r>
              <w:rPr>
                <w:sz w:val="24"/>
              </w:rPr>
              <w:drawing>
                <wp:inline distT="0" distB="0" distL="114300" distR="114300">
                  <wp:extent cx="191135" cy="223520"/>
                  <wp:effectExtent l="0" t="0" r="18415" b="5080"/>
                  <wp:docPr id="15" name="图片 14" descr="49071726143927997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490717261439279977328"/>
                          <pic:cNvPicPr>
                            <a:picLocks noChangeAspect="1"/>
                          </pic:cNvPicPr>
                        </pic:nvPicPr>
                        <pic:blipFill>
                          <a:blip r:embed="rId24"/>
                          <a:stretch>
                            <a:fillRect/>
                          </a:stretch>
                        </pic:blipFill>
                        <pic:spPr>
                          <a:xfrm>
                            <a:off x="0" y="0"/>
                            <a:ext cx="191135" cy="223520"/>
                          </a:xfrm>
                          <a:prstGeom prst="rect">
                            <a:avLst/>
                          </a:prstGeom>
                          <a:noFill/>
                          <a:ln>
                            <a:noFill/>
                          </a:ln>
                        </pic:spPr>
                      </pic:pic>
                    </a:graphicData>
                  </a:graphic>
                </wp:inline>
              </w:drawing>
            </w:r>
            <w:r>
              <w:rPr>
                <w:sz w:val="24"/>
              </w:rPr>
              <w:t>—</w:t>
            </w:r>
            <w:r>
              <w:rPr>
                <w:rFonts w:hint="eastAsia"/>
                <w:sz w:val="24"/>
              </w:rPr>
              <w:t>围护结构</w:t>
            </w:r>
            <w:r>
              <w:rPr>
                <w:sz w:val="24"/>
              </w:rPr>
              <w:t>i</w:t>
            </w:r>
            <w:r>
              <w:rPr>
                <w:rFonts w:hint="eastAsia"/>
                <w:sz w:val="24"/>
              </w:rPr>
              <w:t>倍频带的隔声量，</w:t>
            </w:r>
            <w:r>
              <w:rPr>
                <w:sz w:val="24"/>
              </w:rPr>
              <w:t>dB</w:t>
            </w:r>
            <w:r>
              <w:rPr>
                <w:rFonts w:hint="eastAsia"/>
                <w:sz w:val="24"/>
              </w:rPr>
              <w:t>（A）。</w:t>
            </w:r>
          </w:p>
          <w:p w14:paraId="576CBBA3">
            <w:pPr>
              <w:spacing w:line="360" w:lineRule="auto"/>
              <w:ind w:firstLine="480" w:firstLineChars="200"/>
              <w:jc w:val="left"/>
              <w:rPr>
                <w:sz w:val="24"/>
              </w:rPr>
            </w:pPr>
            <w:r>
              <w:rPr>
                <w:sz w:val="24"/>
              </w:rPr>
              <w:t>③</w:t>
            </w:r>
            <w:r>
              <w:rPr>
                <w:rFonts w:hint="eastAsia"/>
                <w:color w:val="auto"/>
                <w:sz w:val="24"/>
                <w:szCs w:val="24"/>
                <w:highlight w:val="none"/>
                <w:lang w:val="en-US" w:eastAsia="zh-CN"/>
              </w:rPr>
              <w:t>场界</w:t>
            </w:r>
            <w:r>
              <w:rPr>
                <w:sz w:val="24"/>
              </w:rPr>
              <w:t>预测点贡献值计算：</w:t>
            </w:r>
          </w:p>
          <w:p w14:paraId="43FA0F21">
            <w:pPr>
              <w:spacing w:line="360" w:lineRule="auto"/>
              <w:jc w:val="center"/>
              <w:rPr>
                <w:sz w:val="24"/>
                <w:szCs w:val="22"/>
              </w:rPr>
            </w:pPr>
            <w:r>
              <w:rPr>
                <w:position w:val="-34"/>
                <w:sz w:val="24"/>
              </w:rPr>
              <w:object>
                <v:shape id="_x0000_i1026" o:spt="75" type="#_x0000_t75" style="height:43.25pt;width:205.1pt;" o:ole="t" filled="f" o:preferrelative="t" stroked="f" coordsize="21600,21600">
                  <v:path/>
                  <v:fill on="f" focussize="0,0"/>
                  <v:stroke on="f"/>
                  <v:imagedata r:id="rId26" o:title=""/>
                  <o:lock v:ext="edit" aspectratio="t"/>
                  <w10:wrap type="none"/>
                  <w10:anchorlock/>
                </v:shape>
                <o:OLEObject Type="Embed" ProgID="Equation.3" ShapeID="_x0000_i1026" DrawAspect="Content" ObjectID="_1468075726" r:id="rId25">
                  <o:LockedField>false</o:LockedField>
                </o:OLEObject>
              </w:object>
            </w:r>
          </w:p>
          <w:p w14:paraId="54FA2CCE">
            <w:pPr>
              <w:spacing w:line="360" w:lineRule="auto"/>
              <w:ind w:firstLine="480" w:firstLineChars="200"/>
              <w:jc w:val="left"/>
              <w:rPr>
                <w:sz w:val="24"/>
              </w:rPr>
            </w:pPr>
            <w:r>
              <w:rPr>
                <w:sz w:val="24"/>
              </w:rPr>
              <w:t>式中：L</w:t>
            </w:r>
            <w:r>
              <w:rPr>
                <w:sz w:val="24"/>
                <w:vertAlign w:val="subscript"/>
              </w:rPr>
              <w:t>eqg</w:t>
            </w:r>
            <w:r>
              <w:rPr>
                <w:sz w:val="24"/>
              </w:rPr>
              <w:t>——建设项目声源在预测点产生的噪声贡献值，dB</w:t>
            </w:r>
            <w:r>
              <w:rPr>
                <w:rFonts w:hint="eastAsia"/>
                <w:sz w:val="24"/>
              </w:rPr>
              <w:t>（A）</w:t>
            </w:r>
            <w:r>
              <w:rPr>
                <w:sz w:val="24"/>
              </w:rPr>
              <w:t>；</w:t>
            </w:r>
          </w:p>
          <w:p w14:paraId="14502331">
            <w:pPr>
              <w:spacing w:line="360" w:lineRule="auto"/>
              <w:ind w:firstLine="1200" w:firstLineChars="500"/>
              <w:jc w:val="left"/>
              <w:rPr>
                <w:sz w:val="24"/>
              </w:rPr>
            </w:pPr>
            <w:r>
              <w:rPr>
                <w:sz w:val="24"/>
              </w:rPr>
              <w:t>T——用于计算等效声级的时间，s；</w:t>
            </w:r>
          </w:p>
          <w:p w14:paraId="5080303C">
            <w:pPr>
              <w:spacing w:line="360" w:lineRule="auto"/>
              <w:ind w:firstLine="1200" w:firstLineChars="500"/>
              <w:rPr>
                <w:sz w:val="24"/>
              </w:rPr>
            </w:pPr>
            <w:r>
              <w:rPr>
                <w:sz w:val="24"/>
              </w:rPr>
              <w:t>N——室外声源个数；</w:t>
            </w:r>
          </w:p>
          <w:p w14:paraId="6DE9825B">
            <w:pPr>
              <w:spacing w:line="360" w:lineRule="auto"/>
              <w:ind w:firstLine="1200" w:firstLineChars="500"/>
              <w:rPr>
                <w:sz w:val="24"/>
              </w:rPr>
            </w:pPr>
            <w:r>
              <w:rPr>
                <w:sz w:val="24"/>
              </w:rPr>
              <w:t>t</w:t>
            </w:r>
            <w:r>
              <w:rPr>
                <w:sz w:val="24"/>
                <w:vertAlign w:val="subscript"/>
              </w:rPr>
              <w:t>i</w:t>
            </w:r>
            <w:r>
              <w:rPr>
                <w:sz w:val="24"/>
              </w:rPr>
              <w:t>——在T时间内i声源工作时间，s；</w:t>
            </w:r>
          </w:p>
          <w:p w14:paraId="0A25F2B0">
            <w:pPr>
              <w:spacing w:line="360" w:lineRule="auto"/>
              <w:ind w:firstLine="1200" w:firstLineChars="500"/>
              <w:rPr>
                <w:sz w:val="24"/>
              </w:rPr>
            </w:pPr>
            <w:r>
              <w:rPr>
                <w:sz w:val="24"/>
              </w:rPr>
              <w:t>M——等效室外声源个数；</w:t>
            </w:r>
          </w:p>
          <w:p w14:paraId="5084D0C1">
            <w:pPr>
              <w:spacing w:line="360" w:lineRule="auto"/>
              <w:ind w:firstLine="1200" w:firstLineChars="500"/>
              <w:rPr>
                <w:kern w:val="0"/>
                <w:sz w:val="24"/>
              </w:rPr>
            </w:pPr>
            <w:r>
              <w:rPr>
                <w:sz w:val="24"/>
              </w:rPr>
              <w:t>t</w:t>
            </w:r>
            <w:r>
              <w:rPr>
                <w:sz w:val="24"/>
                <w:vertAlign w:val="subscript"/>
              </w:rPr>
              <w:t>j</w:t>
            </w:r>
            <w:r>
              <w:rPr>
                <w:sz w:val="24"/>
              </w:rPr>
              <w:t>——在T时间内j声源工作时间，s。</w:t>
            </w:r>
          </w:p>
          <w:p w14:paraId="30A6C09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Times New Roman" w:hAnsi="Times New Roman" w:cs="Times New Roman"/>
                <w:b/>
                <w:bCs w:val="0"/>
                <w:kern w:val="0"/>
                <w:sz w:val="24"/>
                <w:szCs w:val="24"/>
                <w:vertAlign w:val="baseline"/>
                <w:lang w:eastAsia="zh-CN"/>
              </w:rPr>
            </w:pPr>
            <w:r>
              <w:rPr>
                <w:rFonts w:hint="eastAsia" w:ascii="Times New Roman" w:hAnsi="Times New Roman" w:cs="Times New Roman"/>
                <w:b/>
                <w:bCs w:val="0"/>
                <w:kern w:val="0"/>
                <w:sz w:val="24"/>
                <w:szCs w:val="24"/>
                <w:vertAlign w:val="baseline"/>
                <w:lang w:eastAsia="zh-CN"/>
              </w:rPr>
              <w:t>4.2.3.3 噪声影响预测结果</w:t>
            </w:r>
          </w:p>
          <w:p w14:paraId="03380D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lang w:eastAsia="zh-CN"/>
              </w:rPr>
            </w:pPr>
            <w:r>
              <w:rPr>
                <w:rFonts w:hint="eastAsia"/>
                <w:sz w:val="24"/>
                <w:lang w:eastAsia="zh-CN"/>
              </w:rPr>
              <w:t>项目</w:t>
            </w:r>
            <w:r>
              <w:rPr>
                <w:rFonts w:hint="eastAsia"/>
                <w:color w:val="auto"/>
                <w:sz w:val="24"/>
                <w:szCs w:val="24"/>
                <w:highlight w:val="none"/>
                <w:lang w:val="en-US" w:eastAsia="zh-CN"/>
              </w:rPr>
              <w:t>场界</w:t>
            </w:r>
            <w:r>
              <w:rPr>
                <w:rFonts w:hint="eastAsia"/>
                <w:sz w:val="24"/>
                <w:lang w:eastAsia="zh-CN"/>
              </w:rPr>
              <w:t>噪声结果预测结果见下表。</w:t>
            </w:r>
          </w:p>
          <w:p w14:paraId="0A38B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4"/>
                <w:vertAlign w:val="baseline"/>
                <w:lang w:eastAsia="zh-CN"/>
              </w:rPr>
            </w:pPr>
            <w:r>
              <w:rPr>
                <w:rFonts w:hint="eastAsia"/>
                <w:sz w:val="24"/>
                <w:lang w:eastAsia="zh-CN"/>
              </w:rPr>
              <w:t>表4.2-20项目</w:t>
            </w:r>
            <w:r>
              <w:rPr>
                <w:rFonts w:hint="eastAsia"/>
                <w:color w:val="auto"/>
                <w:sz w:val="24"/>
                <w:szCs w:val="24"/>
                <w:highlight w:val="none"/>
                <w:lang w:val="en-US" w:eastAsia="zh-CN"/>
              </w:rPr>
              <w:t>场界</w:t>
            </w:r>
            <w:r>
              <w:rPr>
                <w:rFonts w:hint="eastAsia"/>
                <w:sz w:val="24"/>
                <w:lang w:eastAsia="zh-CN"/>
              </w:rPr>
              <w:t>噪声预测结果表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182"/>
              <w:gridCol w:w="1192"/>
              <w:gridCol w:w="1187"/>
              <w:gridCol w:w="1187"/>
              <w:gridCol w:w="1192"/>
              <w:gridCol w:w="1205"/>
            </w:tblGrid>
            <w:tr w14:paraId="64985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restart"/>
                  <w:tcBorders>
                    <w:tl2br w:val="nil"/>
                    <w:tr2bl w:val="nil"/>
                  </w:tcBorders>
                  <w:vAlign w:val="center"/>
                </w:tcPr>
                <w:p w14:paraId="42927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预测点位置</w:t>
                  </w:r>
                </w:p>
              </w:tc>
              <w:tc>
                <w:tcPr>
                  <w:tcW w:w="1426" w:type="pct"/>
                  <w:gridSpan w:val="2"/>
                  <w:tcBorders>
                    <w:tl2br w:val="nil"/>
                    <w:tr2bl w:val="nil"/>
                  </w:tcBorders>
                  <w:vAlign w:val="center"/>
                </w:tcPr>
                <w:p w14:paraId="43AAA1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vertAlign w:val="baseline"/>
                      <w:lang w:eastAsia="zh-CN"/>
                    </w:rPr>
                  </w:pPr>
                  <w:r>
                    <w:rPr>
                      <w:rFonts w:hint="eastAsia"/>
                      <w:sz w:val="21"/>
                      <w:szCs w:val="21"/>
                      <w:vertAlign w:val="baseline"/>
                      <w:lang w:val="en-US" w:eastAsia="zh-CN"/>
                    </w:rPr>
                    <w:t>设备噪声贡献值</w:t>
                  </w:r>
                  <w:r>
                    <w:rPr>
                      <w:rFonts w:hint="eastAsia" w:cs="Times New Roman"/>
                      <w:b w:val="0"/>
                      <w:bCs/>
                      <w:kern w:val="0"/>
                      <w:sz w:val="21"/>
                      <w:szCs w:val="21"/>
                      <w:vertAlign w:val="baseline"/>
                      <w:lang w:val="en-US" w:eastAsia="zh-CN"/>
                    </w:rPr>
                    <w:t>/dB（A）</w:t>
                  </w:r>
                </w:p>
              </w:tc>
              <w:tc>
                <w:tcPr>
                  <w:tcW w:w="2142" w:type="pct"/>
                  <w:gridSpan w:val="3"/>
                  <w:tcBorders>
                    <w:tl2br w:val="nil"/>
                    <w:tr2bl w:val="nil"/>
                  </w:tcBorders>
                  <w:vAlign w:val="center"/>
                </w:tcPr>
                <w:p w14:paraId="1580F5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标准值</w:t>
                  </w:r>
                  <w:r>
                    <w:rPr>
                      <w:rFonts w:hint="eastAsia" w:cs="Times New Roman"/>
                      <w:b w:val="0"/>
                      <w:bCs/>
                      <w:kern w:val="0"/>
                      <w:sz w:val="21"/>
                      <w:szCs w:val="21"/>
                      <w:vertAlign w:val="baseline"/>
                      <w:lang w:val="en-US" w:eastAsia="zh-CN"/>
                    </w:rPr>
                    <w:t>/dB（A）</w:t>
                  </w:r>
                </w:p>
              </w:tc>
              <w:tc>
                <w:tcPr>
                  <w:tcW w:w="723" w:type="pct"/>
                  <w:vMerge w:val="restart"/>
                  <w:tcBorders>
                    <w:tl2br w:val="nil"/>
                    <w:tr2bl w:val="nil"/>
                  </w:tcBorders>
                  <w:vAlign w:val="center"/>
                </w:tcPr>
                <w:p w14:paraId="51698F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达标情况</w:t>
                  </w:r>
                </w:p>
              </w:tc>
            </w:tr>
            <w:tr w14:paraId="5BC78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vMerge w:val="continue"/>
                  <w:tcBorders>
                    <w:tl2br w:val="nil"/>
                    <w:tr2bl w:val="nil"/>
                  </w:tcBorders>
                  <w:vAlign w:val="center"/>
                </w:tcPr>
                <w:p w14:paraId="76C6C6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p>
              </w:tc>
              <w:tc>
                <w:tcPr>
                  <w:tcW w:w="710" w:type="pct"/>
                  <w:tcBorders>
                    <w:tl2br w:val="nil"/>
                    <w:tr2bl w:val="nil"/>
                  </w:tcBorders>
                  <w:vAlign w:val="center"/>
                </w:tcPr>
                <w:p w14:paraId="023FAF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昼间</w:t>
                  </w:r>
                </w:p>
              </w:tc>
              <w:tc>
                <w:tcPr>
                  <w:tcW w:w="716" w:type="pct"/>
                  <w:tcBorders>
                    <w:tl2br w:val="nil"/>
                    <w:tr2bl w:val="nil"/>
                  </w:tcBorders>
                  <w:vAlign w:val="center"/>
                </w:tcPr>
                <w:p w14:paraId="209EEF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夜间</w:t>
                  </w:r>
                </w:p>
              </w:tc>
              <w:tc>
                <w:tcPr>
                  <w:tcW w:w="713" w:type="pct"/>
                  <w:tcBorders>
                    <w:tl2br w:val="nil"/>
                    <w:tr2bl w:val="nil"/>
                  </w:tcBorders>
                  <w:vAlign w:val="center"/>
                </w:tcPr>
                <w:p w14:paraId="3B2B5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标准</w:t>
                  </w:r>
                </w:p>
              </w:tc>
              <w:tc>
                <w:tcPr>
                  <w:tcW w:w="713" w:type="pct"/>
                  <w:tcBorders>
                    <w:tl2br w:val="nil"/>
                    <w:tr2bl w:val="nil"/>
                  </w:tcBorders>
                  <w:shd w:val="clear" w:color="auto" w:fill="auto"/>
                  <w:vAlign w:val="center"/>
                </w:tcPr>
                <w:p w14:paraId="3F7680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昼间</w:t>
                  </w:r>
                </w:p>
              </w:tc>
              <w:tc>
                <w:tcPr>
                  <w:tcW w:w="716" w:type="pct"/>
                  <w:tcBorders>
                    <w:tl2br w:val="nil"/>
                    <w:tr2bl w:val="nil"/>
                  </w:tcBorders>
                  <w:shd w:val="clear" w:color="auto" w:fill="auto"/>
                  <w:vAlign w:val="center"/>
                </w:tcPr>
                <w:p w14:paraId="35EA73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夜间</w:t>
                  </w:r>
                </w:p>
              </w:tc>
              <w:tc>
                <w:tcPr>
                  <w:tcW w:w="723" w:type="pct"/>
                  <w:vMerge w:val="continue"/>
                  <w:tcBorders>
                    <w:tl2br w:val="nil"/>
                    <w:tr2bl w:val="nil"/>
                  </w:tcBorders>
                  <w:vAlign w:val="center"/>
                </w:tcPr>
                <w:p w14:paraId="2F37B2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vertAlign w:val="baseline"/>
                      <w:lang w:eastAsia="zh-CN"/>
                    </w:rPr>
                  </w:pPr>
                </w:p>
              </w:tc>
            </w:tr>
            <w:tr w14:paraId="3AE99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shd w:val="clear" w:color="auto" w:fill="auto"/>
                  <w:vAlign w:val="center"/>
                </w:tcPr>
                <w:p w14:paraId="67DBEA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北</w:t>
                  </w:r>
                  <w:r>
                    <w:rPr>
                      <w:rFonts w:hint="eastAsia"/>
                      <w:color w:val="auto"/>
                      <w:sz w:val="21"/>
                      <w:szCs w:val="21"/>
                      <w:highlight w:val="none"/>
                      <w:lang w:val="en-US" w:eastAsia="zh-CN"/>
                    </w:rPr>
                    <w:t>场界</w:t>
                  </w:r>
                </w:p>
              </w:tc>
              <w:tc>
                <w:tcPr>
                  <w:tcW w:w="710" w:type="pct"/>
                  <w:tcBorders>
                    <w:tl2br w:val="nil"/>
                    <w:tr2bl w:val="nil"/>
                  </w:tcBorders>
                  <w:shd w:val="clear" w:color="auto" w:fill="auto"/>
                  <w:vAlign w:val="center"/>
                </w:tcPr>
                <w:p w14:paraId="27D869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47.17</w:t>
                  </w:r>
                </w:p>
              </w:tc>
              <w:tc>
                <w:tcPr>
                  <w:tcW w:w="716" w:type="pct"/>
                  <w:tcBorders>
                    <w:tl2br w:val="nil"/>
                    <w:tr2bl w:val="nil"/>
                  </w:tcBorders>
                  <w:shd w:val="clear" w:color="auto" w:fill="auto"/>
                  <w:vAlign w:val="center"/>
                </w:tcPr>
                <w:p w14:paraId="319760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47.17</w:t>
                  </w:r>
                </w:p>
              </w:tc>
              <w:tc>
                <w:tcPr>
                  <w:tcW w:w="713" w:type="pct"/>
                  <w:tcBorders>
                    <w:tl2br w:val="nil"/>
                    <w:tr2bl w:val="nil"/>
                  </w:tcBorders>
                  <w:shd w:val="clear" w:color="auto" w:fill="auto"/>
                  <w:vAlign w:val="center"/>
                </w:tcPr>
                <w:p w14:paraId="31689A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4类</w:t>
                  </w:r>
                </w:p>
              </w:tc>
              <w:tc>
                <w:tcPr>
                  <w:tcW w:w="713" w:type="pct"/>
                  <w:tcBorders>
                    <w:tl2br w:val="nil"/>
                    <w:tr2bl w:val="nil"/>
                  </w:tcBorders>
                  <w:shd w:val="clear" w:color="auto" w:fill="auto"/>
                  <w:vAlign w:val="center"/>
                </w:tcPr>
                <w:p w14:paraId="54F660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70</w:t>
                  </w:r>
                </w:p>
              </w:tc>
              <w:tc>
                <w:tcPr>
                  <w:tcW w:w="716" w:type="pct"/>
                  <w:tcBorders>
                    <w:tl2br w:val="nil"/>
                    <w:tr2bl w:val="nil"/>
                  </w:tcBorders>
                  <w:shd w:val="clear" w:color="auto" w:fill="auto"/>
                  <w:vAlign w:val="center"/>
                </w:tcPr>
                <w:p w14:paraId="380BB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55</w:t>
                  </w:r>
                </w:p>
              </w:tc>
              <w:tc>
                <w:tcPr>
                  <w:tcW w:w="723" w:type="pct"/>
                  <w:tcBorders>
                    <w:tl2br w:val="nil"/>
                    <w:tr2bl w:val="nil"/>
                  </w:tcBorders>
                  <w:shd w:val="clear" w:color="auto" w:fill="auto"/>
                  <w:vAlign w:val="center"/>
                </w:tcPr>
                <w:p w14:paraId="59D034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达标</w:t>
                  </w:r>
                </w:p>
              </w:tc>
            </w:tr>
            <w:tr w14:paraId="297FA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7" w:type="pct"/>
                  <w:tcBorders>
                    <w:tl2br w:val="nil"/>
                    <w:tr2bl w:val="nil"/>
                  </w:tcBorders>
                  <w:shd w:val="clear" w:color="auto" w:fill="auto"/>
                  <w:vAlign w:val="center"/>
                </w:tcPr>
                <w:p w14:paraId="13EC6F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东</w:t>
                  </w:r>
                  <w:r>
                    <w:rPr>
                      <w:rFonts w:hint="eastAsia"/>
                      <w:color w:val="auto"/>
                      <w:sz w:val="21"/>
                      <w:szCs w:val="21"/>
                      <w:highlight w:val="none"/>
                      <w:lang w:val="en-US" w:eastAsia="zh-CN"/>
                    </w:rPr>
                    <w:t>场界</w:t>
                  </w:r>
                </w:p>
              </w:tc>
              <w:tc>
                <w:tcPr>
                  <w:tcW w:w="710" w:type="pct"/>
                  <w:tcBorders>
                    <w:tl2br w:val="nil"/>
                    <w:tr2bl w:val="nil"/>
                  </w:tcBorders>
                  <w:shd w:val="clear" w:color="auto" w:fill="auto"/>
                  <w:vAlign w:val="center"/>
                </w:tcPr>
                <w:p w14:paraId="0B001F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47.17</w:t>
                  </w:r>
                </w:p>
              </w:tc>
              <w:tc>
                <w:tcPr>
                  <w:tcW w:w="716" w:type="pct"/>
                  <w:tcBorders>
                    <w:tl2br w:val="nil"/>
                    <w:tr2bl w:val="nil"/>
                  </w:tcBorders>
                  <w:shd w:val="clear" w:color="auto" w:fill="auto"/>
                  <w:vAlign w:val="center"/>
                </w:tcPr>
                <w:p w14:paraId="4C6B4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cs="Times New Roman"/>
                      <w:kern w:val="2"/>
                      <w:sz w:val="21"/>
                      <w:szCs w:val="21"/>
                      <w:vertAlign w:val="baseline"/>
                      <w:lang w:val="en-US" w:eastAsia="zh-CN" w:bidi="ar-SA"/>
                    </w:rPr>
                    <w:t>47.17</w:t>
                  </w:r>
                </w:p>
              </w:tc>
              <w:tc>
                <w:tcPr>
                  <w:tcW w:w="713" w:type="pct"/>
                  <w:tcBorders>
                    <w:tl2br w:val="nil"/>
                    <w:tr2bl w:val="nil"/>
                  </w:tcBorders>
                  <w:shd w:val="clear" w:color="auto" w:fill="auto"/>
                  <w:vAlign w:val="center"/>
                </w:tcPr>
                <w:p w14:paraId="55C6C9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4类</w:t>
                  </w:r>
                </w:p>
              </w:tc>
              <w:tc>
                <w:tcPr>
                  <w:tcW w:w="713" w:type="pct"/>
                  <w:tcBorders>
                    <w:tl2br w:val="nil"/>
                    <w:tr2bl w:val="nil"/>
                  </w:tcBorders>
                  <w:shd w:val="clear" w:color="auto" w:fill="auto"/>
                  <w:vAlign w:val="center"/>
                </w:tcPr>
                <w:p w14:paraId="406552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70</w:t>
                  </w:r>
                </w:p>
              </w:tc>
              <w:tc>
                <w:tcPr>
                  <w:tcW w:w="716" w:type="pct"/>
                  <w:tcBorders>
                    <w:tl2br w:val="nil"/>
                    <w:tr2bl w:val="nil"/>
                  </w:tcBorders>
                  <w:shd w:val="clear" w:color="auto" w:fill="auto"/>
                  <w:vAlign w:val="center"/>
                </w:tcPr>
                <w:p w14:paraId="790923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55</w:t>
                  </w:r>
                </w:p>
              </w:tc>
              <w:tc>
                <w:tcPr>
                  <w:tcW w:w="723" w:type="pct"/>
                  <w:tcBorders>
                    <w:tl2br w:val="nil"/>
                    <w:tr2bl w:val="nil"/>
                  </w:tcBorders>
                  <w:shd w:val="clear" w:color="auto" w:fill="auto"/>
                  <w:vAlign w:val="center"/>
                </w:tcPr>
                <w:p w14:paraId="2F536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达标</w:t>
                  </w:r>
                </w:p>
              </w:tc>
            </w:tr>
            <w:tr w14:paraId="30D0D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vAlign w:val="center"/>
                </w:tcPr>
                <w:p w14:paraId="6E86E890">
                  <w:pPr>
                    <w:pStyle w:val="49"/>
                    <w:jc w:val="both"/>
                    <w:rPr>
                      <w:rFonts w:hint="eastAsia"/>
                      <w:color w:val="auto"/>
                      <w:highlight w:val="none"/>
                      <w:lang w:val="en-US" w:eastAsia="zh-CN"/>
                    </w:rPr>
                  </w:pPr>
                  <w:r>
                    <w:rPr>
                      <w:rFonts w:hint="eastAsia"/>
                      <w:color w:val="auto"/>
                      <w:highlight w:val="none"/>
                      <w:lang w:val="en-US" w:eastAsia="zh-CN"/>
                    </w:rPr>
                    <w:t>注：①本项目西侧场界为其他商铺，南侧为恒大绿岛新城B区地下，因此，本次评价不对南侧和西侧场界进行预测评价；</w:t>
                  </w:r>
                </w:p>
                <w:p w14:paraId="5D211937">
                  <w:pPr>
                    <w:pStyle w:val="49"/>
                    <w:jc w:val="both"/>
                    <w:rPr>
                      <w:rFonts w:hint="eastAsia"/>
                      <w:color w:val="auto"/>
                      <w:highlight w:val="none"/>
                      <w:lang w:val="en-US" w:eastAsia="zh-CN"/>
                    </w:rPr>
                  </w:pPr>
                  <w:r>
                    <w:rPr>
                      <w:rFonts w:hint="eastAsia"/>
                      <w:color w:val="auto"/>
                      <w:highlight w:val="none"/>
                      <w:lang w:val="en-US" w:eastAsia="zh-CN"/>
                    </w:rPr>
                    <w:t>②东侧和北侧噪声排放标准执行《工业企业厂界环境噪声排放标准》（GB 12348-2008）中4类标准；</w:t>
                  </w:r>
                </w:p>
                <w:p w14:paraId="597EFF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sz w:val="21"/>
                      <w:szCs w:val="21"/>
                      <w:vertAlign w:val="baseline"/>
                      <w:lang w:val="en-US" w:eastAsia="zh-CN"/>
                    </w:rPr>
                  </w:pPr>
                  <w:r>
                    <w:rPr>
                      <w:rFonts w:hint="eastAsia"/>
                      <w:color w:val="auto"/>
                      <w:highlight w:val="none"/>
                      <w:lang w:val="en-US" w:eastAsia="zh-CN"/>
                    </w:rPr>
                    <w:t>③本项目虽夜间不营业，但有住院宠物，因此夜间噪声也进行监测。</w:t>
                  </w:r>
                </w:p>
              </w:tc>
            </w:tr>
          </w:tbl>
          <w:p w14:paraId="47086C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lang w:eastAsia="zh-CN"/>
              </w:rPr>
            </w:pPr>
            <w:r>
              <w:rPr>
                <w:rFonts w:hint="eastAsia"/>
                <w:sz w:val="24"/>
                <w:lang w:eastAsia="zh-CN"/>
              </w:rPr>
              <w:t>由上表可知：项目运营期间</w:t>
            </w:r>
            <w:r>
              <w:rPr>
                <w:rFonts w:hint="eastAsia"/>
                <w:color w:val="auto"/>
                <w:sz w:val="24"/>
                <w:szCs w:val="24"/>
                <w:highlight w:val="none"/>
                <w:lang w:val="en-US" w:eastAsia="zh-CN"/>
              </w:rPr>
              <w:t>场界</w:t>
            </w:r>
            <w:r>
              <w:rPr>
                <w:rFonts w:hint="eastAsia"/>
                <w:sz w:val="24"/>
                <w:lang w:eastAsia="zh-CN"/>
              </w:rPr>
              <w:t>能满足《工业企业厂界环境噪声排放标准》中</w:t>
            </w:r>
            <w:r>
              <w:rPr>
                <w:rFonts w:hint="eastAsia"/>
                <w:sz w:val="24"/>
                <w:highlight w:val="none"/>
                <w:lang w:val="en-US" w:eastAsia="zh-CN"/>
              </w:rPr>
              <w:t>4</w:t>
            </w:r>
            <w:r>
              <w:rPr>
                <w:rFonts w:hint="eastAsia"/>
                <w:sz w:val="24"/>
                <w:highlight w:val="none"/>
                <w:lang w:eastAsia="zh-CN"/>
              </w:rPr>
              <w:t>类</w:t>
            </w:r>
            <w:r>
              <w:rPr>
                <w:rFonts w:hint="eastAsia"/>
                <w:sz w:val="24"/>
                <w:lang w:eastAsia="zh-CN"/>
              </w:rPr>
              <w:t>标准。项目周边主要为居民、商业区，通过采取上述噪声防治措施，</w:t>
            </w:r>
            <w:r>
              <w:rPr>
                <w:rFonts w:hint="eastAsia"/>
                <w:color w:val="auto"/>
                <w:sz w:val="24"/>
                <w:szCs w:val="24"/>
                <w:highlight w:val="none"/>
                <w:lang w:val="en-US" w:eastAsia="zh-CN"/>
              </w:rPr>
              <w:t>场界</w:t>
            </w:r>
            <w:r>
              <w:rPr>
                <w:rFonts w:hint="eastAsia"/>
                <w:sz w:val="24"/>
                <w:lang w:eastAsia="zh-CN"/>
              </w:rPr>
              <w:t>噪声可实现达标排放，</w:t>
            </w:r>
            <w:r>
              <w:rPr>
                <w:rFonts w:hint="eastAsia"/>
                <w:sz w:val="24"/>
                <w:lang w:val="en-US" w:eastAsia="zh-CN"/>
              </w:rPr>
              <w:t>对周围环境影响较小</w:t>
            </w:r>
            <w:r>
              <w:rPr>
                <w:rFonts w:hint="eastAsia"/>
                <w:sz w:val="24"/>
                <w:lang w:eastAsia="zh-CN"/>
              </w:rPr>
              <w:t>。</w:t>
            </w:r>
          </w:p>
          <w:p w14:paraId="35362C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highlight w:val="none"/>
                <w:lang w:eastAsia="zh-CN"/>
              </w:rPr>
            </w:pPr>
            <w:r>
              <w:rPr>
                <w:rFonts w:hint="eastAsia"/>
                <w:sz w:val="24"/>
                <w:highlight w:val="none"/>
                <w:lang w:eastAsia="zh-CN"/>
              </w:rPr>
              <w:t>现状监测时噪声结果已包括本项目贡献值，故不必再叠加项目贡献值预测项目50m范围内声环境保护目标的噪声。根据监测结果可知，噪声昼间</w:t>
            </w:r>
            <w:r>
              <w:rPr>
                <w:rFonts w:hint="eastAsia"/>
                <w:sz w:val="24"/>
                <w:highlight w:val="none"/>
                <w:lang w:val="en-US" w:eastAsia="zh-CN"/>
              </w:rPr>
              <w:t>和夜间</w:t>
            </w:r>
            <w:r>
              <w:rPr>
                <w:rFonts w:hint="eastAsia"/>
                <w:sz w:val="24"/>
                <w:highlight w:val="none"/>
                <w:lang w:eastAsia="zh-CN"/>
              </w:rPr>
              <w:t>满足《声环境质量标准》(GB3096-2008)中</w:t>
            </w:r>
            <w:r>
              <w:rPr>
                <w:rFonts w:hint="eastAsia"/>
                <w:sz w:val="24"/>
                <w:highlight w:val="none"/>
                <w:lang w:val="en-US" w:eastAsia="zh-CN"/>
              </w:rPr>
              <w:t>4a类</w:t>
            </w:r>
            <w:r>
              <w:rPr>
                <w:rFonts w:hint="eastAsia"/>
                <w:sz w:val="24"/>
                <w:highlight w:val="none"/>
                <w:lang w:eastAsia="zh-CN"/>
              </w:rPr>
              <w:t>标准限值，项目建成后营运期影响较小。</w:t>
            </w:r>
          </w:p>
          <w:p w14:paraId="7B3160F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lang w:eastAsia="zh-CN"/>
              </w:rPr>
            </w:pPr>
            <w:r>
              <w:rPr>
                <w:rFonts w:hint="eastAsia"/>
                <w:b/>
                <w:bCs/>
                <w:sz w:val="24"/>
                <w:lang w:eastAsia="zh-CN"/>
              </w:rPr>
              <w:t>4.2.3.4 防治措施</w:t>
            </w:r>
          </w:p>
          <w:p w14:paraId="301A62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①空调选择低噪声设备，空调外机放置在物业统一规定的位置，基础减振等措施。</w:t>
            </w:r>
          </w:p>
          <w:p w14:paraId="3D86E77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②诊疗设备选用低噪声设备，采取基础减振。</w:t>
            </w:r>
          </w:p>
          <w:p w14:paraId="39C0A5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③为了防止动物偶发噪声对周边环境保护目标造成影响，项目针对住院房间采取具体的降噪措施如下：</w:t>
            </w:r>
          </w:p>
          <w:p w14:paraId="69CEB2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eastAsia="zh-CN"/>
              </w:rPr>
              <w:t>A.</w:t>
            </w:r>
            <w:r>
              <w:rPr>
                <w:rFonts w:hint="eastAsia"/>
                <w:b w:val="0"/>
                <w:bCs w:val="0"/>
                <w:sz w:val="24"/>
                <w:lang w:val="en-US" w:eastAsia="zh-CN"/>
              </w:rPr>
              <w:t>隔离室</w:t>
            </w:r>
            <w:r>
              <w:rPr>
                <w:rFonts w:hint="eastAsia"/>
                <w:b w:val="0"/>
                <w:bCs w:val="0"/>
                <w:sz w:val="24"/>
                <w:lang w:eastAsia="zh-CN"/>
              </w:rPr>
              <w:t>无窗，仅设朝医院内部的门，墙体为一般砖混结构墙体厚度约30cm，具有一定的隔声效果。</w:t>
            </w:r>
            <w:r>
              <w:rPr>
                <w:rFonts w:hint="eastAsia"/>
                <w:b w:val="0"/>
                <w:bCs w:val="0"/>
                <w:sz w:val="24"/>
                <w:lang w:val="en-US" w:eastAsia="zh-CN"/>
              </w:rPr>
              <w:t>住院区有面对道路的窗户，保持关闭状态，通过空调通风</w:t>
            </w:r>
            <w:r>
              <w:rPr>
                <w:rFonts w:hint="eastAsia"/>
                <w:b w:val="0"/>
                <w:bCs w:val="0"/>
                <w:sz w:val="24"/>
                <w:lang w:eastAsia="zh-CN"/>
              </w:rPr>
              <w:t>，墙体为一般砖混结构墙体厚度约30cm，具有一定的隔声效果。</w:t>
            </w:r>
          </w:p>
          <w:p w14:paraId="6E9056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B.住院留观的宠物都必须佩戴嘴套，同时加强管理，避免其处于饥饿状态。项目采取以上措施后，场界噪声可满足《工业企业厂界环境噪声排放标准》（GB12348-2008）</w:t>
            </w:r>
            <w:r>
              <w:rPr>
                <w:rFonts w:hint="eastAsia"/>
                <w:b w:val="0"/>
                <w:bCs w:val="0"/>
                <w:sz w:val="24"/>
                <w:lang w:val="en-US" w:eastAsia="zh-CN"/>
              </w:rPr>
              <w:t>4</w:t>
            </w:r>
            <w:r>
              <w:rPr>
                <w:rFonts w:hint="eastAsia"/>
                <w:b w:val="0"/>
                <w:bCs w:val="0"/>
                <w:sz w:val="24"/>
                <w:lang w:eastAsia="zh-CN"/>
              </w:rPr>
              <w:t>类标准要求。</w:t>
            </w:r>
          </w:p>
          <w:p w14:paraId="72BC209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lang w:eastAsia="zh-CN"/>
              </w:rPr>
            </w:pPr>
            <w:r>
              <w:rPr>
                <w:rFonts w:hint="eastAsia"/>
                <w:b/>
                <w:bCs/>
                <w:sz w:val="24"/>
                <w:lang w:eastAsia="zh-CN"/>
              </w:rPr>
              <w:t>4.2.3.5 噪声监测计划</w:t>
            </w:r>
          </w:p>
          <w:p w14:paraId="33B001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根据《排污许可申请与核发技术规范 总则》（HJ942-2018）、《排污单位自行监测技术指南 总则》（HJ819-2017）等文件，项目噪声监测要求见下表。</w:t>
            </w:r>
          </w:p>
          <w:p w14:paraId="6F0DD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4"/>
                <w:vertAlign w:val="baseline"/>
                <w:lang w:eastAsia="zh-CN"/>
              </w:rPr>
            </w:pPr>
            <w:r>
              <w:rPr>
                <w:rFonts w:hint="eastAsia"/>
                <w:b w:val="0"/>
                <w:bCs w:val="0"/>
                <w:sz w:val="24"/>
                <w:lang w:eastAsia="zh-CN"/>
              </w:rPr>
              <w:t>表4.2-21 噪声监测要求一览表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1688"/>
              <w:gridCol w:w="2081"/>
              <w:gridCol w:w="2082"/>
            </w:tblGrid>
            <w:tr w14:paraId="32C17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4" w:type="pct"/>
                  <w:tcBorders>
                    <w:tl2br w:val="nil"/>
                    <w:tr2bl w:val="nil"/>
                  </w:tcBorders>
                  <w:vAlign w:val="center"/>
                </w:tcPr>
                <w:p w14:paraId="1FCCD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监测点位</w:t>
                  </w:r>
                </w:p>
              </w:tc>
              <w:tc>
                <w:tcPr>
                  <w:tcW w:w="1014" w:type="pct"/>
                  <w:tcBorders>
                    <w:tl2br w:val="nil"/>
                    <w:tr2bl w:val="nil"/>
                  </w:tcBorders>
                  <w:vAlign w:val="center"/>
                </w:tcPr>
                <w:p w14:paraId="1AC34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vertAlign w:val="baseline"/>
                      <w:lang w:eastAsia="zh-CN"/>
                    </w:rPr>
                  </w:pPr>
                  <w:r>
                    <w:rPr>
                      <w:rFonts w:hint="eastAsia"/>
                      <w:b w:val="0"/>
                      <w:bCs w:val="0"/>
                      <w:sz w:val="21"/>
                      <w:szCs w:val="21"/>
                      <w:vertAlign w:val="baseline"/>
                      <w:lang w:eastAsia="zh-CN"/>
                    </w:rPr>
                    <w:t>监测因子</w:t>
                  </w:r>
                </w:p>
              </w:tc>
              <w:tc>
                <w:tcPr>
                  <w:tcW w:w="1250" w:type="pct"/>
                  <w:tcBorders>
                    <w:tl2br w:val="nil"/>
                    <w:tr2bl w:val="nil"/>
                  </w:tcBorders>
                  <w:vAlign w:val="center"/>
                </w:tcPr>
                <w:p w14:paraId="201A5C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监测频率</w:t>
                  </w:r>
                </w:p>
              </w:tc>
              <w:tc>
                <w:tcPr>
                  <w:tcW w:w="1250" w:type="pct"/>
                  <w:tcBorders>
                    <w:tl2br w:val="nil"/>
                    <w:tr2bl w:val="nil"/>
                  </w:tcBorders>
                  <w:vAlign w:val="center"/>
                </w:tcPr>
                <w:p w14:paraId="0C61FC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执行标准</w:t>
                  </w:r>
                </w:p>
              </w:tc>
            </w:tr>
            <w:tr w14:paraId="2EE1D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4" w:type="pct"/>
                  <w:tcBorders>
                    <w:tl2br w:val="nil"/>
                    <w:tr2bl w:val="nil"/>
                  </w:tcBorders>
                  <w:vAlign w:val="center"/>
                </w:tcPr>
                <w:p w14:paraId="5CAD72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vertAlign w:val="baseline"/>
                      <w:lang w:eastAsia="zh-CN"/>
                    </w:rPr>
                  </w:pPr>
                  <w:r>
                    <w:rPr>
                      <w:rFonts w:hint="eastAsia"/>
                      <w:b w:val="0"/>
                      <w:bCs w:val="0"/>
                      <w:sz w:val="21"/>
                      <w:szCs w:val="21"/>
                      <w:vertAlign w:val="baseline"/>
                      <w:lang w:eastAsia="zh-CN"/>
                    </w:rPr>
                    <w:t>项目</w:t>
                  </w:r>
                  <w:r>
                    <w:rPr>
                      <w:rFonts w:hint="eastAsia"/>
                      <w:color w:val="auto"/>
                      <w:sz w:val="21"/>
                      <w:szCs w:val="21"/>
                      <w:highlight w:val="none"/>
                      <w:lang w:val="en-US" w:eastAsia="zh-CN"/>
                    </w:rPr>
                    <w:t>场界</w:t>
                  </w:r>
                  <w:r>
                    <w:rPr>
                      <w:rFonts w:hint="eastAsia"/>
                      <w:b w:val="0"/>
                      <w:bCs w:val="0"/>
                      <w:sz w:val="21"/>
                      <w:szCs w:val="21"/>
                      <w:vertAlign w:val="baseline"/>
                      <w:lang w:eastAsia="zh-CN"/>
                    </w:rPr>
                    <w:t>外 1m 外</w:t>
                  </w:r>
                </w:p>
              </w:tc>
              <w:tc>
                <w:tcPr>
                  <w:tcW w:w="1014" w:type="pct"/>
                  <w:tcBorders>
                    <w:tl2br w:val="nil"/>
                    <w:tr2bl w:val="nil"/>
                  </w:tcBorders>
                  <w:vAlign w:val="center"/>
                </w:tcPr>
                <w:p w14:paraId="45997D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昼、夜间等效声级</w:t>
                  </w:r>
                </w:p>
              </w:tc>
              <w:tc>
                <w:tcPr>
                  <w:tcW w:w="1250" w:type="pct"/>
                  <w:tcBorders>
                    <w:tl2br w:val="nil"/>
                    <w:tr2bl w:val="nil"/>
                  </w:tcBorders>
                  <w:vAlign w:val="center"/>
                </w:tcPr>
                <w:p w14:paraId="31593B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1次/季度</w:t>
                  </w:r>
                </w:p>
              </w:tc>
              <w:tc>
                <w:tcPr>
                  <w:tcW w:w="1250" w:type="pct"/>
                  <w:tcBorders>
                    <w:tl2br w:val="nil"/>
                    <w:tr2bl w:val="nil"/>
                  </w:tcBorders>
                  <w:vAlign w:val="center"/>
                </w:tcPr>
                <w:p w14:paraId="2CD5B8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vertAlign w:val="baseline"/>
                      <w:lang w:eastAsia="zh-CN"/>
                    </w:rPr>
                  </w:pPr>
                  <w:r>
                    <w:rPr>
                      <w:rFonts w:hint="eastAsia"/>
                      <w:b w:val="0"/>
                      <w:bCs w:val="0"/>
                      <w:sz w:val="21"/>
                      <w:szCs w:val="21"/>
                      <w:vertAlign w:val="baseline"/>
                      <w:lang w:eastAsia="zh-CN"/>
                    </w:rPr>
                    <w:t>《工业企业厂界环境噪声排放标准》（GB12348-2008）4 类标准</w:t>
                  </w:r>
                </w:p>
              </w:tc>
            </w:tr>
          </w:tbl>
          <w:p w14:paraId="06CDE9F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lang w:eastAsia="zh-CN"/>
              </w:rPr>
            </w:pPr>
            <w:r>
              <w:rPr>
                <w:rFonts w:hint="eastAsia"/>
                <w:b/>
                <w:bCs/>
                <w:sz w:val="24"/>
                <w:lang w:eastAsia="zh-CN"/>
              </w:rPr>
              <w:t>4.2.4 固废</w:t>
            </w:r>
          </w:p>
          <w:p w14:paraId="31E6C94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lang w:eastAsia="zh-CN"/>
              </w:rPr>
            </w:pPr>
            <w:r>
              <w:rPr>
                <w:rFonts w:hint="eastAsia"/>
                <w:b/>
                <w:bCs/>
                <w:sz w:val="24"/>
                <w:lang w:eastAsia="zh-CN"/>
              </w:rPr>
              <w:t>4.2.4.1 固体废物排放信息</w:t>
            </w:r>
          </w:p>
          <w:p w14:paraId="5BE4C1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项目营运期固体废物主要包括一般固体废物（动物粪污）、危险废物（医疗废物、废紫外灯管）、动物尸体、生活垃圾等；其中医疗废物主要包括感染性废物、损伤性废物、化学性废物、药物性废物、病理性药物等等。</w:t>
            </w:r>
          </w:p>
          <w:p w14:paraId="412CE3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1</w:t>
            </w:r>
            <w:r>
              <w:rPr>
                <w:rFonts w:hint="eastAsia"/>
                <w:b w:val="0"/>
                <w:bCs w:val="0"/>
                <w:sz w:val="24"/>
                <w:lang w:eastAsia="zh-CN"/>
              </w:rPr>
              <w:t>）一般固体废物</w:t>
            </w:r>
          </w:p>
          <w:p w14:paraId="5DB9FE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eastAsia="zh-CN"/>
              </w:rPr>
              <w:t>本项目</w:t>
            </w:r>
            <w:r>
              <w:rPr>
                <w:rFonts w:hint="eastAsia"/>
                <w:b w:val="0"/>
                <w:bCs w:val="0"/>
                <w:sz w:val="24"/>
                <w:lang w:val="en-US" w:eastAsia="zh-CN"/>
              </w:rPr>
              <w:t>运营</w:t>
            </w:r>
            <w:r>
              <w:rPr>
                <w:rFonts w:hint="eastAsia"/>
                <w:b w:val="0"/>
                <w:bCs w:val="0"/>
                <w:sz w:val="24"/>
                <w:lang w:eastAsia="zh-CN"/>
              </w:rPr>
              <w:t>过程中产生的一般工业固体废物主要为</w:t>
            </w:r>
            <w:r>
              <w:rPr>
                <w:rFonts w:hint="eastAsia"/>
                <w:b w:val="0"/>
                <w:bCs w:val="0"/>
                <w:sz w:val="24"/>
                <w:lang w:val="en-US" w:eastAsia="zh-CN"/>
              </w:rPr>
              <w:t>宠物粪污、动物尸体和废包装材料、制氧机废分子筛。</w:t>
            </w:r>
          </w:p>
          <w:p w14:paraId="15D5A1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eastAsia="zh-CN"/>
              </w:rPr>
              <w:t>①</w:t>
            </w:r>
            <w:r>
              <w:rPr>
                <w:rFonts w:hint="eastAsia"/>
                <w:b w:val="0"/>
                <w:bCs w:val="0"/>
                <w:sz w:val="24"/>
                <w:lang w:val="en-US" w:eastAsia="zh-CN"/>
              </w:rPr>
              <w:t>宠物粪污</w:t>
            </w:r>
          </w:p>
          <w:p w14:paraId="78E536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val="en-US" w:eastAsia="zh-CN"/>
              </w:rPr>
              <w:t>本项目门诊日最大接诊量为14只（猫8只，犬6只），日最大住院量为26只（猫16只，犬10只）。诊疗的宠物均经过排便训练，猫诊疗及住院期间产生的粪便与尿液均可使用猫砂盒收集，工作人员及时清理猫砂盒，清理出的猫砂喷洒消毒剂后紧袋收集，定期交由当地环卫部门进行处理，含粪便与尿液的猫砂产生量按照0.8kg/只猫·d计，本项目每日猫最大就诊与住院量按24只计，则猫粪污产生量约19.2kg/d（7.008t/a）；犬诊疗与住院期间排污采取干湿分离，尿液经消毒设施预处理后直接进入恒大绿岛新城B区生化池，粪便喷洒消毒剂后紧袋收集，定期交由当地环卫部门进行处理，犬粪便按照0.05kg/只犬·d计，本项目每日犬最大就诊与住院量按16只计，则犬粪污产生量约0.8kg/d（0.292t/a）。因此，本项目宠物粪污产生量约20kg/d（7.3t/a）。</w:t>
            </w:r>
          </w:p>
          <w:p w14:paraId="6A4B8F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val="en-US" w:eastAsia="zh-CN"/>
              </w:rPr>
              <w:t>②动物尸体</w:t>
            </w:r>
          </w:p>
          <w:p w14:paraId="560F36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本</w:t>
            </w:r>
            <w:r>
              <w:rPr>
                <w:rFonts w:hint="eastAsia"/>
                <w:b w:val="0"/>
                <w:bCs w:val="0"/>
                <w:sz w:val="24"/>
                <w:lang w:eastAsia="zh-CN"/>
              </w:rPr>
              <w:t>项目日常工作主要是诊断治疗动物普通病和突发病，若遇动物安乐死或者不治身亡现象，产生的动物尸体不得随意处置，</w:t>
            </w:r>
            <w:r>
              <w:rPr>
                <w:rFonts w:hint="eastAsia"/>
                <w:b w:val="0"/>
                <w:bCs w:val="0"/>
                <w:sz w:val="24"/>
                <w:lang w:val="en-US" w:eastAsia="zh-CN"/>
              </w:rPr>
              <w:t>根据《关于病害动物无害化处理有关意见的复函》（环办函〔2014〕789号）“三、我部认为病害动物无害化处理项目由农业部门按照有关法律法规和技术规范进行监管，可以实现病害动物无害化处理和环境污染防控的目的，不宜在认定为危险废物集中处置项目”。</w:t>
            </w:r>
          </w:p>
          <w:p w14:paraId="1018FE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b w:val="0"/>
                <w:bCs w:val="0"/>
                <w:sz w:val="24"/>
                <w:lang w:eastAsia="zh-CN"/>
              </w:rPr>
              <w:t>按照《中华人民共和国动物防疫法》规定，对于病死动物尸体应当按照兽医主管部门的规定进行无害化处理，《病死及病害动物无害化处理技术规范》（农医发〔2017〕25号）明确了病死及病害动物无害化处理的技术要求。根据《重庆市动物防疫条例》第一章第二十三条和第二十五条，“从事动物饲养、屠宰、经营、隔离、运输的单位和个人应当对病死或者死因不明的动物尸体进行无害化处理”。</w:t>
            </w:r>
            <w:r>
              <w:rPr>
                <w:rFonts w:hint="eastAsia"/>
                <w:b w:val="0"/>
                <w:bCs w:val="0"/>
                <w:sz w:val="24"/>
                <w:lang w:val="en-US" w:eastAsia="zh-CN"/>
              </w:rPr>
              <w:t>针对动物尸体的无害化处理，卫健委主要是依托动物诊疗机构为前沿阵地开展宣传：宠物主人可以按照农业部印发的《病死及病害无害化处理技术规范》的通知（农医发201725号）文件要求对动物尸体自行处理；宠物主人无法自行处理的动物尸体需进行动物尸体的无害化处理，动物尸体不在医院暂存，一旦产生动物尸体，与动物组织一并交</w:t>
            </w:r>
            <w:r>
              <w:rPr>
                <w:rFonts w:hint="eastAsia" w:cs="Times New Roman"/>
                <w:b w:val="0"/>
                <w:bCs w:val="0"/>
                <w:sz w:val="24"/>
                <w:szCs w:val="24"/>
                <w:highlight w:val="none"/>
                <w:vertAlign w:val="baseline"/>
                <w:lang w:eastAsia="zh-CN"/>
              </w:rPr>
              <w:t>重庆市正羽环保科技有限公司</w:t>
            </w:r>
            <w:r>
              <w:rPr>
                <w:rFonts w:hint="eastAsia"/>
                <w:b w:val="0"/>
                <w:bCs w:val="0"/>
                <w:sz w:val="24"/>
                <w:lang w:eastAsia="zh-CN"/>
              </w:rPr>
              <w:t>进行无害化处置</w:t>
            </w:r>
            <w:r>
              <w:rPr>
                <w:rFonts w:hint="eastAsia"/>
                <w:b w:val="0"/>
                <w:bCs w:val="0"/>
                <w:sz w:val="24"/>
                <w:lang w:val="en-US" w:eastAsia="zh-CN"/>
              </w:rPr>
              <w:t>。</w:t>
            </w:r>
          </w:p>
          <w:p w14:paraId="12FF0F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default" w:ascii="Times New Roman" w:hAnsi="Times New Roman" w:eastAsia="微软雅黑" w:cs="Times New Roman"/>
                <w:b w:val="0"/>
                <w:bCs w:val="0"/>
                <w:sz w:val="24"/>
                <w:lang w:val="en-US" w:eastAsia="zh-CN"/>
              </w:rPr>
              <w:t>③</w:t>
            </w:r>
            <w:r>
              <w:rPr>
                <w:rFonts w:hint="eastAsia"/>
                <w:b w:val="0"/>
                <w:bCs w:val="0"/>
                <w:sz w:val="24"/>
                <w:lang w:val="en-US" w:eastAsia="zh-CN"/>
              </w:rPr>
              <w:t>废包装材料</w:t>
            </w:r>
          </w:p>
          <w:p w14:paraId="05B8B4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本项目各类药品、试剂盒脱袋过程中会产生少量的废包装材料，主要为塑料袋和纸箱等，</w:t>
            </w:r>
            <w:r>
              <w:rPr>
                <w:rFonts w:hint="eastAsia"/>
                <w:b w:val="0"/>
                <w:bCs w:val="0"/>
                <w:sz w:val="24"/>
                <w:lang w:eastAsia="zh-CN"/>
              </w:rPr>
              <w:t>废包装材料产生量约为</w:t>
            </w:r>
            <w:r>
              <w:rPr>
                <w:rFonts w:hint="eastAsia"/>
                <w:b w:val="0"/>
                <w:bCs w:val="0"/>
                <w:sz w:val="24"/>
                <w:lang w:val="en-US" w:eastAsia="zh-CN"/>
              </w:rPr>
              <w:t>0.2</w:t>
            </w:r>
            <w:r>
              <w:rPr>
                <w:rFonts w:hint="eastAsia"/>
                <w:b w:val="0"/>
                <w:bCs w:val="0"/>
                <w:sz w:val="24"/>
                <w:lang w:eastAsia="zh-CN"/>
              </w:rPr>
              <w:t>t/a，经收集后暂存于</w:t>
            </w:r>
            <w:r>
              <w:rPr>
                <w:rFonts w:hint="eastAsia"/>
                <w:b w:val="0"/>
                <w:bCs w:val="0"/>
                <w:sz w:val="24"/>
                <w:lang w:val="en-US" w:eastAsia="zh-CN"/>
              </w:rPr>
              <w:t>一般固废暂存点</w:t>
            </w:r>
            <w:r>
              <w:rPr>
                <w:rFonts w:hint="eastAsia"/>
                <w:b w:val="0"/>
                <w:bCs w:val="0"/>
                <w:sz w:val="24"/>
                <w:lang w:eastAsia="zh-CN"/>
              </w:rPr>
              <w:t>，定期外售给物资回收单位。</w:t>
            </w:r>
          </w:p>
          <w:p w14:paraId="6B630AC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default" w:ascii="Times New Roman" w:hAnsi="Times New Roman" w:eastAsia="微软雅黑" w:cs="Times New Roman"/>
                <w:b w:val="0"/>
                <w:bCs w:val="0"/>
                <w:sz w:val="24"/>
                <w:lang w:val="en-US" w:eastAsia="zh-CN"/>
              </w:rPr>
              <w:t>④</w:t>
            </w:r>
            <w:r>
              <w:rPr>
                <w:rFonts w:hint="eastAsia"/>
                <w:b w:val="0"/>
                <w:bCs w:val="0"/>
                <w:sz w:val="24"/>
                <w:lang w:val="en-US" w:eastAsia="zh-CN"/>
              </w:rPr>
              <w:t>制氧机废分子筛</w:t>
            </w:r>
          </w:p>
          <w:p w14:paraId="1D13E2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根据建设单位提供，项目制氧机需要填装10kg</w:t>
            </w:r>
            <w:r>
              <w:rPr>
                <w:rFonts w:hint="eastAsia"/>
                <w:b w:val="0"/>
                <w:bCs w:val="0"/>
                <w:sz w:val="24"/>
                <w:lang w:val="en-US" w:eastAsia="zh-CN"/>
              </w:rPr>
              <w:t>分子筛</w:t>
            </w:r>
            <w:r>
              <w:rPr>
                <w:rFonts w:hint="eastAsia"/>
                <w:b w:val="0"/>
                <w:bCs w:val="0"/>
                <w:sz w:val="24"/>
                <w:lang w:eastAsia="zh-CN"/>
              </w:rPr>
              <w:t>，约5年更换一次。则产生废分子筛10kg/5年。</w:t>
            </w:r>
          </w:p>
          <w:p w14:paraId="53DDF0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本项目一般工业固体废物产生情况详见下表。</w:t>
            </w:r>
          </w:p>
          <w:p w14:paraId="5FE80E69">
            <w:pPr>
              <w:pStyle w:val="6"/>
              <w:rPr>
                <w:rFonts w:cs="Times New Roman"/>
                <w:b w:val="0"/>
                <w:bCs/>
                <w:color w:val="auto"/>
                <w:sz w:val="24"/>
                <w:szCs w:val="24"/>
                <w:highlight w:val="none"/>
              </w:rPr>
            </w:pPr>
            <w:r>
              <w:rPr>
                <w:rFonts w:cs="Times New Roman"/>
                <w:b w:val="0"/>
                <w:bCs/>
                <w:color w:val="auto"/>
                <w:sz w:val="24"/>
                <w:szCs w:val="24"/>
                <w:highlight w:val="none"/>
              </w:rPr>
              <w:t>表 4</w:t>
            </w:r>
            <w:r>
              <w:rPr>
                <w:rFonts w:hint="eastAsia" w:cs="Times New Roman"/>
                <w:b w:val="0"/>
                <w:bCs/>
                <w:color w:val="auto"/>
                <w:sz w:val="24"/>
                <w:szCs w:val="24"/>
                <w:highlight w:val="none"/>
                <w:lang w:val="en-US" w:eastAsia="zh-CN"/>
              </w:rPr>
              <w:t>.2-22</w:t>
            </w:r>
            <w:r>
              <w:rPr>
                <w:rFonts w:cs="Times New Roman"/>
                <w:b w:val="0"/>
                <w:bCs/>
                <w:color w:val="auto"/>
                <w:sz w:val="24"/>
                <w:szCs w:val="24"/>
                <w:highlight w:val="none"/>
              </w:rPr>
              <w:t xml:space="preserve"> 本项目一般工业固体废物产生情况</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038"/>
              <w:gridCol w:w="1128"/>
              <w:gridCol w:w="576"/>
              <w:gridCol w:w="1194"/>
              <w:gridCol w:w="1154"/>
              <w:gridCol w:w="2772"/>
            </w:tblGrid>
            <w:tr w14:paraId="0FD94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tcBorders>
                    <w:tl2br w:val="nil"/>
                    <w:tr2bl w:val="nil"/>
                  </w:tcBorders>
                  <w:vAlign w:val="center"/>
                </w:tcPr>
                <w:p w14:paraId="51C9769E">
                  <w:pPr>
                    <w:pStyle w:val="49"/>
                    <w:ind w:left="-105" w:leftChars="-50" w:right="-105" w:rightChars="-50"/>
                    <w:jc w:val="center"/>
                    <w:rPr>
                      <w:rFonts w:hint="eastAsia" w:eastAsia="宋体"/>
                      <w:color w:val="auto"/>
                      <w:highlight w:val="none"/>
                      <w:lang w:val="zh-CN" w:eastAsia="zh-CN"/>
                    </w:rPr>
                  </w:pPr>
                  <w:r>
                    <w:rPr>
                      <w:rFonts w:hint="eastAsia"/>
                      <w:color w:val="auto"/>
                      <w:highlight w:val="none"/>
                      <w:lang w:val="en-US" w:eastAsia="zh-CN"/>
                    </w:rPr>
                    <w:t>序号</w:t>
                  </w:r>
                </w:p>
              </w:tc>
              <w:tc>
                <w:tcPr>
                  <w:tcW w:w="623" w:type="pct"/>
                  <w:tcBorders>
                    <w:tl2br w:val="nil"/>
                    <w:tr2bl w:val="nil"/>
                  </w:tcBorders>
                  <w:vAlign w:val="center"/>
                </w:tcPr>
                <w:p w14:paraId="5F69E43B">
                  <w:pPr>
                    <w:pStyle w:val="49"/>
                    <w:ind w:left="-105" w:leftChars="-50" w:right="-105" w:rightChars="-50"/>
                    <w:jc w:val="center"/>
                    <w:rPr>
                      <w:color w:val="auto"/>
                      <w:highlight w:val="none"/>
                      <w:lang w:val="zh-CN"/>
                    </w:rPr>
                  </w:pPr>
                  <w:r>
                    <w:rPr>
                      <w:color w:val="auto"/>
                      <w:highlight w:val="none"/>
                      <w:lang w:val="zh-CN"/>
                    </w:rPr>
                    <w:t>固废名称</w:t>
                  </w:r>
                </w:p>
              </w:tc>
              <w:tc>
                <w:tcPr>
                  <w:tcW w:w="677" w:type="pct"/>
                  <w:tcBorders>
                    <w:tl2br w:val="nil"/>
                    <w:tr2bl w:val="nil"/>
                  </w:tcBorders>
                  <w:vAlign w:val="center"/>
                </w:tcPr>
                <w:p w14:paraId="4602943C">
                  <w:pPr>
                    <w:pStyle w:val="49"/>
                    <w:ind w:left="-105" w:leftChars="-50" w:right="-105" w:rightChars="-50"/>
                    <w:jc w:val="center"/>
                    <w:rPr>
                      <w:color w:val="auto"/>
                      <w:highlight w:val="none"/>
                      <w:lang w:val="zh-CN"/>
                    </w:rPr>
                  </w:pPr>
                  <w:r>
                    <w:rPr>
                      <w:color w:val="auto"/>
                      <w:highlight w:val="none"/>
                      <w:lang w:val="zh-CN"/>
                    </w:rPr>
                    <w:t>产生工序</w:t>
                  </w:r>
                </w:p>
              </w:tc>
              <w:tc>
                <w:tcPr>
                  <w:tcW w:w="346" w:type="pct"/>
                  <w:tcBorders>
                    <w:tl2br w:val="nil"/>
                    <w:tr2bl w:val="nil"/>
                  </w:tcBorders>
                  <w:vAlign w:val="center"/>
                </w:tcPr>
                <w:p w14:paraId="0474D3BA">
                  <w:pPr>
                    <w:pStyle w:val="49"/>
                    <w:ind w:left="-105" w:leftChars="-50" w:right="-105" w:rightChars="-50"/>
                    <w:jc w:val="center"/>
                    <w:rPr>
                      <w:color w:val="auto"/>
                      <w:highlight w:val="none"/>
                      <w:lang w:val="zh-CN"/>
                    </w:rPr>
                  </w:pPr>
                  <w:r>
                    <w:rPr>
                      <w:color w:val="auto"/>
                      <w:highlight w:val="none"/>
                      <w:lang w:val="zh-CN"/>
                    </w:rPr>
                    <w:t>形态</w:t>
                  </w:r>
                </w:p>
              </w:tc>
              <w:tc>
                <w:tcPr>
                  <w:tcW w:w="717" w:type="pct"/>
                  <w:tcBorders>
                    <w:tl2br w:val="nil"/>
                    <w:tr2bl w:val="nil"/>
                  </w:tcBorders>
                  <w:vAlign w:val="center"/>
                </w:tcPr>
                <w:p w14:paraId="480A1A5A">
                  <w:pPr>
                    <w:pStyle w:val="49"/>
                    <w:ind w:left="-105" w:leftChars="-50" w:right="-105" w:rightChars="-50"/>
                    <w:jc w:val="center"/>
                    <w:rPr>
                      <w:color w:val="auto"/>
                      <w:highlight w:val="none"/>
                      <w:lang w:val="zh-CN"/>
                    </w:rPr>
                  </w:pPr>
                  <w:r>
                    <w:rPr>
                      <w:color w:val="auto"/>
                      <w:highlight w:val="none"/>
                      <w:lang w:val="zh-CN"/>
                    </w:rPr>
                    <w:t>产生量（</w:t>
                  </w:r>
                  <w:r>
                    <w:rPr>
                      <w:color w:val="auto"/>
                      <w:highlight w:val="none"/>
                    </w:rPr>
                    <w:t>t/a</w:t>
                  </w:r>
                  <w:r>
                    <w:rPr>
                      <w:color w:val="auto"/>
                      <w:highlight w:val="none"/>
                      <w:lang w:val="zh-CN"/>
                    </w:rPr>
                    <w:t>）</w:t>
                  </w:r>
                </w:p>
              </w:tc>
              <w:tc>
                <w:tcPr>
                  <w:tcW w:w="693" w:type="pct"/>
                  <w:tcBorders>
                    <w:tl2br w:val="nil"/>
                    <w:tr2bl w:val="nil"/>
                  </w:tcBorders>
                  <w:vAlign w:val="center"/>
                </w:tcPr>
                <w:p w14:paraId="0504904B">
                  <w:pPr>
                    <w:pStyle w:val="49"/>
                    <w:ind w:left="-105" w:leftChars="-50" w:right="-105" w:rightChars="-50"/>
                    <w:jc w:val="center"/>
                    <w:rPr>
                      <w:color w:val="auto"/>
                      <w:highlight w:val="none"/>
                      <w:lang w:val="zh-CN"/>
                    </w:rPr>
                  </w:pPr>
                  <w:r>
                    <w:rPr>
                      <w:color w:val="auto"/>
                      <w:highlight w:val="none"/>
                      <w:lang w:val="zh-CN"/>
                    </w:rPr>
                    <w:t>废物代码</w:t>
                  </w:r>
                </w:p>
              </w:tc>
              <w:tc>
                <w:tcPr>
                  <w:tcW w:w="1665" w:type="pct"/>
                  <w:tcBorders>
                    <w:tl2br w:val="nil"/>
                    <w:tr2bl w:val="nil"/>
                  </w:tcBorders>
                  <w:vAlign w:val="center"/>
                </w:tcPr>
                <w:p w14:paraId="5780F055">
                  <w:pPr>
                    <w:pStyle w:val="49"/>
                    <w:ind w:left="-105" w:leftChars="-50" w:right="-105" w:rightChars="-50"/>
                    <w:jc w:val="center"/>
                    <w:rPr>
                      <w:color w:val="auto"/>
                      <w:highlight w:val="none"/>
                      <w:lang w:val="zh-CN"/>
                    </w:rPr>
                  </w:pPr>
                  <w:r>
                    <w:rPr>
                      <w:color w:val="auto"/>
                      <w:highlight w:val="none"/>
                      <w:lang w:val="zh-CN"/>
                    </w:rPr>
                    <w:t>处置措施</w:t>
                  </w:r>
                </w:p>
              </w:tc>
            </w:tr>
            <w:tr w14:paraId="6883A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76" w:type="pct"/>
                  <w:tcBorders>
                    <w:tl2br w:val="nil"/>
                    <w:tr2bl w:val="nil"/>
                  </w:tcBorders>
                  <w:shd w:val="clear" w:color="auto" w:fill="auto"/>
                  <w:vAlign w:val="center"/>
                </w:tcPr>
                <w:p w14:paraId="3E0652F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1</w:t>
                  </w:r>
                </w:p>
              </w:tc>
              <w:tc>
                <w:tcPr>
                  <w:tcW w:w="623" w:type="pct"/>
                  <w:tcBorders>
                    <w:tl2br w:val="nil"/>
                    <w:tr2bl w:val="nil"/>
                  </w:tcBorders>
                  <w:shd w:val="clear" w:color="auto" w:fill="auto"/>
                  <w:vAlign w:val="center"/>
                </w:tcPr>
                <w:p w14:paraId="39B3E52A">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宠物粪污</w:t>
                  </w:r>
                </w:p>
              </w:tc>
              <w:tc>
                <w:tcPr>
                  <w:tcW w:w="677" w:type="pct"/>
                  <w:tcBorders>
                    <w:tl2br w:val="nil"/>
                    <w:tr2bl w:val="nil"/>
                  </w:tcBorders>
                  <w:shd w:val="clear" w:color="auto" w:fill="auto"/>
                  <w:vAlign w:val="center"/>
                </w:tcPr>
                <w:p w14:paraId="4AF171D5">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诊疗、住院</w:t>
                  </w:r>
                </w:p>
              </w:tc>
              <w:tc>
                <w:tcPr>
                  <w:tcW w:w="346" w:type="pct"/>
                  <w:tcBorders>
                    <w:tl2br w:val="nil"/>
                    <w:tr2bl w:val="nil"/>
                  </w:tcBorders>
                  <w:vAlign w:val="center"/>
                </w:tcPr>
                <w:p w14:paraId="0732858B">
                  <w:pPr>
                    <w:pStyle w:val="49"/>
                    <w:ind w:left="-105" w:leftChars="-50" w:right="-105" w:rightChars="-50" w:firstLine="0" w:firstLineChars="0"/>
                    <w:jc w:val="center"/>
                    <w:rPr>
                      <w:rFonts w:hint="eastAsia"/>
                      <w:color w:val="auto"/>
                      <w:highlight w:val="none"/>
                      <w:lang w:val="en-US" w:eastAsia="zh-CN"/>
                    </w:rPr>
                  </w:pPr>
                  <w:r>
                    <w:rPr>
                      <w:rFonts w:hint="eastAsia"/>
                      <w:color w:val="auto"/>
                      <w:highlight w:val="none"/>
                      <w:lang w:val="en-US" w:eastAsia="zh-CN"/>
                    </w:rPr>
                    <w:t>固态</w:t>
                  </w:r>
                </w:p>
              </w:tc>
              <w:tc>
                <w:tcPr>
                  <w:tcW w:w="717" w:type="pct"/>
                  <w:tcBorders>
                    <w:tl2br w:val="nil"/>
                    <w:tr2bl w:val="nil"/>
                  </w:tcBorders>
                  <w:vAlign w:val="center"/>
                </w:tcPr>
                <w:p w14:paraId="3E7B1420">
                  <w:pPr>
                    <w:pStyle w:val="49"/>
                    <w:ind w:left="-105" w:leftChars="-50" w:right="-105" w:rightChars="-50" w:firstLine="0" w:firstLineChars="0"/>
                    <w:jc w:val="center"/>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7.3</w:t>
                  </w:r>
                </w:p>
              </w:tc>
              <w:tc>
                <w:tcPr>
                  <w:tcW w:w="693" w:type="pct"/>
                  <w:tcBorders>
                    <w:tl2br w:val="nil"/>
                    <w:tr2bl w:val="nil"/>
                  </w:tcBorders>
                  <w:vAlign w:val="center"/>
                </w:tcPr>
                <w:p w14:paraId="3C39B338">
                  <w:pPr>
                    <w:pStyle w:val="49"/>
                    <w:ind w:left="-105" w:leftChars="-50" w:right="-105" w:rightChars="-50" w:firstLine="0" w:firstLineChars="0"/>
                    <w:jc w:val="center"/>
                    <w:rPr>
                      <w:rFonts w:hint="default" w:cs="Times New Roman"/>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030-001-S82</w:t>
                  </w:r>
                </w:p>
              </w:tc>
              <w:tc>
                <w:tcPr>
                  <w:tcW w:w="1665" w:type="pct"/>
                  <w:tcBorders>
                    <w:tl2br w:val="nil"/>
                    <w:tr2bl w:val="nil"/>
                  </w:tcBorders>
                  <w:shd w:val="clear" w:color="auto" w:fill="auto"/>
                  <w:vAlign w:val="center"/>
                </w:tcPr>
                <w:p w14:paraId="3693D2BB">
                  <w:pPr>
                    <w:pStyle w:val="49"/>
                    <w:ind w:firstLine="0" w:firstLineChars="0"/>
                    <w:jc w:val="center"/>
                    <w:rPr>
                      <w:rFonts w:hint="eastAsia"/>
                      <w:color w:val="auto"/>
                      <w:highlight w:val="none"/>
                      <w:lang w:val="en-US" w:eastAsia="zh-CN"/>
                    </w:rPr>
                  </w:pPr>
                  <w:r>
                    <w:rPr>
                      <w:rFonts w:hint="eastAsia"/>
                      <w:color w:val="auto"/>
                      <w:highlight w:val="none"/>
                      <w:lang w:val="en-US" w:eastAsia="zh-CN"/>
                    </w:rPr>
                    <w:t>猫砂喷洒消毒剂后紧袋收集，定期交由当地环卫部门进行处理，犬尿液经消毒设施预处理后直接进入恒大绿岛新城B区生化池，粪便喷洒消毒剂后紧袋收集，定期交由当地环卫部门进行处理。</w:t>
                  </w:r>
                </w:p>
              </w:tc>
            </w:tr>
            <w:tr w14:paraId="77358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tcBorders>
                    <w:tl2br w:val="nil"/>
                    <w:tr2bl w:val="nil"/>
                  </w:tcBorders>
                  <w:shd w:val="clear" w:color="auto" w:fill="auto"/>
                  <w:vAlign w:val="center"/>
                </w:tcPr>
                <w:p w14:paraId="7BF54D24">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2</w:t>
                  </w:r>
                </w:p>
              </w:tc>
              <w:tc>
                <w:tcPr>
                  <w:tcW w:w="623" w:type="pct"/>
                  <w:tcBorders>
                    <w:tl2br w:val="nil"/>
                    <w:tr2bl w:val="nil"/>
                  </w:tcBorders>
                  <w:shd w:val="clear" w:color="auto" w:fill="auto"/>
                  <w:vAlign w:val="center"/>
                </w:tcPr>
                <w:p w14:paraId="4E9A7E65">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动物尸体</w:t>
                  </w:r>
                </w:p>
              </w:tc>
              <w:tc>
                <w:tcPr>
                  <w:tcW w:w="677" w:type="pct"/>
                  <w:tcBorders>
                    <w:tl2br w:val="nil"/>
                    <w:tr2bl w:val="nil"/>
                  </w:tcBorders>
                  <w:shd w:val="clear" w:color="auto" w:fill="auto"/>
                  <w:vAlign w:val="center"/>
                </w:tcPr>
                <w:p w14:paraId="1B730F87">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诊疗、住院</w:t>
                  </w:r>
                </w:p>
              </w:tc>
              <w:tc>
                <w:tcPr>
                  <w:tcW w:w="346" w:type="pct"/>
                  <w:tcBorders>
                    <w:tl2br w:val="nil"/>
                    <w:tr2bl w:val="nil"/>
                  </w:tcBorders>
                  <w:shd w:val="clear" w:color="auto" w:fill="auto"/>
                  <w:vAlign w:val="center"/>
                </w:tcPr>
                <w:p w14:paraId="12006EE6">
                  <w:pPr>
                    <w:pStyle w:val="49"/>
                    <w:ind w:left="-105" w:leftChars="-50" w:right="-105" w:rightChars="-5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固态</w:t>
                  </w:r>
                </w:p>
              </w:tc>
              <w:tc>
                <w:tcPr>
                  <w:tcW w:w="717" w:type="pct"/>
                  <w:tcBorders>
                    <w:tl2br w:val="nil"/>
                    <w:tr2bl w:val="nil"/>
                  </w:tcBorders>
                  <w:shd w:val="clear" w:color="auto" w:fill="auto"/>
                  <w:vAlign w:val="center"/>
                </w:tcPr>
                <w:p w14:paraId="4D0D9653">
                  <w:pPr>
                    <w:pStyle w:val="49"/>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少量</w:t>
                  </w:r>
                </w:p>
              </w:tc>
              <w:tc>
                <w:tcPr>
                  <w:tcW w:w="693" w:type="pct"/>
                  <w:tcBorders>
                    <w:tl2br w:val="nil"/>
                    <w:tr2bl w:val="nil"/>
                  </w:tcBorders>
                  <w:shd w:val="clear" w:color="auto" w:fill="auto"/>
                  <w:vAlign w:val="center"/>
                </w:tcPr>
                <w:p w14:paraId="4B984EFE">
                  <w:pPr>
                    <w:pStyle w:val="49"/>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030-00</w:t>
                  </w:r>
                  <w:r>
                    <w:rPr>
                      <w:rFonts w:hint="eastAsia" w:ascii="Times New Roman" w:hAnsi="Times New Roman" w:eastAsia="宋体" w:cs="Times New Roman"/>
                      <w:b w:val="0"/>
                      <w:bCs w:val="0"/>
                      <w:color w:val="auto"/>
                      <w:sz w:val="21"/>
                      <w:szCs w:val="21"/>
                      <w:highlight w:val="none"/>
                      <w:vertAlign w:val="baseline"/>
                      <w:lang w:val="en-US" w:eastAsia="zh-CN"/>
                    </w:rPr>
                    <w:t>2</w:t>
                  </w:r>
                  <w:r>
                    <w:rPr>
                      <w:rFonts w:hint="default" w:ascii="Times New Roman" w:hAnsi="Times New Roman" w:eastAsia="宋体" w:cs="Times New Roman"/>
                      <w:b w:val="0"/>
                      <w:bCs w:val="0"/>
                      <w:color w:val="auto"/>
                      <w:sz w:val="21"/>
                      <w:szCs w:val="21"/>
                      <w:highlight w:val="none"/>
                      <w:vertAlign w:val="baseline"/>
                      <w:lang w:val="en-US" w:eastAsia="zh-CN"/>
                    </w:rPr>
                    <w:t>-S82</w:t>
                  </w:r>
                </w:p>
              </w:tc>
              <w:tc>
                <w:tcPr>
                  <w:tcW w:w="1665" w:type="pct"/>
                  <w:tcBorders>
                    <w:tl2br w:val="nil"/>
                    <w:tr2bl w:val="nil"/>
                  </w:tcBorders>
                  <w:shd w:val="clear" w:color="auto" w:fill="auto"/>
                  <w:vAlign w:val="center"/>
                </w:tcPr>
                <w:p w14:paraId="0AFCF172">
                  <w:pPr>
                    <w:pStyle w:val="49"/>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kern w:val="2"/>
                      <w:sz w:val="21"/>
                      <w:szCs w:val="21"/>
                      <w:lang w:val="en-US" w:eastAsia="zh-CN" w:bidi="ar-SA"/>
                    </w:rPr>
                    <w:t>宠物主人可以按照农业部印发的《病死及病害无害化处理技术规范》的通知（农医发201725号）文件要求对动物尸体自行处理；宠物主人无法自行处理的动物尸体与动物组织一并交</w:t>
                  </w:r>
                  <w:r>
                    <w:rPr>
                      <w:rFonts w:hint="eastAsia" w:cs="Times New Roman"/>
                      <w:b w:val="0"/>
                      <w:bCs w:val="0"/>
                      <w:sz w:val="21"/>
                      <w:szCs w:val="21"/>
                      <w:highlight w:val="none"/>
                      <w:vertAlign w:val="baseline"/>
                      <w:lang w:eastAsia="zh-CN"/>
                    </w:rPr>
                    <w:t>重庆市正羽环保科技有限公司</w:t>
                  </w:r>
                  <w:r>
                    <w:rPr>
                      <w:rFonts w:hint="eastAsia" w:ascii="Times New Roman" w:hAnsi="Times New Roman" w:eastAsia="宋体" w:cs="Times New Roman"/>
                      <w:color w:val="000000" w:themeColor="text1"/>
                      <w:highlight w:val="none"/>
                      <w:lang w:eastAsia="zh-CN"/>
                      <w14:textFill>
                        <w14:solidFill>
                          <w14:schemeClr w14:val="tx1"/>
                        </w14:solidFill>
                      </w14:textFill>
                    </w:rPr>
                    <w:t>进行无害化处置</w:t>
                  </w:r>
                  <w:r>
                    <w:rPr>
                      <w:rFonts w:hint="eastAsia" w:cs="Times New Roman"/>
                      <w:snapToGrid w:val="0"/>
                      <w:kern w:val="2"/>
                      <w:sz w:val="21"/>
                      <w:szCs w:val="21"/>
                      <w:lang w:val="en-US" w:eastAsia="zh-CN" w:bidi="ar-SA"/>
                    </w:rPr>
                    <w:t>。</w:t>
                  </w:r>
                </w:p>
              </w:tc>
            </w:tr>
            <w:tr w14:paraId="474A8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tcBorders>
                    <w:tl2br w:val="nil"/>
                    <w:tr2bl w:val="nil"/>
                  </w:tcBorders>
                  <w:shd w:val="clear" w:color="auto" w:fill="auto"/>
                  <w:vAlign w:val="center"/>
                </w:tcPr>
                <w:p w14:paraId="48FC63D4">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3</w:t>
                  </w:r>
                </w:p>
              </w:tc>
              <w:tc>
                <w:tcPr>
                  <w:tcW w:w="623" w:type="pct"/>
                  <w:tcBorders>
                    <w:tl2br w:val="nil"/>
                    <w:tr2bl w:val="nil"/>
                  </w:tcBorders>
                  <w:shd w:val="clear" w:color="auto" w:fill="auto"/>
                  <w:vAlign w:val="center"/>
                </w:tcPr>
                <w:p w14:paraId="4963726B">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废包装材料</w:t>
                  </w:r>
                </w:p>
              </w:tc>
              <w:tc>
                <w:tcPr>
                  <w:tcW w:w="677" w:type="pct"/>
                  <w:tcBorders>
                    <w:tl2br w:val="nil"/>
                    <w:tr2bl w:val="nil"/>
                  </w:tcBorders>
                  <w:shd w:val="clear" w:color="auto" w:fill="auto"/>
                  <w:vAlign w:val="center"/>
                </w:tcPr>
                <w:p w14:paraId="5C5DC459">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sz w:val="21"/>
                      <w:szCs w:val="21"/>
                      <w:lang w:val="en-US" w:eastAsia="zh-CN"/>
                    </w:rPr>
                    <w:t>脱袋</w:t>
                  </w:r>
                </w:p>
              </w:tc>
              <w:tc>
                <w:tcPr>
                  <w:tcW w:w="346" w:type="pct"/>
                  <w:tcBorders>
                    <w:tl2br w:val="nil"/>
                    <w:tr2bl w:val="nil"/>
                  </w:tcBorders>
                  <w:shd w:val="clear" w:color="auto" w:fill="auto"/>
                  <w:vAlign w:val="center"/>
                </w:tcPr>
                <w:p w14:paraId="2B3C9F22">
                  <w:pPr>
                    <w:pStyle w:val="49"/>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固态</w:t>
                  </w:r>
                </w:p>
              </w:tc>
              <w:tc>
                <w:tcPr>
                  <w:tcW w:w="717" w:type="pct"/>
                  <w:tcBorders>
                    <w:tl2br w:val="nil"/>
                    <w:tr2bl w:val="nil"/>
                  </w:tcBorders>
                  <w:shd w:val="clear" w:color="auto" w:fill="auto"/>
                  <w:vAlign w:val="center"/>
                </w:tcPr>
                <w:p w14:paraId="253A6602">
                  <w:pPr>
                    <w:pStyle w:val="49"/>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0.2</w:t>
                  </w:r>
                </w:p>
              </w:tc>
              <w:tc>
                <w:tcPr>
                  <w:tcW w:w="693" w:type="pct"/>
                  <w:tcBorders>
                    <w:tl2br w:val="nil"/>
                    <w:tr2bl w:val="nil"/>
                  </w:tcBorders>
                  <w:shd w:val="clear" w:color="auto" w:fill="auto"/>
                  <w:vAlign w:val="center"/>
                </w:tcPr>
                <w:p w14:paraId="09BFF174">
                  <w:pPr>
                    <w:pStyle w:val="49"/>
                    <w:ind w:left="-105" w:leftChars="-50" w:right="-105" w:rightChars="-50"/>
                    <w:jc w:val="center"/>
                    <w:rPr>
                      <w:rFonts w:hint="default" w:cs="Times New Roman"/>
                      <w:snapToGrid w:val="0"/>
                      <w:color w:val="auto"/>
                      <w:kern w:val="2"/>
                      <w:sz w:val="21"/>
                      <w:szCs w:val="21"/>
                      <w:highlight w:val="none"/>
                      <w:lang w:val="en-US" w:eastAsia="zh-CN" w:bidi="ar-SA"/>
                    </w:rPr>
                  </w:pPr>
                  <w:r>
                    <w:rPr>
                      <w:rFonts w:hint="default" w:cs="Times New Roman"/>
                      <w:snapToGrid w:val="0"/>
                      <w:color w:val="auto"/>
                      <w:kern w:val="2"/>
                      <w:sz w:val="21"/>
                      <w:szCs w:val="21"/>
                      <w:highlight w:val="none"/>
                      <w:lang w:val="en-US" w:eastAsia="zh-CN" w:bidi="ar-SA"/>
                    </w:rPr>
                    <w:t>900-00</w:t>
                  </w:r>
                  <w:r>
                    <w:rPr>
                      <w:rFonts w:hint="eastAsia" w:cs="Times New Roman"/>
                      <w:snapToGrid w:val="0"/>
                      <w:color w:val="auto"/>
                      <w:kern w:val="2"/>
                      <w:sz w:val="21"/>
                      <w:szCs w:val="21"/>
                      <w:highlight w:val="none"/>
                      <w:lang w:val="en-US" w:eastAsia="zh-CN" w:bidi="ar-SA"/>
                    </w:rPr>
                    <w:t>1</w:t>
                  </w:r>
                  <w:r>
                    <w:rPr>
                      <w:rFonts w:hint="default" w:cs="Times New Roman"/>
                      <w:snapToGrid w:val="0"/>
                      <w:color w:val="auto"/>
                      <w:kern w:val="2"/>
                      <w:sz w:val="21"/>
                      <w:szCs w:val="21"/>
                      <w:highlight w:val="none"/>
                      <w:lang w:val="en-US" w:eastAsia="zh-CN" w:bidi="ar-SA"/>
                    </w:rPr>
                    <w:t>-S62</w:t>
                  </w:r>
                </w:p>
                <w:p w14:paraId="0C8E2163">
                  <w:pPr>
                    <w:pStyle w:val="49"/>
                    <w:ind w:left="-105" w:leftChars="-50" w:right="-105" w:rightChars="-50"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cs="Times New Roman"/>
                      <w:snapToGrid w:val="0"/>
                      <w:color w:val="auto"/>
                      <w:kern w:val="2"/>
                      <w:sz w:val="21"/>
                      <w:szCs w:val="21"/>
                      <w:highlight w:val="none"/>
                      <w:lang w:val="en-US" w:eastAsia="zh-CN" w:bidi="ar-SA"/>
                    </w:rPr>
                    <w:t>900-002-S62</w:t>
                  </w:r>
                </w:p>
              </w:tc>
              <w:tc>
                <w:tcPr>
                  <w:tcW w:w="1665" w:type="pct"/>
                  <w:tcBorders>
                    <w:tl2br w:val="nil"/>
                    <w:tr2bl w:val="nil"/>
                  </w:tcBorders>
                  <w:shd w:val="clear" w:color="auto" w:fill="auto"/>
                  <w:vAlign w:val="center"/>
                </w:tcPr>
                <w:p w14:paraId="1FBC04DF">
                  <w:pPr>
                    <w:pStyle w:val="49"/>
                    <w:ind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经收集后定期外售给物资回收单位。</w:t>
                  </w:r>
                </w:p>
              </w:tc>
            </w:tr>
            <w:tr w14:paraId="083FD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tcBorders>
                    <w:tl2br w:val="nil"/>
                    <w:tr2bl w:val="nil"/>
                  </w:tcBorders>
                  <w:shd w:val="clear" w:color="auto" w:fill="auto"/>
                  <w:vAlign w:val="center"/>
                </w:tcPr>
                <w:p w14:paraId="75D0A370">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4</w:t>
                  </w:r>
                </w:p>
              </w:tc>
              <w:tc>
                <w:tcPr>
                  <w:tcW w:w="623" w:type="pct"/>
                  <w:tcBorders>
                    <w:tl2br w:val="nil"/>
                    <w:tr2bl w:val="nil"/>
                  </w:tcBorders>
                  <w:shd w:val="clear" w:color="auto" w:fill="auto"/>
                  <w:vAlign w:val="center"/>
                </w:tcPr>
                <w:p w14:paraId="462ABF68">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废分子筛</w:t>
                  </w:r>
                </w:p>
              </w:tc>
              <w:tc>
                <w:tcPr>
                  <w:tcW w:w="677" w:type="pct"/>
                  <w:tcBorders>
                    <w:tl2br w:val="nil"/>
                    <w:tr2bl w:val="nil"/>
                  </w:tcBorders>
                  <w:shd w:val="clear" w:color="auto" w:fill="auto"/>
                  <w:vAlign w:val="center"/>
                </w:tcPr>
                <w:p w14:paraId="7BAA65FD">
                  <w:pPr>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default" w:cs="Times New Roman"/>
                      <w:b w:val="0"/>
                      <w:bCs w:val="0"/>
                      <w:color w:val="000000"/>
                      <w:sz w:val="21"/>
                      <w:szCs w:val="21"/>
                      <w:lang w:val="en-US" w:eastAsia="zh-CN"/>
                    </w:rPr>
                  </w:pPr>
                  <w:r>
                    <w:rPr>
                      <w:rFonts w:hint="eastAsia" w:cs="Times New Roman"/>
                      <w:b w:val="0"/>
                      <w:bCs w:val="0"/>
                      <w:color w:val="000000"/>
                      <w:sz w:val="21"/>
                      <w:szCs w:val="21"/>
                      <w:lang w:val="en-US" w:eastAsia="zh-CN"/>
                    </w:rPr>
                    <w:t>制氧机</w:t>
                  </w:r>
                </w:p>
              </w:tc>
              <w:tc>
                <w:tcPr>
                  <w:tcW w:w="346" w:type="pct"/>
                  <w:tcBorders>
                    <w:tl2br w:val="nil"/>
                    <w:tr2bl w:val="nil"/>
                  </w:tcBorders>
                  <w:shd w:val="clear" w:color="auto" w:fill="auto"/>
                  <w:vAlign w:val="center"/>
                </w:tcPr>
                <w:p w14:paraId="2B4BACF4">
                  <w:pPr>
                    <w:pStyle w:val="49"/>
                    <w:ind w:left="-105" w:leftChars="-50" w:right="-105" w:rightChars="-50" w:firstLine="0" w:firstLineChars="0"/>
                    <w:jc w:val="center"/>
                    <w:rPr>
                      <w:rFonts w:hint="eastAsia"/>
                      <w:color w:val="auto"/>
                      <w:highlight w:val="none"/>
                      <w:lang w:val="en-US" w:eastAsia="zh-CN"/>
                    </w:rPr>
                  </w:pPr>
                  <w:r>
                    <w:rPr>
                      <w:rFonts w:hint="eastAsia"/>
                      <w:color w:val="auto"/>
                      <w:highlight w:val="none"/>
                      <w:lang w:val="en-US" w:eastAsia="zh-CN"/>
                    </w:rPr>
                    <w:t>固态</w:t>
                  </w:r>
                </w:p>
              </w:tc>
              <w:tc>
                <w:tcPr>
                  <w:tcW w:w="717" w:type="pct"/>
                  <w:tcBorders>
                    <w:tl2br w:val="nil"/>
                    <w:tr2bl w:val="nil"/>
                  </w:tcBorders>
                  <w:shd w:val="clear" w:color="auto" w:fill="auto"/>
                  <w:vAlign w:val="center"/>
                </w:tcPr>
                <w:p w14:paraId="42C6FBA9">
                  <w:pPr>
                    <w:pStyle w:val="49"/>
                    <w:ind w:left="-105" w:leftChars="-50" w:right="-105" w:rightChars="-50" w:firstLine="0" w:firstLineChars="0"/>
                    <w:jc w:val="center"/>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0.002</w:t>
                  </w:r>
                </w:p>
              </w:tc>
              <w:tc>
                <w:tcPr>
                  <w:tcW w:w="693" w:type="pct"/>
                  <w:tcBorders>
                    <w:tl2br w:val="nil"/>
                    <w:tr2bl w:val="nil"/>
                  </w:tcBorders>
                  <w:shd w:val="clear" w:color="auto" w:fill="auto"/>
                  <w:vAlign w:val="center"/>
                </w:tcPr>
                <w:p w14:paraId="4A63462B">
                  <w:pPr>
                    <w:pStyle w:val="49"/>
                    <w:ind w:left="-105" w:leftChars="-50" w:right="-105" w:rightChars="-5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900-009-S59</w:t>
                  </w:r>
                </w:p>
              </w:tc>
              <w:tc>
                <w:tcPr>
                  <w:tcW w:w="1665" w:type="pct"/>
                  <w:tcBorders>
                    <w:tl2br w:val="nil"/>
                    <w:tr2bl w:val="nil"/>
                  </w:tcBorders>
                  <w:shd w:val="clear" w:color="auto" w:fill="auto"/>
                  <w:vAlign w:val="center"/>
                </w:tcPr>
                <w:p w14:paraId="4954AEDB">
                  <w:pPr>
                    <w:pStyle w:val="49"/>
                    <w:ind w:firstLine="0" w:firstLineChars="0"/>
                    <w:jc w:val="center"/>
                    <w:rPr>
                      <w:rFonts w:hint="default" w:ascii="Times New Roman" w:hAnsi="Times New Roman" w:eastAsia="宋体" w:cs="Times New Roman"/>
                      <w:b w:val="0"/>
                      <w:bCs w:val="0"/>
                      <w:color w:val="auto"/>
                      <w:sz w:val="21"/>
                      <w:szCs w:val="21"/>
                      <w:highlight w:val="none"/>
                      <w:vertAlign w:val="baseline"/>
                      <w:lang w:eastAsia="zh-CN"/>
                    </w:rPr>
                  </w:pPr>
                  <w:r>
                    <w:rPr>
                      <w:rFonts w:hint="eastAsia"/>
                      <w:color w:val="auto"/>
                      <w:highlight w:val="none"/>
                      <w:lang w:val="en-US" w:eastAsia="zh-CN"/>
                    </w:rPr>
                    <w:t>经收集后定期外售给物资回收单位。</w:t>
                  </w:r>
                </w:p>
              </w:tc>
            </w:tr>
          </w:tbl>
          <w:p w14:paraId="3F599D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2</w:t>
            </w:r>
            <w:r>
              <w:rPr>
                <w:rFonts w:hint="eastAsia"/>
                <w:b w:val="0"/>
                <w:bCs w:val="0"/>
                <w:sz w:val="24"/>
                <w:lang w:eastAsia="zh-CN"/>
              </w:rPr>
              <w:t>）危险废物</w:t>
            </w:r>
          </w:p>
          <w:p w14:paraId="3455934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本项目危险废物主要为医疗废物和废紫外线灯管。</w:t>
            </w:r>
          </w:p>
          <w:p w14:paraId="70B881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szCs w:val="24"/>
                <w:lang w:eastAsia="zh-CN"/>
              </w:rPr>
            </w:pPr>
            <w:r>
              <w:rPr>
                <w:rFonts w:hint="eastAsia"/>
                <w:b w:val="0"/>
                <w:bCs w:val="0"/>
                <w:sz w:val="24"/>
                <w:szCs w:val="24"/>
                <w:lang w:eastAsia="zh-CN"/>
              </w:rPr>
              <w:t>①废紫外线灯管</w:t>
            </w:r>
          </w:p>
          <w:p w14:paraId="129B65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szCs w:val="24"/>
                <w:lang w:eastAsia="zh-CN"/>
              </w:rPr>
            </w:pPr>
            <w:r>
              <w:rPr>
                <w:rFonts w:hint="eastAsia"/>
                <w:b w:val="0"/>
                <w:bCs w:val="0"/>
                <w:sz w:val="24"/>
                <w:szCs w:val="24"/>
                <w:lang w:eastAsia="zh-CN"/>
              </w:rPr>
              <w:t>项目</w:t>
            </w:r>
            <w:r>
              <w:rPr>
                <w:rFonts w:hint="eastAsia"/>
                <w:b w:val="0"/>
                <w:bCs w:val="0"/>
                <w:sz w:val="24"/>
                <w:szCs w:val="24"/>
                <w:lang w:val="en-US" w:eastAsia="zh-CN"/>
              </w:rPr>
              <w:t>住院区</w:t>
            </w:r>
            <w:r>
              <w:rPr>
                <w:rFonts w:hint="eastAsia"/>
                <w:b w:val="0"/>
                <w:bCs w:val="0"/>
                <w:sz w:val="24"/>
                <w:szCs w:val="24"/>
                <w:lang w:eastAsia="zh-CN"/>
              </w:rPr>
              <w:t>等消毒采用紫外线消毒，将会产生少量废紫外线灯管，产生量约为0.02t</w:t>
            </w:r>
            <w:r>
              <w:rPr>
                <w:rFonts w:hint="eastAsia"/>
                <w:b w:val="0"/>
                <w:bCs w:val="0"/>
                <w:sz w:val="24"/>
                <w:szCs w:val="24"/>
                <w:lang w:val="en-US" w:eastAsia="zh-CN"/>
              </w:rPr>
              <w:t>/</w:t>
            </w:r>
            <w:r>
              <w:rPr>
                <w:rFonts w:hint="eastAsia"/>
                <w:b w:val="0"/>
                <w:bCs w:val="0"/>
                <w:sz w:val="24"/>
                <w:szCs w:val="24"/>
                <w:lang w:eastAsia="zh-CN"/>
              </w:rPr>
              <w:t>a。废紫外灯管经收集后暂存于医废点，交有资质单位处置。</w:t>
            </w:r>
          </w:p>
          <w:p w14:paraId="73E92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sz w:val="24"/>
                <w:szCs w:val="24"/>
                <w:lang w:eastAsia="zh-CN"/>
              </w:rPr>
            </w:pPr>
            <w:r>
              <w:rPr>
                <w:rFonts w:hint="eastAsia" w:cs="Times New Roman"/>
                <w:b w:val="0"/>
                <w:bCs w:val="0"/>
                <w:sz w:val="24"/>
                <w:szCs w:val="24"/>
                <w:lang w:val="en-US" w:eastAsia="zh-CN"/>
              </w:rPr>
              <w:t>②</w:t>
            </w:r>
            <w:r>
              <w:rPr>
                <w:rFonts w:hint="default" w:ascii="Times New Roman" w:hAnsi="Times New Roman" w:cs="Times New Roman"/>
                <w:b w:val="0"/>
                <w:bCs w:val="0"/>
                <w:sz w:val="24"/>
                <w:szCs w:val="24"/>
                <w:lang w:eastAsia="zh-CN"/>
              </w:rPr>
              <w:t>医疗废物</w:t>
            </w:r>
          </w:p>
          <w:p w14:paraId="4DFB29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诊疗活动产生的医疗废物来源广泛、成分复杂。项目医疗废物主要有感染性废物、损伤性废物、病理性废物、化学性</w:t>
            </w:r>
            <w:r>
              <w:rPr>
                <w:rFonts w:hint="eastAsia"/>
                <w:color w:val="auto"/>
                <w:sz w:val="24"/>
                <w:szCs w:val="24"/>
                <w:highlight w:val="none"/>
                <w:lang w:val="en-US" w:eastAsia="zh-CN"/>
              </w:rPr>
              <w:t>废物、药理性废物</w:t>
            </w:r>
            <w:r>
              <w:rPr>
                <w:rFonts w:hint="eastAsia"/>
                <w:color w:val="auto"/>
                <w:sz w:val="24"/>
                <w:szCs w:val="24"/>
                <w:highlight w:val="none"/>
              </w:rPr>
              <w:t>。</w:t>
            </w:r>
          </w:p>
          <w:p w14:paraId="1F8F81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感染性废物主要包括被患病宠物血液、体液、排泄物等污染的除锐器以外的废物，使用后废弃的一次性注射器、输液器，化验室产生的废弃血液、血清、分泌物等标本和容器以及</w:t>
            </w:r>
            <w:r>
              <w:rPr>
                <w:rFonts w:hint="eastAsia"/>
                <w:color w:val="auto"/>
                <w:sz w:val="24"/>
                <w:szCs w:val="24"/>
                <w:highlight w:val="none"/>
                <w:lang w:eastAsia="zh-CN"/>
              </w:rPr>
              <w:t>隔离室</w:t>
            </w:r>
            <w:r>
              <w:rPr>
                <w:rFonts w:hint="eastAsia"/>
                <w:color w:val="auto"/>
                <w:sz w:val="24"/>
                <w:szCs w:val="24"/>
                <w:highlight w:val="none"/>
              </w:rPr>
              <w:t>隔离的传染病宠物或疑似传染病宠物产生的废弃物。感染性废物收集于符合《医疗废物包装袋、容器和警示标志标准》（HJ</w:t>
            </w:r>
            <w:r>
              <w:rPr>
                <w:rFonts w:hint="eastAsia"/>
                <w:color w:val="auto"/>
                <w:sz w:val="24"/>
                <w:szCs w:val="24"/>
                <w:highlight w:val="none"/>
                <w:lang w:val="en-US" w:eastAsia="zh-CN"/>
              </w:rPr>
              <w:t xml:space="preserve"> </w:t>
            </w:r>
            <w:r>
              <w:rPr>
                <w:rFonts w:hint="eastAsia"/>
                <w:color w:val="auto"/>
                <w:sz w:val="24"/>
                <w:szCs w:val="24"/>
                <w:highlight w:val="none"/>
              </w:rPr>
              <w:t>421-2008）医疗废物包装袋中，隔离的传染病宠物或疑似传染病宠物产生的医疗废物应当使用双层医疗废物包装袋盛装。</w:t>
            </w:r>
          </w:p>
          <w:p w14:paraId="6C93FA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损伤性废物主要废弃的针头、缝合针、探针、穿刺针、解剖刀、手术刀等废弃的金属类锐器以及废弃的载玻片等玻璃类锐器。损伤性废物收集于符合《医疗废物包装袋、容器和警示标志标准》（HJ</w:t>
            </w:r>
            <w:r>
              <w:rPr>
                <w:rFonts w:hint="eastAsia"/>
                <w:color w:val="auto"/>
                <w:sz w:val="24"/>
                <w:szCs w:val="24"/>
                <w:highlight w:val="none"/>
                <w:lang w:val="en-US" w:eastAsia="zh-CN"/>
              </w:rPr>
              <w:t xml:space="preserve"> </w:t>
            </w:r>
            <w:r>
              <w:rPr>
                <w:rFonts w:hint="eastAsia"/>
                <w:color w:val="auto"/>
                <w:sz w:val="24"/>
                <w:szCs w:val="24"/>
                <w:highlight w:val="none"/>
              </w:rPr>
              <w:t>421-2008）的利器盒中，利器盒达到3/4满时，应当封闭严密，按流程运送、贮存。病理性废物主要是手术过程中产生的废弃动物组织和器官。</w:t>
            </w:r>
          </w:p>
          <w:p w14:paraId="0888D4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病理性废物收集于符合《医疗废物包装袋、容器和警示标志标准》（HJ</w:t>
            </w:r>
            <w:r>
              <w:rPr>
                <w:rFonts w:hint="eastAsia"/>
                <w:color w:val="auto"/>
                <w:sz w:val="24"/>
                <w:szCs w:val="24"/>
                <w:highlight w:val="none"/>
                <w:lang w:val="en-US" w:eastAsia="zh-CN"/>
              </w:rPr>
              <w:t xml:space="preserve"> </w:t>
            </w:r>
            <w:r>
              <w:rPr>
                <w:rFonts w:hint="eastAsia"/>
                <w:color w:val="auto"/>
                <w:sz w:val="24"/>
                <w:szCs w:val="24"/>
                <w:highlight w:val="none"/>
              </w:rPr>
              <w:t>421-2008）医疗废物包装袋中。本项目病理性废物</w:t>
            </w:r>
            <w:r>
              <w:rPr>
                <w:rFonts w:hint="eastAsia"/>
                <w:color w:val="auto"/>
                <w:sz w:val="24"/>
                <w:szCs w:val="24"/>
                <w:highlight w:val="none"/>
                <w:lang w:val="en-US" w:eastAsia="zh-CN"/>
              </w:rPr>
              <w:t>交</w:t>
            </w:r>
            <w:r>
              <w:rPr>
                <w:rFonts w:hint="eastAsia" w:cs="Times New Roman"/>
                <w:b w:val="0"/>
                <w:bCs w:val="0"/>
                <w:sz w:val="24"/>
                <w:szCs w:val="24"/>
                <w:highlight w:val="none"/>
                <w:vertAlign w:val="baseline"/>
                <w:lang w:eastAsia="zh-CN"/>
              </w:rPr>
              <w:t>重庆市正羽环保科技有限公司</w:t>
            </w:r>
            <w:r>
              <w:rPr>
                <w:rFonts w:hint="eastAsia"/>
                <w:color w:val="auto"/>
                <w:sz w:val="24"/>
                <w:szCs w:val="24"/>
                <w:highlight w:val="none"/>
                <w:lang w:eastAsia="zh-CN"/>
              </w:rPr>
              <w:t>进行无害化处置</w:t>
            </w:r>
            <w:r>
              <w:rPr>
                <w:rFonts w:hint="eastAsia"/>
                <w:color w:val="auto"/>
                <w:sz w:val="24"/>
                <w:szCs w:val="24"/>
                <w:highlight w:val="none"/>
              </w:rPr>
              <w:t>。</w:t>
            </w:r>
          </w:p>
          <w:p w14:paraId="4604453F">
            <w:pPr>
              <w:pStyle w:val="7"/>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rPr>
            </w:pPr>
            <w:r>
              <w:rPr>
                <w:rFonts w:hint="eastAsia"/>
                <w:sz w:val="24"/>
                <w:szCs w:val="24"/>
              </w:rPr>
              <w:t>药物性废物主要是过期、淘汰、变质或者被污染的废弃的药物。</w:t>
            </w:r>
          </w:p>
          <w:p w14:paraId="2867230B">
            <w:pPr>
              <w:pStyle w:val="7"/>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rPr>
            </w:pPr>
            <w:r>
              <w:rPr>
                <w:rFonts w:hint="eastAsia"/>
                <w:sz w:val="24"/>
                <w:szCs w:val="24"/>
              </w:rPr>
              <w:t>化学性废物主要是列入《国家危险废物名录》中的废弃危险品，比如非特定行业来源产生的含汞血压计、含汞体温计等。</w:t>
            </w:r>
          </w:p>
          <w:p w14:paraId="1FF48B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本项目医疗废物产生量按每日最大门诊及住院病例0.2kg只计，本项目日最大门诊量及住院量为40只，则本项目医疗废物产生量为8kg/d（2.92t/a），经收集后暂存于医疗废物暂存点，感染性废物和损伤性废物定期交</w:t>
            </w:r>
            <w:r>
              <w:rPr>
                <w:rFonts w:hint="default" w:ascii="Times New Roman" w:hAnsi="Times New Roman" w:cs="Times New Roman"/>
                <w:bCs/>
                <w:sz w:val="24"/>
                <w:szCs w:val="24"/>
                <w:highlight w:val="none"/>
                <w:lang w:val="en-US" w:eastAsia="zh-CN"/>
              </w:rPr>
              <w:t>重庆苏鑫医疗废物处理有限公司</w:t>
            </w:r>
            <w:r>
              <w:rPr>
                <w:rFonts w:hint="eastAsia"/>
                <w:color w:val="auto"/>
                <w:sz w:val="24"/>
                <w:szCs w:val="24"/>
                <w:highlight w:val="none"/>
                <w:lang w:val="en-US" w:eastAsia="zh-CN"/>
              </w:rPr>
              <w:t>收运处置，病理性废物由</w:t>
            </w:r>
            <w:r>
              <w:rPr>
                <w:rFonts w:hint="eastAsia" w:cs="Times New Roman"/>
                <w:b w:val="0"/>
                <w:bCs w:val="0"/>
                <w:sz w:val="24"/>
                <w:szCs w:val="24"/>
                <w:highlight w:val="none"/>
                <w:vertAlign w:val="baseline"/>
                <w:lang w:eastAsia="zh-CN"/>
              </w:rPr>
              <w:t>重庆市正羽环保科技有限公司</w:t>
            </w:r>
            <w:r>
              <w:rPr>
                <w:rFonts w:hint="eastAsia"/>
                <w:color w:val="auto"/>
                <w:sz w:val="24"/>
                <w:szCs w:val="24"/>
                <w:highlight w:val="none"/>
                <w:lang w:eastAsia="zh-CN"/>
              </w:rPr>
              <w:t>进行无害化处置，</w:t>
            </w:r>
            <w:r>
              <w:rPr>
                <w:rFonts w:hint="eastAsia"/>
                <w:color w:val="auto"/>
                <w:sz w:val="24"/>
                <w:szCs w:val="24"/>
                <w:highlight w:val="none"/>
                <w:lang w:val="en-US" w:eastAsia="zh-CN"/>
              </w:rPr>
              <w:t>药理性废物由厂家回收或交有资质单位处置，化学性废物交有资质单位处置。</w:t>
            </w:r>
          </w:p>
          <w:p w14:paraId="082AC6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color w:val="auto"/>
                <w:sz w:val="24"/>
                <w:szCs w:val="24"/>
                <w:highlight w:val="none"/>
              </w:rPr>
              <w:t>本项目危险废物产生情况详见下表。</w:t>
            </w:r>
          </w:p>
          <w:p w14:paraId="0E564863">
            <w:pPr>
              <w:pStyle w:val="6"/>
              <w:rPr>
                <w:rFonts w:cs="Times New Roman"/>
                <w:b w:val="0"/>
                <w:bCs/>
                <w:color w:val="auto"/>
                <w:sz w:val="24"/>
                <w:szCs w:val="24"/>
                <w:highlight w:val="none"/>
              </w:rPr>
            </w:pPr>
            <w:r>
              <w:rPr>
                <w:rFonts w:cs="Times New Roman"/>
                <w:b w:val="0"/>
                <w:bCs/>
                <w:color w:val="auto"/>
                <w:sz w:val="24"/>
                <w:szCs w:val="24"/>
                <w:highlight w:val="none"/>
              </w:rPr>
              <w:t>表 4</w:t>
            </w:r>
            <w:r>
              <w:rPr>
                <w:rFonts w:hint="eastAsia" w:cs="Times New Roman"/>
                <w:b w:val="0"/>
                <w:bCs/>
                <w:color w:val="auto"/>
                <w:sz w:val="24"/>
                <w:szCs w:val="24"/>
                <w:highlight w:val="none"/>
                <w:lang w:val="en-US" w:eastAsia="zh-CN"/>
              </w:rPr>
              <w:t>.2-23</w:t>
            </w:r>
            <w:r>
              <w:rPr>
                <w:rFonts w:cs="Times New Roman"/>
                <w:b w:val="0"/>
                <w:bCs/>
                <w:color w:val="auto"/>
                <w:sz w:val="24"/>
                <w:szCs w:val="24"/>
                <w:highlight w:val="none"/>
              </w:rPr>
              <w:t xml:space="preserve"> 本项目危险废物产生情况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937"/>
              <w:gridCol w:w="868"/>
              <w:gridCol w:w="1183"/>
              <w:gridCol w:w="694"/>
              <w:gridCol w:w="1197"/>
              <w:gridCol w:w="656"/>
              <w:gridCol w:w="910"/>
              <w:gridCol w:w="884"/>
              <w:gridCol w:w="582"/>
            </w:tblGrid>
            <w:tr w14:paraId="4284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tcBorders>
                    <w:top w:val="single" w:color="auto" w:sz="4" w:space="0"/>
                    <w:left w:val="single" w:color="auto" w:sz="4" w:space="0"/>
                    <w:bottom w:val="single" w:color="auto" w:sz="4" w:space="0"/>
                    <w:right w:val="single" w:color="auto" w:sz="4" w:space="0"/>
                  </w:tcBorders>
                  <w:vAlign w:val="center"/>
                </w:tcPr>
                <w:p w14:paraId="5C4CDE0A">
                  <w:pPr>
                    <w:pStyle w:val="49"/>
                    <w:ind w:left="-105" w:leftChars="-50" w:right="-105" w:rightChars="-50"/>
                    <w:jc w:val="center"/>
                    <w:rPr>
                      <w:color w:val="auto"/>
                      <w:highlight w:val="none"/>
                    </w:rPr>
                  </w:pPr>
                  <w:r>
                    <w:rPr>
                      <w:color w:val="auto"/>
                      <w:highlight w:val="none"/>
                    </w:rPr>
                    <w:t>编号</w:t>
                  </w:r>
                </w:p>
              </w:tc>
              <w:tc>
                <w:tcPr>
                  <w:tcW w:w="947" w:type="dxa"/>
                  <w:tcBorders>
                    <w:top w:val="single" w:color="auto" w:sz="4" w:space="0"/>
                    <w:left w:val="single" w:color="auto" w:sz="4" w:space="0"/>
                    <w:bottom w:val="single" w:color="auto" w:sz="4" w:space="0"/>
                    <w:right w:val="single" w:color="auto" w:sz="4" w:space="0"/>
                  </w:tcBorders>
                  <w:vAlign w:val="center"/>
                </w:tcPr>
                <w:p w14:paraId="69E859E8">
                  <w:pPr>
                    <w:pStyle w:val="49"/>
                    <w:keepNext w:val="0"/>
                    <w:keepLines w:val="0"/>
                    <w:pageBreakBefore w:val="0"/>
                    <w:widowControl w:val="0"/>
                    <w:kinsoku/>
                    <w:wordWrap/>
                    <w:overflowPunct/>
                    <w:topLinePunct w:val="0"/>
                    <w:autoSpaceDE/>
                    <w:autoSpaceDN/>
                    <w:bidi w:val="0"/>
                    <w:adjustRightInd/>
                    <w:snapToGrid w:val="0"/>
                    <w:ind w:left="-105" w:leftChars="-50" w:right="-105" w:rightChars="-50"/>
                    <w:textAlignment w:val="auto"/>
                    <w:rPr>
                      <w:color w:val="auto"/>
                      <w:highlight w:val="none"/>
                    </w:rPr>
                  </w:pPr>
                  <w:r>
                    <w:rPr>
                      <w:color w:val="auto"/>
                      <w:highlight w:val="none"/>
                    </w:rPr>
                    <w:t>危险废物</w:t>
                  </w:r>
                </w:p>
                <w:p w14:paraId="798CFD4B">
                  <w:pPr>
                    <w:pStyle w:val="49"/>
                    <w:keepNext w:val="0"/>
                    <w:keepLines w:val="0"/>
                    <w:pageBreakBefore w:val="0"/>
                    <w:widowControl w:val="0"/>
                    <w:kinsoku/>
                    <w:wordWrap/>
                    <w:overflowPunct/>
                    <w:topLinePunct w:val="0"/>
                    <w:autoSpaceDE/>
                    <w:autoSpaceDN/>
                    <w:bidi w:val="0"/>
                    <w:adjustRightInd/>
                    <w:snapToGrid w:val="0"/>
                    <w:ind w:left="-105" w:leftChars="-50" w:right="-105" w:rightChars="-50"/>
                    <w:textAlignment w:val="auto"/>
                    <w:rPr>
                      <w:color w:val="auto"/>
                      <w:highlight w:val="none"/>
                    </w:rPr>
                  </w:pPr>
                  <w:r>
                    <w:rPr>
                      <w:color w:val="auto"/>
                      <w:highlight w:val="none"/>
                    </w:rPr>
                    <w:t>名称</w:t>
                  </w:r>
                </w:p>
              </w:tc>
              <w:tc>
                <w:tcPr>
                  <w:tcW w:w="877" w:type="dxa"/>
                  <w:tcBorders>
                    <w:top w:val="single" w:color="auto" w:sz="4" w:space="0"/>
                    <w:left w:val="single" w:color="auto" w:sz="4" w:space="0"/>
                    <w:bottom w:val="single" w:color="auto" w:sz="4" w:space="0"/>
                    <w:right w:val="single" w:color="auto" w:sz="4" w:space="0"/>
                  </w:tcBorders>
                  <w:vAlign w:val="center"/>
                </w:tcPr>
                <w:p w14:paraId="54B44CEF">
                  <w:pPr>
                    <w:pStyle w:val="49"/>
                    <w:ind w:left="-105" w:leftChars="-50" w:right="-105" w:rightChars="-50"/>
                    <w:rPr>
                      <w:color w:val="auto"/>
                      <w:highlight w:val="none"/>
                    </w:rPr>
                  </w:pPr>
                  <w:r>
                    <w:rPr>
                      <w:color w:val="auto"/>
                      <w:highlight w:val="none"/>
                    </w:rPr>
                    <w:t>危险废物类别</w:t>
                  </w:r>
                </w:p>
              </w:tc>
              <w:tc>
                <w:tcPr>
                  <w:tcW w:w="1196" w:type="dxa"/>
                  <w:tcBorders>
                    <w:top w:val="single" w:color="auto" w:sz="4" w:space="0"/>
                    <w:left w:val="single" w:color="auto" w:sz="4" w:space="0"/>
                    <w:bottom w:val="single" w:color="auto" w:sz="4" w:space="0"/>
                    <w:right w:val="single" w:color="auto" w:sz="4" w:space="0"/>
                  </w:tcBorders>
                  <w:vAlign w:val="center"/>
                </w:tcPr>
                <w:p w14:paraId="6A83315C">
                  <w:pPr>
                    <w:pStyle w:val="49"/>
                    <w:ind w:left="-105" w:leftChars="-50" w:right="-105" w:rightChars="-50"/>
                    <w:rPr>
                      <w:color w:val="auto"/>
                      <w:highlight w:val="none"/>
                    </w:rPr>
                  </w:pPr>
                  <w:r>
                    <w:rPr>
                      <w:color w:val="auto"/>
                      <w:highlight w:val="none"/>
                    </w:rPr>
                    <w:t>危险废物</w:t>
                  </w:r>
                </w:p>
                <w:p w14:paraId="10BA89C1">
                  <w:pPr>
                    <w:pStyle w:val="49"/>
                    <w:ind w:left="-105" w:leftChars="-50" w:right="-105" w:rightChars="-50"/>
                    <w:rPr>
                      <w:color w:val="auto"/>
                      <w:highlight w:val="none"/>
                    </w:rPr>
                  </w:pPr>
                  <w:r>
                    <w:rPr>
                      <w:color w:val="auto"/>
                      <w:highlight w:val="none"/>
                    </w:rPr>
                    <w:t>代码</w:t>
                  </w:r>
                </w:p>
              </w:tc>
              <w:tc>
                <w:tcPr>
                  <w:tcW w:w="700" w:type="dxa"/>
                  <w:tcBorders>
                    <w:top w:val="single" w:color="auto" w:sz="4" w:space="0"/>
                    <w:left w:val="single" w:color="auto" w:sz="4" w:space="0"/>
                    <w:bottom w:val="single" w:color="auto" w:sz="4" w:space="0"/>
                    <w:right w:val="single" w:color="auto" w:sz="4" w:space="0"/>
                  </w:tcBorders>
                  <w:vAlign w:val="center"/>
                </w:tcPr>
                <w:p w14:paraId="24EF1322">
                  <w:pPr>
                    <w:pStyle w:val="49"/>
                    <w:ind w:left="-105" w:leftChars="-50" w:right="-105" w:rightChars="-50"/>
                    <w:rPr>
                      <w:color w:val="auto"/>
                      <w:highlight w:val="none"/>
                    </w:rPr>
                  </w:pPr>
                  <w:r>
                    <w:rPr>
                      <w:color w:val="auto"/>
                      <w:highlight w:val="none"/>
                    </w:rPr>
                    <w:t>产生量（t/a）</w:t>
                  </w:r>
                </w:p>
              </w:tc>
              <w:tc>
                <w:tcPr>
                  <w:tcW w:w="1210" w:type="dxa"/>
                  <w:tcBorders>
                    <w:top w:val="single" w:color="auto" w:sz="4" w:space="0"/>
                    <w:left w:val="single" w:color="auto" w:sz="4" w:space="0"/>
                    <w:bottom w:val="single" w:color="auto" w:sz="4" w:space="0"/>
                    <w:right w:val="single" w:color="auto" w:sz="4" w:space="0"/>
                  </w:tcBorders>
                  <w:vAlign w:val="center"/>
                </w:tcPr>
                <w:p w14:paraId="2EC2B9C8">
                  <w:pPr>
                    <w:pStyle w:val="49"/>
                    <w:ind w:left="-105" w:leftChars="-50" w:right="-105" w:rightChars="-50"/>
                    <w:rPr>
                      <w:color w:val="auto"/>
                      <w:highlight w:val="none"/>
                    </w:rPr>
                  </w:pPr>
                  <w:r>
                    <w:rPr>
                      <w:color w:val="auto"/>
                      <w:highlight w:val="none"/>
                    </w:rPr>
                    <w:t>产生工序</w:t>
                  </w:r>
                </w:p>
                <w:p w14:paraId="64D09930">
                  <w:pPr>
                    <w:pStyle w:val="49"/>
                    <w:ind w:left="-105" w:leftChars="-50" w:right="-105" w:rightChars="-50"/>
                    <w:rPr>
                      <w:color w:val="auto"/>
                      <w:highlight w:val="none"/>
                    </w:rPr>
                  </w:pPr>
                  <w:r>
                    <w:rPr>
                      <w:color w:val="auto"/>
                      <w:highlight w:val="none"/>
                    </w:rPr>
                    <w:t>及装置</w:t>
                  </w:r>
                </w:p>
              </w:tc>
              <w:tc>
                <w:tcPr>
                  <w:tcW w:w="662" w:type="dxa"/>
                  <w:tcBorders>
                    <w:top w:val="single" w:color="auto" w:sz="4" w:space="0"/>
                    <w:left w:val="single" w:color="auto" w:sz="4" w:space="0"/>
                    <w:bottom w:val="single" w:color="auto" w:sz="4" w:space="0"/>
                    <w:right w:val="single" w:color="auto" w:sz="4" w:space="0"/>
                  </w:tcBorders>
                  <w:vAlign w:val="center"/>
                </w:tcPr>
                <w:p w14:paraId="00F95368">
                  <w:pPr>
                    <w:pStyle w:val="49"/>
                    <w:ind w:left="-105" w:leftChars="-50" w:right="-105" w:rightChars="-50"/>
                    <w:rPr>
                      <w:color w:val="auto"/>
                      <w:highlight w:val="none"/>
                    </w:rPr>
                  </w:pPr>
                  <w:r>
                    <w:rPr>
                      <w:color w:val="auto"/>
                      <w:highlight w:val="none"/>
                    </w:rPr>
                    <w:t>形态</w:t>
                  </w:r>
                </w:p>
              </w:tc>
              <w:tc>
                <w:tcPr>
                  <w:tcW w:w="919" w:type="dxa"/>
                  <w:tcBorders>
                    <w:top w:val="single" w:color="auto" w:sz="4" w:space="0"/>
                    <w:left w:val="single" w:color="auto" w:sz="4" w:space="0"/>
                    <w:bottom w:val="single" w:color="auto" w:sz="4" w:space="0"/>
                    <w:right w:val="single" w:color="auto" w:sz="4" w:space="0"/>
                  </w:tcBorders>
                  <w:vAlign w:val="center"/>
                </w:tcPr>
                <w:p w14:paraId="5B0D597A">
                  <w:pPr>
                    <w:pStyle w:val="49"/>
                    <w:ind w:left="-105" w:leftChars="-50" w:right="-105" w:rightChars="-50"/>
                    <w:rPr>
                      <w:color w:val="auto"/>
                      <w:highlight w:val="none"/>
                    </w:rPr>
                  </w:pPr>
                  <w:r>
                    <w:rPr>
                      <w:color w:val="auto"/>
                      <w:highlight w:val="none"/>
                    </w:rPr>
                    <w:t>主要成分</w:t>
                  </w:r>
                </w:p>
              </w:tc>
              <w:tc>
                <w:tcPr>
                  <w:tcW w:w="893" w:type="dxa"/>
                  <w:tcBorders>
                    <w:top w:val="single" w:color="auto" w:sz="4" w:space="0"/>
                    <w:left w:val="single" w:color="auto" w:sz="4" w:space="0"/>
                    <w:bottom w:val="single" w:color="auto" w:sz="4" w:space="0"/>
                    <w:right w:val="single" w:color="auto" w:sz="4" w:space="0"/>
                  </w:tcBorders>
                  <w:vAlign w:val="center"/>
                </w:tcPr>
                <w:p w14:paraId="493FE0AF">
                  <w:pPr>
                    <w:pStyle w:val="49"/>
                    <w:ind w:left="-105" w:leftChars="-50" w:right="-105" w:rightChars="-50"/>
                    <w:rPr>
                      <w:color w:val="auto"/>
                      <w:highlight w:val="none"/>
                    </w:rPr>
                  </w:pPr>
                  <w:r>
                    <w:rPr>
                      <w:color w:val="auto"/>
                      <w:highlight w:val="none"/>
                    </w:rPr>
                    <w:t>危险</w:t>
                  </w:r>
                </w:p>
                <w:p w14:paraId="4E220F4E">
                  <w:pPr>
                    <w:pStyle w:val="49"/>
                    <w:ind w:left="-105" w:leftChars="-50" w:right="-105" w:rightChars="-50"/>
                    <w:rPr>
                      <w:color w:val="auto"/>
                      <w:highlight w:val="none"/>
                    </w:rPr>
                  </w:pPr>
                  <w:r>
                    <w:rPr>
                      <w:color w:val="auto"/>
                      <w:highlight w:val="none"/>
                    </w:rPr>
                    <w:t>特性</w:t>
                  </w:r>
                </w:p>
              </w:tc>
              <w:tc>
                <w:tcPr>
                  <w:tcW w:w="587" w:type="dxa"/>
                  <w:tcBorders>
                    <w:top w:val="single" w:color="auto" w:sz="4" w:space="0"/>
                    <w:left w:val="single" w:color="auto" w:sz="4" w:space="0"/>
                    <w:bottom w:val="single" w:color="auto" w:sz="4" w:space="0"/>
                    <w:right w:val="single" w:color="auto" w:sz="4" w:space="0"/>
                  </w:tcBorders>
                  <w:vAlign w:val="center"/>
                </w:tcPr>
                <w:p w14:paraId="2D8234C1">
                  <w:pPr>
                    <w:pStyle w:val="49"/>
                    <w:ind w:left="-105" w:leftChars="-50" w:right="-105" w:rightChars="-50"/>
                    <w:rPr>
                      <w:rFonts w:hint="eastAsia"/>
                      <w:color w:val="auto"/>
                      <w:highlight w:val="none"/>
                      <w:lang w:val="en-US" w:eastAsia="zh-CN"/>
                    </w:rPr>
                  </w:pPr>
                  <w:r>
                    <w:rPr>
                      <w:rFonts w:hint="eastAsia"/>
                      <w:color w:val="auto"/>
                      <w:highlight w:val="none"/>
                      <w:lang w:val="en-US" w:eastAsia="zh-CN"/>
                    </w:rPr>
                    <w:t>贮存</w:t>
                  </w:r>
                </w:p>
                <w:p w14:paraId="2BD7F642">
                  <w:pPr>
                    <w:pStyle w:val="49"/>
                    <w:ind w:left="-105" w:leftChars="-50" w:right="-105" w:rightChars="-50"/>
                    <w:rPr>
                      <w:rFonts w:hint="default" w:eastAsia="宋体"/>
                      <w:color w:val="auto"/>
                      <w:highlight w:val="none"/>
                      <w:lang w:val="en-US" w:eastAsia="zh-CN"/>
                    </w:rPr>
                  </w:pPr>
                  <w:r>
                    <w:rPr>
                      <w:rFonts w:hint="eastAsia"/>
                      <w:color w:val="auto"/>
                      <w:highlight w:val="none"/>
                      <w:lang w:val="en-US" w:eastAsia="zh-CN"/>
                    </w:rPr>
                    <w:t>能力</w:t>
                  </w:r>
                </w:p>
              </w:tc>
            </w:tr>
            <w:tr w14:paraId="4AC4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14:paraId="0326584D">
                  <w:pPr>
                    <w:pStyle w:val="49"/>
                    <w:ind w:left="-105" w:leftChars="-50" w:right="-105" w:rightChars="-5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S</w:t>
                  </w:r>
                  <w:r>
                    <w:rPr>
                      <w:rFonts w:hint="eastAsia" w:cs="Times New Roman"/>
                      <w:color w:val="auto"/>
                      <w:highlight w:val="none"/>
                      <w:lang w:val="en-US" w:eastAsia="zh-CN"/>
                    </w:rPr>
                    <w:t>1</w:t>
                  </w:r>
                </w:p>
              </w:tc>
              <w:tc>
                <w:tcPr>
                  <w:tcW w:w="947" w:type="dxa"/>
                  <w:shd w:val="clear" w:color="auto" w:fill="auto"/>
                  <w:vAlign w:val="center"/>
                </w:tcPr>
                <w:p w14:paraId="1C62C79D">
                  <w:pPr>
                    <w:pStyle w:val="49"/>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医疗废物</w:t>
                  </w:r>
                </w:p>
              </w:tc>
              <w:tc>
                <w:tcPr>
                  <w:tcW w:w="877" w:type="dxa"/>
                  <w:shd w:val="clear" w:color="auto" w:fill="auto"/>
                  <w:vAlign w:val="center"/>
                </w:tcPr>
                <w:p w14:paraId="10C08157">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 xml:space="preserve">HW01 </w:t>
                  </w:r>
                </w:p>
              </w:tc>
              <w:tc>
                <w:tcPr>
                  <w:tcW w:w="1196" w:type="dxa"/>
                  <w:shd w:val="clear" w:color="auto" w:fill="auto"/>
                  <w:vAlign w:val="center"/>
                </w:tcPr>
                <w:p w14:paraId="74F45444">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841-001-01、841-002-01、841-003-01、841-004-01、841-005-01</w:t>
                  </w:r>
                </w:p>
              </w:tc>
              <w:tc>
                <w:tcPr>
                  <w:tcW w:w="700" w:type="dxa"/>
                  <w:shd w:val="clear" w:color="auto" w:fill="auto"/>
                  <w:vAlign w:val="center"/>
                </w:tcPr>
                <w:p w14:paraId="618E8763">
                  <w:pPr>
                    <w:pStyle w:val="49"/>
                    <w:ind w:left="-105" w:leftChars="-50" w:right="-105" w:rightChars="-50" w:firstLine="0" w:firstLineChars="0"/>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2.92</w:t>
                  </w:r>
                </w:p>
              </w:tc>
              <w:tc>
                <w:tcPr>
                  <w:tcW w:w="1210" w:type="dxa"/>
                  <w:shd w:val="clear" w:color="auto" w:fill="auto"/>
                  <w:vAlign w:val="center"/>
                </w:tcPr>
                <w:p w14:paraId="2107FBAC">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b w:val="0"/>
                      <w:bCs w:val="0"/>
                      <w:color w:val="000000"/>
                      <w:sz w:val="21"/>
                      <w:szCs w:val="21"/>
                      <w:highlight w:val="none"/>
                      <w:lang w:val="en-US" w:eastAsia="zh-CN"/>
                    </w:rPr>
                    <w:t>检验、化验诊断、疫苗接种、手术治疗、普通治疗、住院</w:t>
                  </w:r>
                </w:p>
              </w:tc>
              <w:tc>
                <w:tcPr>
                  <w:tcW w:w="662" w:type="dxa"/>
                  <w:shd w:val="clear" w:color="auto" w:fill="auto"/>
                  <w:vAlign w:val="center"/>
                </w:tcPr>
                <w:p w14:paraId="468C5B6B">
                  <w:pPr>
                    <w:pStyle w:val="49"/>
                    <w:ind w:left="-105" w:leftChars="-50" w:right="-105" w:rightChars="-50" w:firstLine="0" w:firstLineChars="0"/>
                    <w:rPr>
                      <w:rFonts w:hint="eastAsia"/>
                      <w:color w:val="auto"/>
                      <w:highlight w:val="none"/>
                      <w:lang w:val="en-US" w:eastAsia="zh-CN"/>
                    </w:rPr>
                  </w:pPr>
                  <w:r>
                    <w:rPr>
                      <w:rFonts w:hint="eastAsia"/>
                      <w:color w:val="auto"/>
                      <w:highlight w:val="none"/>
                      <w:lang w:val="en-US" w:eastAsia="zh-CN"/>
                    </w:rPr>
                    <w:t>固态</w:t>
                  </w:r>
                </w:p>
                <w:p w14:paraId="3429F69B">
                  <w:pPr>
                    <w:pStyle w:val="49"/>
                    <w:ind w:left="-105" w:leftChars="-50" w:right="-105" w:rightChars="-50"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液态</w:t>
                  </w:r>
                </w:p>
              </w:tc>
              <w:tc>
                <w:tcPr>
                  <w:tcW w:w="919" w:type="dxa"/>
                  <w:vAlign w:val="center"/>
                </w:tcPr>
                <w:p w14:paraId="4FE3E5E7">
                  <w:pPr>
                    <w:pStyle w:val="49"/>
                    <w:ind w:left="-105" w:leftChars="-50" w:right="-105" w:rightChars="-50" w:firstLine="0" w:firstLineChars="0"/>
                    <w:rPr>
                      <w:rFonts w:hint="eastAsia" w:eastAsia="宋体"/>
                      <w:color w:val="auto"/>
                      <w:highlight w:val="none"/>
                      <w:lang w:val="en-US" w:eastAsia="zh-CN"/>
                    </w:rPr>
                  </w:pPr>
                  <w:r>
                    <w:rPr>
                      <w:rFonts w:hint="eastAsia" w:eastAsia="宋体"/>
                      <w:color w:val="auto"/>
                      <w:highlight w:val="none"/>
                      <w:lang w:val="en-US" w:eastAsia="zh-CN"/>
                    </w:rPr>
                    <w:t>细菌、</w:t>
                  </w:r>
                </w:p>
                <w:p w14:paraId="2AD73B91">
                  <w:pPr>
                    <w:pStyle w:val="49"/>
                    <w:ind w:left="-105" w:leftChars="-50" w:right="-105" w:rightChars="-50" w:firstLine="0" w:firstLineChars="0"/>
                    <w:rPr>
                      <w:rFonts w:hint="eastAsia"/>
                      <w:color w:val="auto"/>
                      <w:highlight w:val="none"/>
                      <w:lang w:val="en-US" w:eastAsia="zh-CN"/>
                    </w:rPr>
                  </w:pPr>
                  <w:r>
                    <w:rPr>
                      <w:rFonts w:hint="eastAsia" w:eastAsia="宋体"/>
                      <w:color w:val="auto"/>
                      <w:highlight w:val="none"/>
                      <w:lang w:val="en-US" w:eastAsia="zh-CN"/>
                    </w:rPr>
                    <w:t>病原体</w:t>
                  </w:r>
                </w:p>
              </w:tc>
              <w:tc>
                <w:tcPr>
                  <w:tcW w:w="893" w:type="dxa"/>
                  <w:vAlign w:val="center"/>
                </w:tcPr>
                <w:p w14:paraId="70FB1E7F">
                  <w:pPr>
                    <w:pStyle w:val="49"/>
                    <w:ind w:left="-105" w:leftChars="-50" w:right="-105" w:rightChars="-50" w:firstLine="0" w:firstLineChars="0"/>
                    <w:rPr>
                      <w:rFonts w:hint="eastAsia"/>
                      <w:color w:val="auto"/>
                      <w:highlight w:val="none"/>
                      <w:lang w:val="en-US" w:eastAsia="zh-CN"/>
                    </w:rPr>
                  </w:pPr>
                  <w:r>
                    <w:rPr>
                      <w:rFonts w:hint="eastAsia" w:eastAsia="宋体"/>
                      <w:color w:val="auto"/>
                      <w:highlight w:val="none"/>
                      <w:lang w:val="en-US" w:eastAsia="zh-CN"/>
                    </w:rPr>
                    <w:t>T/C/I/R/In</w:t>
                  </w:r>
                </w:p>
              </w:tc>
              <w:tc>
                <w:tcPr>
                  <w:tcW w:w="587" w:type="dxa"/>
                  <w:tcBorders>
                    <w:left w:val="single" w:color="auto" w:sz="4" w:space="0"/>
                    <w:right w:val="single" w:color="auto" w:sz="4" w:space="0"/>
                  </w:tcBorders>
                  <w:vAlign w:val="center"/>
                </w:tcPr>
                <w:p w14:paraId="2BF4B4C1">
                  <w:pPr>
                    <w:pStyle w:val="49"/>
                    <w:ind w:left="-63" w:leftChars="-30" w:right="-63" w:rightChars="-30" w:firstLine="0" w:firstLineChars="0"/>
                    <w:jc w:val="center"/>
                    <w:rPr>
                      <w:rFonts w:hint="eastAsia"/>
                      <w:color w:val="auto"/>
                      <w:highlight w:val="none"/>
                      <w:lang w:val="en-US" w:eastAsia="zh-CN"/>
                    </w:rPr>
                  </w:pPr>
                  <w:r>
                    <w:rPr>
                      <w:rFonts w:hint="eastAsia"/>
                      <w:color w:val="auto"/>
                      <w:highlight w:val="none"/>
                      <w:lang w:val="en-US" w:eastAsia="zh-CN"/>
                    </w:rPr>
                    <w:t>0.01t</w:t>
                  </w:r>
                </w:p>
              </w:tc>
            </w:tr>
            <w:tr w14:paraId="22EF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5" w:type="dxa"/>
                  <w:shd w:val="clear" w:color="auto" w:fill="auto"/>
                  <w:vAlign w:val="center"/>
                </w:tcPr>
                <w:p w14:paraId="0DB6D892">
                  <w:pPr>
                    <w:pStyle w:val="49"/>
                    <w:ind w:left="-105" w:leftChars="-50" w:right="-105" w:rightChars="-50"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S</w:t>
                  </w:r>
                  <w:r>
                    <w:rPr>
                      <w:rFonts w:hint="eastAsia" w:cs="Times New Roman"/>
                      <w:color w:val="auto"/>
                      <w:highlight w:val="none"/>
                      <w:lang w:val="en-US" w:eastAsia="zh-CN"/>
                    </w:rPr>
                    <w:t>5</w:t>
                  </w:r>
                </w:p>
              </w:tc>
              <w:tc>
                <w:tcPr>
                  <w:tcW w:w="947" w:type="dxa"/>
                  <w:shd w:val="clear" w:color="auto" w:fill="auto"/>
                  <w:vAlign w:val="center"/>
                </w:tcPr>
                <w:p w14:paraId="4447330F">
                  <w:pPr>
                    <w:pStyle w:val="49"/>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废紫外线</w:t>
                  </w:r>
                </w:p>
                <w:p w14:paraId="5D810847">
                  <w:pPr>
                    <w:pStyle w:val="49"/>
                    <w:keepNext w:val="0"/>
                    <w:keepLines w:val="0"/>
                    <w:pageBreakBefore w:val="0"/>
                    <w:widowControl w:val="0"/>
                    <w:kinsoku/>
                    <w:wordWrap/>
                    <w:overflowPunct/>
                    <w:topLinePunct w:val="0"/>
                    <w:autoSpaceDE/>
                    <w:autoSpaceDN/>
                    <w:bidi w:val="0"/>
                    <w:adjustRightInd/>
                    <w:snapToGrid w:val="0"/>
                    <w:ind w:left="-105" w:leftChars="-50" w:right="-105" w:rightChars="-50"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灯管</w:t>
                  </w:r>
                </w:p>
              </w:tc>
              <w:tc>
                <w:tcPr>
                  <w:tcW w:w="877" w:type="dxa"/>
                  <w:shd w:val="clear" w:color="auto" w:fill="auto"/>
                  <w:vAlign w:val="center"/>
                </w:tcPr>
                <w:p w14:paraId="3CEED581">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1"/>
                      <w:szCs w:val="21"/>
                      <w:highlight w:val="none"/>
                      <w:lang w:val="en-US" w:eastAsia="zh-CN"/>
                    </w:rPr>
                    <w:t xml:space="preserve">HW29 </w:t>
                  </w:r>
                </w:p>
              </w:tc>
              <w:tc>
                <w:tcPr>
                  <w:tcW w:w="1196" w:type="dxa"/>
                  <w:shd w:val="clear" w:color="auto" w:fill="auto"/>
                  <w:vAlign w:val="center"/>
                </w:tcPr>
                <w:p w14:paraId="65ABA0F3">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000000"/>
                      <w:sz w:val="21"/>
                      <w:szCs w:val="21"/>
                      <w:highlight w:val="none"/>
                      <w:lang w:val="en-US" w:eastAsia="zh-CN"/>
                    </w:rPr>
                    <w:t>900-023-29</w:t>
                  </w:r>
                </w:p>
              </w:tc>
              <w:tc>
                <w:tcPr>
                  <w:tcW w:w="700" w:type="dxa"/>
                  <w:shd w:val="clear" w:color="auto" w:fill="auto"/>
                  <w:vAlign w:val="center"/>
                </w:tcPr>
                <w:p w14:paraId="2CF0B0FF">
                  <w:pPr>
                    <w:pStyle w:val="49"/>
                    <w:ind w:left="-105" w:leftChars="-50" w:right="-105" w:rightChars="-50"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0.02</w:t>
                  </w:r>
                </w:p>
              </w:tc>
              <w:tc>
                <w:tcPr>
                  <w:tcW w:w="1210" w:type="dxa"/>
                  <w:shd w:val="clear" w:color="auto" w:fill="auto"/>
                  <w:vAlign w:val="center"/>
                </w:tcPr>
                <w:p w14:paraId="195387BF">
                  <w:pPr>
                    <w:pStyle w:val="49"/>
                    <w:ind w:left="-105" w:leftChars="-50" w:right="-105" w:rightChars="-50" w:firstLine="0" w:firstLineChars="0"/>
                    <w:rPr>
                      <w:rFonts w:hint="default"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消毒设施</w:t>
                  </w:r>
                </w:p>
              </w:tc>
              <w:tc>
                <w:tcPr>
                  <w:tcW w:w="662" w:type="dxa"/>
                  <w:shd w:val="clear" w:color="auto" w:fill="auto"/>
                  <w:vAlign w:val="center"/>
                </w:tcPr>
                <w:p w14:paraId="4950033B">
                  <w:pPr>
                    <w:pStyle w:val="49"/>
                    <w:ind w:left="-105" w:leftChars="-50" w:right="-105" w:rightChars="-50"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固态</w:t>
                  </w:r>
                </w:p>
              </w:tc>
              <w:tc>
                <w:tcPr>
                  <w:tcW w:w="919" w:type="dxa"/>
                  <w:shd w:val="clear" w:color="auto" w:fill="auto"/>
                  <w:vAlign w:val="center"/>
                </w:tcPr>
                <w:p w14:paraId="12C4DB9E">
                  <w:pPr>
                    <w:pStyle w:val="49"/>
                    <w:ind w:left="-105" w:leftChars="-50" w:right="-105" w:rightChars="-50"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汞</w:t>
                  </w:r>
                </w:p>
              </w:tc>
              <w:tc>
                <w:tcPr>
                  <w:tcW w:w="893" w:type="dxa"/>
                  <w:shd w:val="clear" w:color="auto" w:fill="auto"/>
                  <w:vAlign w:val="center"/>
                </w:tcPr>
                <w:p w14:paraId="4781251C">
                  <w:pPr>
                    <w:pStyle w:val="49"/>
                    <w:ind w:left="-105" w:leftChars="-50" w:right="-105" w:rightChars="-50" w:firstLine="0" w:firstLineChars="0"/>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T</w:t>
                  </w:r>
                </w:p>
              </w:tc>
              <w:tc>
                <w:tcPr>
                  <w:tcW w:w="587" w:type="dxa"/>
                  <w:tcBorders>
                    <w:left w:val="single" w:color="auto" w:sz="4" w:space="0"/>
                    <w:right w:val="single" w:color="auto" w:sz="4" w:space="0"/>
                  </w:tcBorders>
                  <w:shd w:val="clear" w:color="auto" w:fill="auto"/>
                  <w:vAlign w:val="center"/>
                </w:tcPr>
                <w:p w14:paraId="36DD934C">
                  <w:pPr>
                    <w:pStyle w:val="49"/>
                    <w:ind w:left="-63" w:leftChars="-30" w:right="-63" w:rightChars="-30" w:firstLine="0" w:firstLineChars="0"/>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color w:val="auto"/>
                      <w:highlight w:val="none"/>
                      <w:lang w:val="en-US" w:eastAsia="zh-CN"/>
                    </w:rPr>
                    <w:t>0.01t</w:t>
                  </w:r>
                </w:p>
              </w:tc>
            </w:tr>
          </w:tbl>
          <w:p w14:paraId="02883C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4</w:t>
            </w:r>
            <w:r>
              <w:rPr>
                <w:rFonts w:hint="eastAsia"/>
                <w:b w:val="0"/>
                <w:bCs w:val="0"/>
                <w:sz w:val="24"/>
                <w:lang w:eastAsia="zh-CN"/>
              </w:rPr>
              <w:t>）生活垃圾</w:t>
            </w:r>
          </w:p>
          <w:p w14:paraId="6F8086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项目劳动定员</w:t>
            </w:r>
            <w:r>
              <w:rPr>
                <w:rFonts w:hint="eastAsia"/>
                <w:b w:val="0"/>
                <w:bCs w:val="0"/>
                <w:sz w:val="24"/>
                <w:highlight w:val="none"/>
                <w:lang w:val="en-US" w:eastAsia="zh-CN"/>
              </w:rPr>
              <w:t>6</w:t>
            </w:r>
            <w:r>
              <w:rPr>
                <w:rFonts w:hint="eastAsia"/>
                <w:b w:val="0"/>
                <w:bCs w:val="0"/>
                <w:sz w:val="24"/>
                <w:highlight w:val="none"/>
                <w:lang w:eastAsia="zh-CN"/>
              </w:rPr>
              <w:t>人，流动顾客约</w:t>
            </w:r>
            <w:r>
              <w:rPr>
                <w:rFonts w:hint="eastAsia"/>
                <w:b w:val="0"/>
                <w:bCs w:val="0"/>
                <w:sz w:val="24"/>
                <w:highlight w:val="none"/>
                <w:lang w:val="en-US" w:eastAsia="zh-CN"/>
              </w:rPr>
              <w:t>14</w:t>
            </w:r>
            <w:r>
              <w:rPr>
                <w:rFonts w:hint="eastAsia"/>
                <w:b w:val="0"/>
                <w:bCs w:val="0"/>
                <w:sz w:val="24"/>
                <w:highlight w:val="none"/>
                <w:lang w:eastAsia="zh-CN"/>
              </w:rPr>
              <w:t>人/次·d，生活垃圾产生系数以0.</w:t>
            </w:r>
            <w:r>
              <w:rPr>
                <w:rFonts w:hint="eastAsia"/>
                <w:b w:val="0"/>
                <w:bCs w:val="0"/>
                <w:sz w:val="24"/>
                <w:highlight w:val="none"/>
                <w:lang w:val="en-US" w:eastAsia="zh-CN"/>
              </w:rPr>
              <w:t>5</w:t>
            </w:r>
            <w:r>
              <w:rPr>
                <w:rFonts w:hint="eastAsia"/>
                <w:b w:val="0"/>
                <w:bCs w:val="0"/>
                <w:sz w:val="24"/>
                <w:highlight w:val="none"/>
                <w:lang w:eastAsia="zh-CN"/>
              </w:rPr>
              <w:t>kg/人·d计，则生活垃圾产生量约</w:t>
            </w:r>
            <w:r>
              <w:rPr>
                <w:rFonts w:hint="eastAsia"/>
                <w:b w:val="0"/>
                <w:bCs w:val="0"/>
                <w:sz w:val="24"/>
                <w:highlight w:val="none"/>
                <w:lang w:val="en-US" w:eastAsia="zh-CN"/>
              </w:rPr>
              <w:t>3.65</w:t>
            </w:r>
            <w:r>
              <w:rPr>
                <w:rFonts w:hint="eastAsia"/>
                <w:b w:val="0"/>
                <w:bCs w:val="0"/>
                <w:sz w:val="24"/>
                <w:highlight w:val="none"/>
                <w:lang w:eastAsia="zh-CN"/>
              </w:rPr>
              <w:t>t/a，定期交环卫部门处置。</w:t>
            </w:r>
          </w:p>
          <w:p w14:paraId="6402C7C2">
            <w:pPr>
              <w:pStyle w:val="6"/>
              <w:rPr>
                <w:rFonts w:cs="Times New Roman"/>
                <w:b w:val="0"/>
                <w:bCs/>
                <w:color w:val="auto"/>
                <w:sz w:val="24"/>
                <w:szCs w:val="24"/>
                <w:highlight w:val="none"/>
              </w:rPr>
            </w:pPr>
            <w:r>
              <w:rPr>
                <w:rFonts w:cs="Times New Roman"/>
                <w:b w:val="0"/>
                <w:bCs/>
                <w:color w:val="auto"/>
                <w:sz w:val="24"/>
                <w:szCs w:val="24"/>
                <w:highlight w:val="none"/>
              </w:rPr>
              <w:t>表</w:t>
            </w:r>
            <w:r>
              <w:rPr>
                <w:rFonts w:hint="eastAsia" w:cs="Times New Roman"/>
                <w:b w:val="0"/>
                <w:bCs/>
                <w:color w:val="auto"/>
                <w:sz w:val="24"/>
                <w:szCs w:val="24"/>
                <w:highlight w:val="none"/>
                <w:lang w:val="en-US" w:eastAsia="zh-CN"/>
              </w:rPr>
              <w:t>4.2-23</w:t>
            </w:r>
            <w:r>
              <w:rPr>
                <w:rFonts w:cs="Times New Roman"/>
                <w:b w:val="0"/>
                <w:bCs/>
                <w:color w:val="auto"/>
                <w:sz w:val="24"/>
                <w:szCs w:val="24"/>
                <w:highlight w:val="none"/>
              </w:rPr>
              <w:t xml:space="preserve"> 本项目</w:t>
            </w:r>
            <w:r>
              <w:rPr>
                <w:rFonts w:hint="eastAsia" w:cs="Times New Roman"/>
                <w:b w:val="0"/>
                <w:bCs/>
                <w:color w:val="auto"/>
                <w:sz w:val="24"/>
                <w:szCs w:val="24"/>
                <w:highlight w:val="none"/>
              </w:rPr>
              <w:t>生活垃圾</w:t>
            </w:r>
            <w:r>
              <w:rPr>
                <w:rFonts w:cs="Times New Roman"/>
                <w:b w:val="0"/>
                <w:bCs/>
                <w:color w:val="auto"/>
                <w:sz w:val="24"/>
                <w:szCs w:val="24"/>
                <w:highlight w:val="none"/>
              </w:rPr>
              <w:t>产生情况</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173"/>
              <w:gridCol w:w="1486"/>
              <w:gridCol w:w="1411"/>
              <w:gridCol w:w="2741"/>
            </w:tblGrid>
            <w:tr w14:paraId="21FE6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tcBorders>
                    <w:tl2br w:val="nil"/>
                    <w:tr2bl w:val="nil"/>
                  </w:tcBorders>
                  <w:vAlign w:val="center"/>
                </w:tcPr>
                <w:p w14:paraId="3B7ED442">
                  <w:pPr>
                    <w:pStyle w:val="49"/>
                    <w:ind w:left="-105" w:leftChars="-50" w:right="-105" w:rightChars="-50"/>
                    <w:rPr>
                      <w:color w:val="auto"/>
                      <w:highlight w:val="none"/>
                      <w:lang w:val="zh-CN"/>
                    </w:rPr>
                  </w:pPr>
                  <w:r>
                    <w:rPr>
                      <w:color w:val="auto"/>
                      <w:highlight w:val="none"/>
                      <w:lang w:val="zh-CN"/>
                    </w:rPr>
                    <w:t>固废名称</w:t>
                  </w:r>
                </w:p>
              </w:tc>
              <w:tc>
                <w:tcPr>
                  <w:tcW w:w="705" w:type="pct"/>
                  <w:tcBorders>
                    <w:tl2br w:val="nil"/>
                    <w:tr2bl w:val="nil"/>
                  </w:tcBorders>
                  <w:vAlign w:val="center"/>
                </w:tcPr>
                <w:p w14:paraId="4AA7B30D">
                  <w:pPr>
                    <w:pStyle w:val="49"/>
                    <w:ind w:left="-105" w:leftChars="-50" w:right="-105" w:rightChars="-50"/>
                    <w:rPr>
                      <w:color w:val="auto"/>
                      <w:highlight w:val="none"/>
                      <w:lang w:val="zh-CN"/>
                    </w:rPr>
                  </w:pPr>
                  <w:r>
                    <w:rPr>
                      <w:color w:val="auto"/>
                      <w:highlight w:val="none"/>
                      <w:lang w:val="zh-CN"/>
                    </w:rPr>
                    <w:t>产生工序</w:t>
                  </w:r>
                </w:p>
              </w:tc>
              <w:tc>
                <w:tcPr>
                  <w:tcW w:w="893" w:type="pct"/>
                  <w:tcBorders>
                    <w:tl2br w:val="nil"/>
                    <w:tr2bl w:val="nil"/>
                  </w:tcBorders>
                  <w:vAlign w:val="center"/>
                </w:tcPr>
                <w:p w14:paraId="2770498B">
                  <w:pPr>
                    <w:pStyle w:val="49"/>
                    <w:ind w:left="-105" w:leftChars="-50" w:right="-105" w:rightChars="-50"/>
                    <w:rPr>
                      <w:color w:val="auto"/>
                      <w:highlight w:val="none"/>
                      <w:lang w:val="zh-CN"/>
                    </w:rPr>
                  </w:pPr>
                  <w:r>
                    <w:rPr>
                      <w:color w:val="auto"/>
                      <w:highlight w:val="none"/>
                      <w:lang w:val="zh-CN"/>
                    </w:rPr>
                    <w:t>产生量（</w:t>
                  </w:r>
                  <w:r>
                    <w:rPr>
                      <w:color w:val="auto"/>
                      <w:highlight w:val="none"/>
                    </w:rPr>
                    <w:t>t/a</w:t>
                  </w:r>
                  <w:r>
                    <w:rPr>
                      <w:color w:val="auto"/>
                      <w:highlight w:val="none"/>
                      <w:lang w:val="zh-CN"/>
                    </w:rPr>
                    <w:t>）</w:t>
                  </w:r>
                </w:p>
              </w:tc>
              <w:tc>
                <w:tcPr>
                  <w:tcW w:w="848" w:type="pct"/>
                  <w:tcBorders>
                    <w:tl2br w:val="nil"/>
                    <w:tr2bl w:val="nil"/>
                  </w:tcBorders>
                  <w:vAlign w:val="center"/>
                </w:tcPr>
                <w:p w14:paraId="7CA85694">
                  <w:pPr>
                    <w:pStyle w:val="49"/>
                    <w:ind w:left="-105" w:leftChars="-50" w:right="-105" w:rightChars="-50"/>
                    <w:rPr>
                      <w:color w:val="auto"/>
                      <w:highlight w:val="none"/>
                      <w:lang w:val="zh-CN"/>
                    </w:rPr>
                  </w:pPr>
                  <w:r>
                    <w:rPr>
                      <w:color w:val="auto"/>
                      <w:highlight w:val="none"/>
                      <w:lang w:val="zh-CN"/>
                    </w:rPr>
                    <w:t>废物代码</w:t>
                  </w:r>
                </w:p>
              </w:tc>
              <w:tc>
                <w:tcPr>
                  <w:tcW w:w="1646" w:type="pct"/>
                  <w:tcBorders>
                    <w:tl2br w:val="nil"/>
                    <w:tr2bl w:val="nil"/>
                  </w:tcBorders>
                  <w:vAlign w:val="center"/>
                </w:tcPr>
                <w:p w14:paraId="363751C6">
                  <w:pPr>
                    <w:pStyle w:val="49"/>
                    <w:ind w:left="-105" w:leftChars="-50" w:right="-105" w:rightChars="-50"/>
                    <w:rPr>
                      <w:color w:val="auto"/>
                      <w:highlight w:val="none"/>
                      <w:lang w:val="zh-CN"/>
                    </w:rPr>
                  </w:pPr>
                  <w:r>
                    <w:rPr>
                      <w:color w:val="auto"/>
                      <w:highlight w:val="none"/>
                      <w:lang w:val="zh-CN"/>
                    </w:rPr>
                    <w:t>处理处置措施</w:t>
                  </w:r>
                </w:p>
              </w:tc>
            </w:tr>
            <w:tr w14:paraId="476E0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6" w:type="pct"/>
                  <w:tcBorders>
                    <w:tl2br w:val="nil"/>
                    <w:tr2bl w:val="nil"/>
                  </w:tcBorders>
                  <w:vAlign w:val="center"/>
                </w:tcPr>
                <w:p w14:paraId="67C0304D">
                  <w:pPr>
                    <w:pStyle w:val="49"/>
                    <w:ind w:left="-105" w:leftChars="-50" w:right="-105" w:rightChars="-50"/>
                    <w:rPr>
                      <w:color w:val="auto"/>
                      <w:highlight w:val="none"/>
                    </w:rPr>
                  </w:pPr>
                  <w:r>
                    <w:rPr>
                      <w:rFonts w:hint="eastAsia"/>
                      <w:color w:val="auto"/>
                      <w:highlight w:val="none"/>
                    </w:rPr>
                    <w:t>生活垃圾</w:t>
                  </w:r>
                </w:p>
              </w:tc>
              <w:tc>
                <w:tcPr>
                  <w:tcW w:w="705" w:type="pct"/>
                  <w:tcBorders>
                    <w:tl2br w:val="nil"/>
                    <w:tr2bl w:val="nil"/>
                  </w:tcBorders>
                  <w:vAlign w:val="center"/>
                </w:tcPr>
                <w:p w14:paraId="1AE50BE0">
                  <w:pPr>
                    <w:pStyle w:val="49"/>
                    <w:ind w:left="-105" w:leftChars="-50" w:right="-105" w:rightChars="-50"/>
                    <w:rPr>
                      <w:color w:val="auto"/>
                      <w:highlight w:val="none"/>
                    </w:rPr>
                  </w:pPr>
                  <w:r>
                    <w:rPr>
                      <w:rFonts w:hint="eastAsia"/>
                      <w:color w:val="auto"/>
                      <w:highlight w:val="none"/>
                    </w:rPr>
                    <w:t>日常办公</w:t>
                  </w:r>
                </w:p>
              </w:tc>
              <w:tc>
                <w:tcPr>
                  <w:tcW w:w="893" w:type="pct"/>
                  <w:tcBorders>
                    <w:tl2br w:val="nil"/>
                    <w:tr2bl w:val="nil"/>
                  </w:tcBorders>
                  <w:vAlign w:val="center"/>
                </w:tcPr>
                <w:p w14:paraId="47E641E1">
                  <w:pPr>
                    <w:pStyle w:val="49"/>
                    <w:ind w:left="-105" w:leftChars="-50" w:right="-105" w:rightChars="-50"/>
                    <w:rPr>
                      <w:rFonts w:hint="default" w:eastAsia="宋体"/>
                      <w:color w:val="auto"/>
                      <w:highlight w:val="none"/>
                      <w:lang w:val="en-US" w:eastAsia="zh-CN"/>
                    </w:rPr>
                  </w:pPr>
                  <w:r>
                    <w:rPr>
                      <w:rFonts w:hint="eastAsia"/>
                      <w:color w:val="auto"/>
                      <w:highlight w:val="none"/>
                      <w:lang w:val="en-US" w:eastAsia="zh-CN"/>
                    </w:rPr>
                    <w:t>3.65</w:t>
                  </w:r>
                </w:p>
              </w:tc>
              <w:tc>
                <w:tcPr>
                  <w:tcW w:w="848" w:type="pct"/>
                  <w:tcBorders>
                    <w:tl2br w:val="nil"/>
                    <w:tr2bl w:val="nil"/>
                  </w:tcBorders>
                  <w:vAlign w:val="center"/>
                </w:tcPr>
                <w:p w14:paraId="39511BA4">
                  <w:pPr>
                    <w:pStyle w:val="49"/>
                    <w:ind w:left="-105" w:leftChars="-50" w:right="-105" w:rightChars="-50"/>
                    <w:rPr>
                      <w:color w:val="auto"/>
                      <w:highlight w:val="none"/>
                    </w:rPr>
                  </w:pPr>
                  <w:r>
                    <w:rPr>
                      <w:rFonts w:hint="eastAsia"/>
                      <w:color w:val="auto"/>
                      <w:highlight w:val="none"/>
                    </w:rPr>
                    <w:t>900</w:t>
                  </w:r>
                  <w:r>
                    <w:rPr>
                      <w:rFonts w:hint="eastAsia"/>
                      <w:color w:val="auto"/>
                      <w:highlight w:val="none"/>
                      <w:lang w:val="zh-CN"/>
                    </w:rPr>
                    <w:t>-</w:t>
                  </w:r>
                  <w:r>
                    <w:rPr>
                      <w:rFonts w:hint="eastAsia"/>
                      <w:color w:val="auto"/>
                      <w:highlight w:val="none"/>
                    </w:rPr>
                    <w:t>099</w:t>
                  </w:r>
                  <w:r>
                    <w:rPr>
                      <w:rFonts w:hint="eastAsia"/>
                      <w:color w:val="auto"/>
                      <w:highlight w:val="none"/>
                      <w:lang w:val="zh-CN"/>
                    </w:rPr>
                    <w:t>-</w:t>
                  </w:r>
                  <w:r>
                    <w:rPr>
                      <w:rFonts w:hint="eastAsia"/>
                      <w:color w:val="auto"/>
                      <w:highlight w:val="none"/>
                    </w:rPr>
                    <w:t>S64</w:t>
                  </w:r>
                </w:p>
              </w:tc>
              <w:tc>
                <w:tcPr>
                  <w:tcW w:w="1646" w:type="pct"/>
                  <w:tcBorders>
                    <w:tl2br w:val="nil"/>
                    <w:tr2bl w:val="nil"/>
                  </w:tcBorders>
                  <w:vAlign w:val="center"/>
                </w:tcPr>
                <w:p w14:paraId="4DB01463">
                  <w:pPr>
                    <w:pStyle w:val="49"/>
                    <w:ind w:left="-105" w:leftChars="-50" w:right="-105" w:rightChars="-50"/>
                    <w:rPr>
                      <w:color w:val="auto"/>
                      <w:highlight w:val="none"/>
                    </w:rPr>
                  </w:pPr>
                  <w:r>
                    <w:rPr>
                      <w:bCs/>
                      <w:color w:val="auto"/>
                      <w:highlight w:val="none"/>
                    </w:rPr>
                    <w:t>袋装收集后定期交由当地环卫部门处置</w:t>
                  </w:r>
                </w:p>
              </w:tc>
            </w:tr>
          </w:tbl>
          <w:p w14:paraId="3630C51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highlight w:val="none"/>
                <w:lang w:eastAsia="zh-CN"/>
              </w:rPr>
            </w:pPr>
            <w:r>
              <w:rPr>
                <w:rFonts w:hint="eastAsia"/>
                <w:b/>
                <w:bCs/>
                <w:sz w:val="24"/>
                <w:highlight w:val="none"/>
                <w:lang w:eastAsia="zh-CN"/>
              </w:rPr>
              <w:t>4.2.4.2 固体废物的处置、暂存和管理要求</w:t>
            </w:r>
          </w:p>
          <w:p w14:paraId="5E4BB5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w:t>
            </w:r>
            <w:r>
              <w:rPr>
                <w:rFonts w:hint="eastAsia"/>
                <w:b w:val="0"/>
                <w:bCs w:val="0"/>
                <w:sz w:val="24"/>
                <w:highlight w:val="none"/>
                <w:lang w:val="en-US" w:eastAsia="zh-CN"/>
              </w:rPr>
              <w:t>1</w:t>
            </w:r>
            <w:r>
              <w:rPr>
                <w:rFonts w:hint="eastAsia"/>
                <w:b w:val="0"/>
                <w:bCs w:val="0"/>
                <w:sz w:val="24"/>
                <w:highlight w:val="none"/>
                <w:lang w:eastAsia="zh-CN"/>
              </w:rPr>
              <w:t>）医疗废物</w:t>
            </w:r>
          </w:p>
          <w:p w14:paraId="19C34B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根据《国家危险废物名录》（202</w:t>
            </w:r>
            <w:r>
              <w:rPr>
                <w:rFonts w:hint="eastAsia"/>
                <w:b w:val="0"/>
                <w:bCs w:val="0"/>
                <w:sz w:val="24"/>
                <w:highlight w:val="none"/>
                <w:lang w:val="en-US" w:eastAsia="zh-CN"/>
              </w:rPr>
              <w:t>5</w:t>
            </w:r>
            <w:r>
              <w:rPr>
                <w:rFonts w:hint="eastAsia"/>
                <w:b w:val="0"/>
                <w:bCs w:val="0"/>
                <w:sz w:val="24"/>
                <w:highlight w:val="none"/>
                <w:lang w:eastAsia="zh-CN"/>
              </w:rPr>
              <w:t>年版）、《医疗废物分类目录》（2021年版）相关规定，项目产生的医疗废物属于危险废物，必须按照《医疗废物专用包装袋、容器和警示标志标准》（HJ421-2008）、《危险废物识别标志设置技术规范》（HJ1276-2022）、《危险废物贮存污染控制标准》（GB 18597-2023）、《危险废物收集贮存运输技术规范》（HJ2025-2012）等相关要求进行管理，送有资质单位处置。</w:t>
            </w:r>
          </w:p>
          <w:p w14:paraId="7BC41A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根据《危险废物收集贮存运输技术规范》（HJ2025-2012），在危险废物的收集和转运过程中，应采取相应的安全防护和污染防治措施，包括</w:t>
            </w:r>
            <w:r>
              <w:rPr>
                <w:rFonts w:hint="eastAsia"/>
                <w:b w:val="0"/>
                <w:bCs w:val="0"/>
                <w:sz w:val="24"/>
                <w:highlight w:val="none"/>
                <w:lang w:val="en-US" w:eastAsia="zh-CN"/>
              </w:rPr>
              <w:t>防爆</w:t>
            </w:r>
            <w:r>
              <w:rPr>
                <w:rFonts w:hint="eastAsia"/>
                <w:b w:val="0"/>
                <w:bCs w:val="0"/>
                <w:sz w:val="24"/>
                <w:highlight w:val="none"/>
                <w:lang w:eastAsia="zh-CN"/>
              </w:rPr>
              <w:t>、防火、防中毒防感染、防泄漏、防飞扬、防雨或其他防止污染环境的措施。</w:t>
            </w:r>
          </w:p>
          <w:p w14:paraId="24FD4E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①医疗废物的收集</w:t>
            </w:r>
          </w:p>
          <w:p w14:paraId="13D670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医疗废物应采用专用容器进行收集，明确各类废弃物标识，分类包装，并本着及时、方便、安全、快捷的原则，进行收集。感染性废物、损伤性废物、药物性废物及化学性废物不能混合收集；放入存放容器包装物内的各类废物不得取出。当盛装的医疗废物达到存储容器的3/</w:t>
            </w:r>
            <w:r>
              <w:rPr>
                <w:rFonts w:hint="eastAsia"/>
                <w:b w:val="0"/>
                <w:bCs w:val="0"/>
                <w:sz w:val="24"/>
                <w:highlight w:val="none"/>
                <w:lang w:val="en-US" w:eastAsia="zh-CN"/>
              </w:rPr>
              <w:t>4</w:t>
            </w:r>
            <w:r>
              <w:rPr>
                <w:rFonts w:hint="eastAsia"/>
                <w:b w:val="0"/>
                <w:bCs w:val="0"/>
                <w:sz w:val="24"/>
                <w:highlight w:val="none"/>
                <w:lang w:eastAsia="zh-CN"/>
              </w:rPr>
              <w:t>时，应当使用有效的封口方法对包装进行封口密封。医疗废物中的锐利物必须单独存放，并统一按照医学废物处理。收集锐利物的包装容器应使用硬质、防漏、防刺破的材料。</w:t>
            </w:r>
          </w:p>
          <w:p w14:paraId="7DB3F4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②医疗废物包装</w:t>
            </w:r>
          </w:p>
          <w:p w14:paraId="0BB99C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项目医疗废物包装应符合《医疗废物专用包装袋、容器和警示标志标准》（HJ421-2008），除损伤性废物之外的医疗废物采用非聚氯乙烯原料制作，且符合一定防渗和撕裂强度性能要求的软质口袋进行包装。包装袋的颜色为黄色，并有盛装医疗废物类型的文字说明，如盛装感染性废物，应在包装袋上加注“感染性废物字样。包装袋上印刷医疗废物警示标志。利器盒整体以硬质材料制成，其盛装的针头、碎玻璃等锐器不能刺穿利器盒。已装满的利器盒连续3次从1.5m高处垂直落至水泥地面后不能出现破裂、被刺穿等情况。利器盒易于焚烧，不得使用聚氯乙烯（</w:t>
            </w:r>
            <w:r>
              <w:rPr>
                <w:rFonts w:hint="eastAsia"/>
                <w:b w:val="0"/>
                <w:bCs w:val="0"/>
                <w:sz w:val="24"/>
                <w:highlight w:val="none"/>
                <w:lang w:val="en-US" w:eastAsia="zh-CN"/>
              </w:rPr>
              <w:t>PVC</w:t>
            </w:r>
            <w:r>
              <w:rPr>
                <w:rFonts w:hint="eastAsia"/>
                <w:b w:val="0"/>
                <w:bCs w:val="0"/>
                <w:sz w:val="24"/>
                <w:highlight w:val="none"/>
                <w:lang w:eastAsia="zh-CN"/>
              </w:rPr>
              <w:t>）塑料为制造原料。利器盒整体颜色为黄色，在盒体侧面注明“损伤性物质”利器盒上应印刷医疗废物警示标志。</w:t>
            </w:r>
          </w:p>
          <w:p w14:paraId="2D4B783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③医疗废物暂存点</w:t>
            </w:r>
          </w:p>
          <w:p w14:paraId="6F09023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项目医废点位于</w:t>
            </w:r>
            <w:r>
              <w:rPr>
                <w:rFonts w:hint="eastAsia"/>
                <w:b w:val="0"/>
                <w:bCs w:val="0"/>
                <w:sz w:val="24"/>
                <w:highlight w:val="none"/>
                <w:lang w:val="en-US" w:eastAsia="zh-CN"/>
              </w:rPr>
              <w:t>取药室内</w:t>
            </w:r>
            <w:r>
              <w:rPr>
                <w:rFonts w:hint="eastAsia"/>
                <w:b w:val="0"/>
                <w:bCs w:val="0"/>
                <w:sz w:val="24"/>
                <w:highlight w:val="none"/>
                <w:lang w:eastAsia="zh-CN"/>
              </w:rPr>
              <w:t>，面积约</w:t>
            </w:r>
            <w:r>
              <w:rPr>
                <w:rFonts w:hint="eastAsia"/>
                <w:b w:val="0"/>
                <w:bCs w:val="0"/>
                <w:sz w:val="24"/>
                <w:highlight w:val="none"/>
                <w:lang w:val="en-US" w:eastAsia="zh-CN"/>
              </w:rPr>
              <w:t>1</w:t>
            </w:r>
            <w:r>
              <w:rPr>
                <w:rFonts w:hint="eastAsia"/>
                <w:b w:val="0"/>
                <w:bCs w:val="0"/>
                <w:sz w:val="24"/>
                <w:highlight w:val="none"/>
                <w:lang w:eastAsia="zh-CN"/>
              </w:rPr>
              <w:t>m</w:t>
            </w:r>
            <w:r>
              <w:rPr>
                <w:rFonts w:hint="eastAsia"/>
                <w:b w:val="0"/>
                <w:bCs w:val="0"/>
                <w:sz w:val="24"/>
                <w:highlight w:val="none"/>
                <w:vertAlign w:val="superscript"/>
                <w:lang w:val="en-US" w:eastAsia="zh-CN"/>
              </w:rPr>
              <w:t>2</w:t>
            </w:r>
            <w:r>
              <w:rPr>
                <w:rFonts w:hint="eastAsia"/>
                <w:b w:val="0"/>
                <w:bCs w:val="0"/>
                <w:sz w:val="24"/>
                <w:highlight w:val="none"/>
                <w:lang w:eastAsia="zh-CN"/>
              </w:rPr>
              <w:t>，并设置明显的警示标识和防渗漏、防鼠、防蚊蝇、防蟑螂、防盗以及预防儿童接触等安全措施，定期进行消毒和清洁。医疗废物暂时贮存时间不得超过2天。</w:t>
            </w:r>
          </w:p>
          <w:p w14:paraId="32923F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由各收集点收集的医疗废物采用防渗漏、防遗撒、防锐器穿透的专用包装物或者密闭的容器，按照本单位确定的内部医疗废物运送时间、路线，将医疗废物收集运送至暂时贮存设施贮存，然后运往有资质单位处理。运送工具使用后应当在医疗卫生机构内指定的地点及时消毒和清洁。</w:t>
            </w:r>
          </w:p>
          <w:p w14:paraId="62967B6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④医疗废物交接、转移</w:t>
            </w:r>
          </w:p>
          <w:p w14:paraId="32BDDF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医废点贮存的医疗废物定期交有明显医疗废物标识的专用车辆运至有资质的单位处理。医疗废物转移必须按照《危险废物转移管理办法》（生态环境部安交通运输部）的规定，执行危险废物转移联单制度。宠物医院禁止转让、买卖医疗废物，禁止在运输过程中丢弃医疗废物，禁止随意倾倒、堆放医疗废物或者医疗废物混入其他废物或生活垃圾中。</w:t>
            </w:r>
          </w:p>
          <w:p w14:paraId="13F2E0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宠物医院应对交接的医疗废物如实计量，严格按照有关规定进行交接登记，并将记录保存备查。转移医疗废物时按《登记表》要求逐项填写相应内容，交付有资质单位处理核实无误后双方签字确认。并依据《登记表》每月汇总医疗废物数量填写《医废联单》，一并交付处置单位有资质单位处理。</w:t>
            </w:r>
          </w:p>
          <w:p w14:paraId="3677B2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医疗废物处理单位应对医疗废物的来源、种类、数量、交接时间、处置方法等情况进行登记，登记资料保存时间不少于3年，定期接受环保、卫生部门检查。</w:t>
            </w:r>
          </w:p>
          <w:p w14:paraId="26F402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val="en-US" w:eastAsia="zh-CN"/>
              </w:rPr>
              <w:t>⑤</w:t>
            </w:r>
            <w:r>
              <w:rPr>
                <w:rFonts w:hint="eastAsia"/>
                <w:b w:val="0"/>
                <w:bCs w:val="0"/>
                <w:sz w:val="24"/>
                <w:highlight w:val="none"/>
                <w:lang w:eastAsia="zh-CN"/>
              </w:rPr>
              <w:t>医疗废物处置</w:t>
            </w:r>
          </w:p>
          <w:p w14:paraId="5D2F41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项目产生医疗废物分类收集后暂存于医废点，定期送有医疗废物处理资质的单位处理。</w:t>
            </w:r>
          </w:p>
          <w:p w14:paraId="177910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根据《国家危险废物名录》（202</w:t>
            </w:r>
            <w:r>
              <w:rPr>
                <w:rFonts w:hint="eastAsia"/>
                <w:b w:val="0"/>
                <w:bCs w:val="0"/>
                <w:sz w:val="24"/>
                <w:highlight w:val="none"/>
                <w:lang w:val="en-US" w:eastAsia="zh-CN"/>
              </w:rPr>
              <w:t>5</w:t>
            </w:r>
            <w:r>
              <w:rPr>
                <w:rFonts w:hint="eastAsia"/>
                <w:b w:val="0"/>
                <w:bCs w:val="0"/>
                <w:sz w:val="24"/>
                <w:highlight w:val="none"/>
                <w:lang w:eastAsia="zh-CN"/>
              </w:rPr>
              <w:t>年版）危险废物豁免管理清单：床位总数在19张以下(含19张)的医疗机构产生的医疗废物(重大传染病疫情期间产生的医疗废物除外)</w:t>
            </w:r>
            <w:r>
              <w:rPr>
                <w:rFonts w:hint="eastAsia"/>
                <w:b w:val="0"/>
                <w:bCs w:val="0"/>
                <w:sz w:val="24"/>
                <w:highlight w:val="none"/>
                <w:lang w:val="en-US" w:eastAsia="zh-CN"/>
              </w:rPr>
              <w:t>HW01 医疗废物收集过程不按危险废物管理，按《医疗卫生机构医疗废物管理办法》等规定进行消毒和收集；不按危险废物进行运输，转运车辆符合《医疗废物转运车技术要求(试行)》(GB 19217)要求。</w:t>
            </w:r>
          </w:p>
          <w:p w14:paraId="430838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w:t>
            </w:r>
            <w:r>
              <w:rPr>
                <w:rFonts w:hint="eastAsia"/>
                <w:b w:val="0"/>
                <w:bCs w:val="0"/>
                <w:sz w:val="24"/>
                <w:highlight w:val="none"/>
                <w:lang w:val="en-US" w:eastAsia="zh-CN"/>
              </w:rPr>
              <w:t>2</w:t>
            </w:r>
            <w:r>
              <w:rPr>
                <w:rFonts w:hint="eastAsia"/>
                <w:b w:val="0"/>
                <w:bCs w:val="0"/>
                <w:sz w:val="24"/>
                <w:highlight w:val="none"/>
                <w:lang w:eastAsia="zh-CN"/>
              </w:rPr>
              <w:t>）其他固体废物处置措施</w:t>
            </w:r>
          </w:p>
          <w:p w14:paraId="407A61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猫住院、诊疗产生的猫砂及犬住院、门诊产生的动物粪污经消毒处理后交市政环卫部门；生活垃圾、</w:t>
            </w:r>
            <w:r>
              <w:rPr>
                <w:rFonts w:hint="eastAsia"/>
                <w:b w:val="0"/>
                <w:bCs w:val="0"/>
                <w:sz w:val="24"/>
                <w:highlight w:val="none"/>
                <w:lang w:val="en-US" w:eastAsia="zh-CN"/>
              </w:rPr>
              <w:t>废包装材料、废分子筛</w:t>
            </w:r>
            <w:r>
              <w:rPr>
                <w:rFonts w:hint="eastAsia"/>
                <w:b w:val="0"/>
                <w:bCs w:val="0"/>
                <w:sz w:val="24"/>
                <w:highlight w:val="none"/>
                <w:lang w:eastAsia="zh-CN"/>
              </w:rPr>
              <w:t>交环卫部门统一收运；动物尸体由宠物主人或医院交有资质单位进行无害化处理；废紫外线灯管属于危险废物，分类收集后暂存于医废点，定期交有资质单位处置。</w:t>
            </w:r>
          </w:p>
          <w:p w14:paraId="641A95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综上所述，项目营运期产生的固体废物能得到综合利用及合理处置，不会对周边环境造成影响。</w:t>
            </w:r>
          </w:p>
          <w:p w14:paraId="1F36AE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4"/>
                <w:highlight w:val="none"/>
                <w:vertAlign w:val="baseline"/>
                <w:lang w:eastAsia="zh-CN"/>
              </w:rPr>
            </w:pPr>
            <w:r>
              <w:rPr>
                <w:rFonts w:hint="eastAsia"/>
                <w:b w:val="0"/>
                <w:bCs w:val="0"/>
                <w:sz w:val="24"/>
                <w:highlight w:val="none"/>
                <w:lang w:eastAsia="zh-CN"/>
              </w:rPr>
              <w:t>表4.2-24 项目危险废物贮存场所（设施）基本情况表</w:t>
            </w:r>
          </w:p>
          <w:tbl>
            <w:tblPr>
              <w:tblStyle w:val="2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5"/>
              <w:gridCol w:w="789"/>
              <w:gridCol w:w="792"/>
              <w:gridCol w:w="790"/>
              <w:gridCol w:w="1197"/>
              <w:gridCol w:w="792"/>
              <w:gridCol w:w="564"/>
              <w:gridCol w:w="1518"/>
              <w:gridCol w:w="556"/>
              <w:gridCol w:w="531"/>
            </w:tblGrid>
            <w:tr w14:paraId="49BD30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tcBorders>
                    <w:tl2br w:val="nil"/>
                    <w:tr2bl w:val="nil"/>
                  </w:tcBorders>
                  <w:vAlign w:val="center"/>
                </w:tcPr>
                <w:p w14:paraId="7C9AC5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贮存场所名称</w:t>
                  </w:r>
                </w:p>
              </w:tc>
              <w:tc>
                <w:tcPr>
                  <w:tcW w:w="950" w:type="pct"/>
                  <w:gridSpan w:val="2"/>
                  <w:tcBorders>
                    <w:tl2br w:val="nil"/>
                    <w:tr2bl w:val="nil"/>
                  </w:tcBorders>
                  <w:vAlign w:val="center"/>
                </w:tcPr>
                <w:p w14:paraId="1F00B2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val="en-US" w:eastAsia="zh-CN"/>
                    </w:rPr>
                    <w:t>危险废物名称</w:t>
                  </w:r>
                </w:p>
              </w:tc>
              <w:tc>
                <w:tcPr>
                  <w:tcW w:w="475" w:type="pct"/>
                  <w:tcBorders>
                    <w:tl2br w:val="nil"/>
                    <w:tr2bl w:val="nil"/>
                  </w:tcBorders>
                  <w:vAlign w:val="center"/>
                </w:tcPr>
                <w:p w14:paraId="459866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危险废物类别</w:t>
                  </w:r>
                </w:p>
              </w:tc>
              <w:tc>
                <w:tcPr>
                  <w:tcW w:w="719" w:type="pct"/>
                  <w:tcBorders>
                    <w:tl2br w:val="nil"/>
                    <w:tr2bl w:val="nil"/>
                  </w:tcBorders>
                  <w:shd w:val="clear" w:color="auto" w:fill="auto"/>
                  <w:vAlign w:val="center"/>
                </w:tcPr>
                <w:p w14:paraId="089E5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危险废物代码</w:t>
                  </w:r>
                </w:p>
              </w:tc>
              <w:tc>
                <w:tcPr>
                  <w:tcW w:w="476" w:type="pct"/>
                  <w:tcBorders>
                    <w:tl2br w:val="nil"/>
                    <w:tr2bl w:val="nil"/>
                  </w:tcBorders>
                  <w:shd w:val="clear" w:color="auto" w:fill="auto"/>
                  <w:vAlign w:val="center"/>
                </w:tcPr>
                <w:p w14:paraId="32CCE1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位置</w:t>
                  </w:r>
                </w:p>
              </w:tc>
              <w:tc>
                <w:tcPr>
                  <w:tcW w:w="339" w:type="pct"/>
                  <w:tcBorders>
                    <w:tl2br w:val="nil"/>
                    <w:tr2bl w:val="nil"/>
                  </w:tcBorders>
                  <w:shd w:val="clear" w:color="auto" w:fill="auto"/>
                  <w:vAlign w:val="center"/>
                </w:tcPr>
                <w:p w14:paraId="77A13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占地面积</w:t>
                  </w:r>
                </w:p>
              </w:tc>
              <w:tc>
                <w:tcPr>
                  <w:tcW w:w="912" w:type="pct"/>
                  <w:tcBorders>
                    <w:tl2br w:val="nil"/>
                    <w:tr2bl w:val="nil"/>
                  </w:tcBorders>
                  <w:shd w:val="clear" w:color="auto" w:fill="auto"/>
                  <w:vAlign w:val="center"/>
                </w:tcPr>
                <w:p w14:paraId="22640C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贮存方式</w:t>
                  </w:r>
                </w:p>
              </w:tc>
              <w:tc>
                <w:tcPr>
                  <w:tcW w:w="334" w:type="pct"/>
                  <w:tcBorders>
                    <w:tl2br w:val="nil"/>
                    <w:tr2bl w:val="nil"/>
                  </w:tcBorders>
                  <w:shd w:val="clear" w:color="auto" w:fill="auto"/>
                  <w:vAlign w:val="center"/>
                </w:tcPr>
                <w:p w14:paraId="65EA1C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总贮存能力</w:t>
                  </w:r>
                </w:p>
              </w:tc>
              <w:tc>
                <w:tcPr>
                  <w:tcW w:w="319" w:type="pct"/>
                  <w:tcBorders>
                    <w:tl2br w:val="nil"/>
                    <w:tr2bl w:val="nil"/>
                  </w:tcBorders>
                  <w:vAlign w:val="center"/>
                </w:tcPr>
                <w:p w14:paraId="31BF0F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贮存周期</w:t>
                  </w:r>
                </w:p>
              </w:tc>
            </w:tr>
            <w:tr w14:paraId="71FC6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Merge w:val="restart"/>
                  <w:tcBorders>
                    <w:tl2br w:val="nil"/>
                    <w:tr2bl w:val="nil"/>
                  </w:tcBorders>
                  <w:vAlign w:val="center"/>
                </w:tcPr>
                <w:p w14:paraId="15B9D3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医疗废物暂存点</w:t>
                  </w:r>
                </w:p>
              </w:tc>
              <w:tc>
                <w:tcPr>
                  <w:tcW w:w="474" w:type="pct"/>
                  <w:vMerge w:val="restart"/>
                  <w:tcBorders>
                    <w:tl2br w:val="nil"/>
                    <w:tr2bl w:val="nil"/>
                  </w:tcBorders>
                  <w:vAlign w:val="center"/>
                </w:tcPr>
                <w:p w14:paraId="3764B9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医疗废物</w:t>
                  </w:r>
                </w:p>
              </w:tc>
              <w:tc>
                <w:tcPr>
                  <w:tcW w:w="476" w:type="pct"/>
                  <w:tcBorders>
                    <w:tl2br w:val="nil"/>
                    <w:tr2bl w:val="nil"/>
                  </w:tcBorders>
                  <w:shd w:val="clear" w:color="auto" w:fill="auto"/>
                  <w:vAlign w:val="center"/>
                </w:tcPr>
                <w:p w14:paraId="0C9FDC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感染性废物</w:t>
                  </w:r>
                </w:p>
              </w:tc>
              <w:tc>
                <w:tcPr>
                  <w:tcW w:w="475" w:type="pct"/>
                  <w:vMerge w:val="restart"/>
                  <w:tcBorders>
                    <w:tl2br w:val="nil"/>
                    <w:tr2bl w:val="nil"/>
                  </w:tcBorders>
                  <w:vAlign w:val="center"/>
                </w:tcPr>
                <w:p w14:paraId="184E0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HW01</w:t>
                  </w:r>
                </w:p>
              </w:tc>
              <w:tc>
                <w:tcPr>
                  <w:tcW w:w="719" w:type="pct"/>
                  <w:tcBorders>
                    <w:tl2br w:val="nil"/>
                    <w:tr2bl w:val="nil"/>
                  </w:tcBorders>
                  <w:shd w:val="clear" w:color="auto" w:fill="auto"/>
                  <w:vAlign w:val="center"/>
                </w:tcPr>
                <w:p w14:paraId="2542A0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841-001-01</w:t>
                  </w:r>
                </w:p>
              </w:tc>
              <w:tc>
                <w:tcPr>
                  <w:tcW w:w="476" w:type="pct"/>
                  <w:vMerge w:val="restart"/>
                  <w:tcBorders>
                    <w:tl2br w:val="nil"/>
                    <w:tr2bl w:val="nil"/>
                  </w:tcBorders>
                  <w:vAlign w:val="center"/>
                </w:tcPr>
                <w:p w14:paraId="27090C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val="0"/>
                      <w:bCs w:val="0"/>
                      <w:sz w:val="21"/>
                      <w:szCs w:val="21"/>
                      <w:highlight w:val="none"/>
                      <w:vertAlign w:val="baseline"/>
                      <w:lang w:val="en-US" w:eastAsia="zh-CN"/>
                    </w:rPr>
                  </w:pPr>
                  <w:r>
                    <w:rPr>
                      <w:rFonts w:hint="eastAsia"/>
                      <w:lang w:val="en-US" w:eastAsia="zh-CN"/>
                    </w:rPr>
                    <w:t>取药室内</w:t>
                  </w:r>
                </w:p>
              </w:tc>
              <w:tc>
                <w:tcPr>
                  <w:tcW w:w="339" w:type="pct"/>
                  <w:vMerge w:val="restart"/>
                  <w:tcBorders>
                    <w:tl2br w:val="nil"/>
                    <w:tr2bl w:val="nil"/>
                  </w:tcBorders>
                  <w:vAlign w:val="center"/>
                </w:tcPr>
                <w:p w14:paraId="045531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1m</w:t>
                  </w:r>
                  <w:r>
                    <w:rPr>
                      <w:rFonts w:hint="eastAsia"/>
                      <w:b w:val="0"/>
                      <w:bCs w:val="0"/>
                      <w:sz w:val="21"/>
                      <w:szCs w:val="21"/>
                      <w:highlight w:val="none"/>
                      <w:vertAlign w:val="superscript"/>
                      <w:lang w:val="en-US" w:eastAsia="zh-CN"/>
                    </w:rPr>
                    <w:t>2</w:t>
                  </w:r>
                </w:p>
              </w:tc>
              <w:tc>
                <w:tcPr>
                  <w:tcW w:w="912" w:type="pct"/>
                  <w:tcBorders>
                    <w:tl2br w:val="nil"/>
                    <w:tr2bl w:val="nil"/>
                  </w:tcBorders>
                  <w:vAlign w:val="center"/>
                </w:tcPr>
                <w:p w14:paraId="141E6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采用医疗废物包装袋收集后暂存于专用的医疗废物桶内</w:t>
                  </w:r>
                </w:p>
              </w:tc>
              <w:tc>
                <w:tcPr>
                  <w:tcW w:w="334" w:type="pct"/>
                  <w:vMerge w:val="restart"/>
                  <w:tcBorders>
                    <w:tl2br w:val="nil"/>
                    <w:tr2bl w:val="nil"/>
                  </w:tcBorders>
                  <w:vAlign w:val="center"/>
                </w:tcPr>
                <w:p w14:paraId="168221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0.02t</w:t>
                  </w:r>
                </w:p>
              </w:tc>
              <w:tc>
                <w:tcPr>
                  <w:tcW w:w="319" w:type="pct"/>
                  <w:vMerge w:val="restart"/>
                  <w:tcBorders>
                    <w:tl2br w:val="nil"/>
                    <w:tr2bl w:val="nil"/>
                  </w:tcBorders>
                  <w:vAlign w:val="center"/>
                </w:tcPr>
                <w:p w14:paraId="4B73D5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2d</w:t>
                  </w:r>
                </w:p>
              </w:tc>
            </w:tr>
            <w:tr w14:paraId="2BC55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Merge w:val="continue"/>
                  <w:tcBorders>
                    <w:tl2br w:val="nil"/>
                    <w:tr2bl w:val="nil"/>
                  </w:tcBorders>
                  <w:vAlign w:val="center"/>
                </w:tcPr>
                <w:p w14:paraId="10EF83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4" w:type="pct"/>
                  <w:vMerge w:val="continue"/>
                  <w:tcBorders>
                    <w:tl2br w:val="nil"/>
                    <w:tr2bl w:val="nil"/>
                  </w:tcBorders>
                  <w:vAlign w:val="center"/>
                </w:tcPr>
                <w:p w14:paraId="1CDE5C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6" w:type="pct"/>
                  <w:tcBorders>
                    <w:tl2br w:val="nil"/>
                    <w:tr2bl w:val="nil"/>
                  </w:tcBorders>
                  <w:shd w:val="clear" w:color="auto" w:fill="auto"/>
                  <w:vAlign w:val="center"/>
                </w:tcPr>
                <w:p w14:paraId="10EF60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损伤性废物</w:t>
                  </w:r>
                </w:p>
              </w:tc>
              <w:tc>
                <w:tcPr>
                  <w:tcW w:w="475" w:type="pct"/>
                  <w:vMerge w:val="continue"/>
                  <w:tcBorders>
                    <w:tl2br w:val="nil"/>
                    <w:tr2bl w:val="nil"/>
                  </w:tcBorders>
                  <w:vAlign w:val="center"/>
                </w:tcPr>
                <w:p w14:paraId="3D390C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719" w:type="pct"/>
                  <w:tcBorders>
                    <w:tl2br w:val="nil"/>
                    <w:tr2bl w:val="nil"/>
                  </w:tcBorders>
                  <w:shd w:val="clear" w:color="auto" w:fill="auto"/>
                  <w:vAlign w:val="center"/>
                </w:tcPr>
                <w:p w14:paraId="4B298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841-002-01</w:t>
                  </w:r>
                </w:p>
              </w:tc>
              <w:tc>
                <w:tcPr>
                  <w:tcW w:w="476" w:type="pct"/>
                  <w:vMerge w:val="continue"/>
                  <w:tcBorders>
                    <w:tl2br w:val="nil"/>
                    <w:tr2bl w:val="nil"/>
                  </w:tcBorders>
                  <w:vAlign w:val="center"/>
                </w:tcPr>
                <w:p w14:paraId="313DE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39" w:type="pct"/>
                  <w:vMerge w:val="continue"/>
                  <w:tcBorders>
                    <w:tl2br w:val="nil"/>
                    <w:tr2bl w:val="nil"/>
                  </w:tcBorders>
                  <w:vAlign w:val="center"/>
                </w:tcPr>
                <w:p w14:paraId="5FA55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912" w:type="pct"/>
                  <w:tcBorders>
                    <w:tl2br w:val="nil"/>
                    <w:tr2bl w:val="nil"/>
                  </w:tcBorders>
                  <w:vAlign w:val="center"/>
                </w:tcPr>
                <w:p w14:paraId="5AC759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采用利器盒收集后，暂存于专用的医疗废物桶内</w:t>
                  </w:r>
                </w:p>
              </w:tc>
              <w:tc>
                <w:tcPr>
                  <w:tcW w:w="334" w:type="pct"/>
                  <w:vMerge w:val="continue"/>
                  <w:tcBorders>
                    <w:tl2br w:val="nil"/>
                    <w:tr2bl w:val="nil"/>
                  </w:tcBorders>
                  <w:vAlign w:val="center"/>
                </w:tcPr>
                <w:p w14:paraId="65200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19" w:type="pct"/>
                  <w:vMerge w:val="continue"/>
                  <w:tcBorders>
                    <w:tl2br w:val="nil"/>
                    <w:tr2bl w:val="nil"/>
                  </w:tcBorders>
                  <w:vAlign w:val="center"/>
                </w:tcPr>
                <w:p w14:paraId="2760AC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r>
            <w:tr w14:paraId="36E65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Merge w:val="continue"/>
                  <w:tcBorders>
                    <w:tl2br w:val="nil"/>
                    <w:tr2bl w:val="nil"/>
                  </w:tcBorders>
                  <w:vAlign w:val="center"/>
                </w:tcPr>
                <w:p w14:paraId="29F69B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4" w:type="pct"/>
                  <w:vMerge w:val="continue"/>
                  <w:tcBorders>
                    <w:tl2br w:val="nil"/>
                    <w:tr2bl w:val="nil"/>
                  </w:tcBorders>
                  <w:vAlign w:val="center"/>
                </w:tcPr>
                <w:p w14:paraId="75C705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6" w:type="pct"/>
                  <w:tcBorders>
                    <w:tl2br w:val="nil"/>
                    <w:tr2bl w:val="nil"/>
                  </w:tcBorders>
                  <w:shd w:val="clear" w:color="auto" w:fill="auto"/>
                  <w:vAlign w:val="center"/>
                </w:tcPr>
                <w:p w14:paraId="107EE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病理性废物</w:t>
                  </w:r>
                </w:p>
              </w:tc>
              <w:tc>
                <w:tcPr>
                  <w:tcW w:w="475" w:type="pct"/>
                  <w:vMerge w:val="continue"/>
                  <w:tcBorders>
                    <w:tl2br w:val="nil"/>
                    <w:tr2bl w:val="nil"/>
                  </w:tcBorders>
                  <w:vAlign w:val="center"/>
                </w:tcPr>
                <w:p w14:paraId="78C75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719" w:type="pct"/>
                  <w:tcBorders>
                    <w:tl2br w:val="nil"/>
                    <w:tr2bl w:val="nil"/>
                  </w:tcBorders>
                  <w:shd w:val="clear" w:color="auto" w:fill="auto"/>
                  <w:vAlign w:val="center"/>
                </w:tcPr>
                <w:p w14:paraId="5A6F26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841-003-01</w:t>
                  </w:r>
                </w:p>
              </w:tc>
              <w:tc>
                <w:tcPr>
                  <w:tcW w:w="476" w:type="pct"/>
                  <w:vMerge w:val="continue"/>
                  <w:tcBorders>
                    <w:tl2br w:val="nil"/>
                    <w:tr2bl w:val="nil"/>
                  </w:tcBorders>
                  <w:vAlign w:val="center"/>
                </w:tcPr>
                <w:p w14:paraId="17C1C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39" w:type="pct"/>
                  <w:vMerge w:val="continue"/>
                  <w:tcBorders>
                    <w:tl2br w:val="nil"/>
                    <w:tr2bl w:val="nil"/>
                  </w:tcBorders>
                  <w:vAlign w:val="center"/>
                </w:tcPr>
                <w:p w14:paraId="29F4C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912" w:type="pct"/>
                  <w:tcBorders>
                    <w:tl2br w:val="nil"/>
                    <w:tr2bl w:val="nil"/>
                  </w:tcBorders>
                  <w:vAlign w:val="center"/>
                </w:tcPr>
                <w:p w14:paraId="0F1765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采用医疗废物包装袋收集后暂存于专用的医疗废物桶内</w:t>
                  </w:r>
                </w:p>
              </w:tc>
              <w:tc>
                <w:tcPr>
                  <w:tcW w:w="334" w:type="pct"/>
                  <w:vMerge w:val="continue"/>
                  <w:tcBorders>
                    <w:tl2br w:val="nil"/>
                    <w:tr2bl w:val="nil"/>
                  </w:tcBorders>
                  <w:vAlign w:val="center"/>
                </w:tcPr>
                <w:p w14:paraId="2096B1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19" w:type="pct"/>
                  <w:vMerge w:val="continue"/>
                  <w:tcBorders>
                    <w:tl2br w:val="nil"/>
                    <w:tr2bl w:val="nil"/>
                  </w:tcBorders>
                  <w:vAlign w:val="center"/>
                </w:tcPr>
                <w:p w14:paraId="34A90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r>
            <w:tr w14:paraId="2A6A6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Merge w:val="continue"/>
                  <w:tcBorders>
                    <w:tl2br w:val="nil"/>
                    <w:tr2bl w:val="nil"/>
                  </w:tcBorders>
                  <w:vAlign w:val="center"/>
                </w:tcPr>
                <w:p w14:paraId="3C82A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4" w:type="pct"/>
                  <w:vMerge w:val="continue"/>
                  <w:tcBorders>
                    <w:tl2br w:val="nil"/>
                    <w:tr2bl w:val="nil"/>
                  </w:tcBorders>
                  <w:vAlign w:val="center"/>
                </w:tcPr>
                <w:p w14:paraId="26BC7D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6" w:type="pct"/>
                  <w:tcBorders>
                    <w:tl2br w:val="nil"/>
                    <w:tr2bl w:val="nil"/>
                  </w:tcBorders>
                  <w:shd w:val="clear" w:color="auto" w:fill="auto"/>
                  <w:vAlign w:val="center"/>
                </w:tcPr>
                <w:p w14:paraId="439AE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药理性废物</w:t>
                  </w:r>
                </w:p>
              </w:tc>
              <w:tc>
                <w:tcPr>
                  <w:tcW w:w="475" w:type="pct"/>
                  <w:vMerge w:val="continue"/>
                  <w:tcBorders>
                    <w:tl2br w:val="nil"/>
                    <w:tr2bl w:val="nil"/>
                  </w:tcBorders>
                  <w:vAlign w:val="center"/>
                </w:tcPr>
                <w:p w14:paraId="01897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719" w:type="pct"/>
                  <w:tcBorders>
                    <w:tl2br w:val="nil"/>
                    <w:tr2bl w:val="nil"/>
                  </w:tcBorders>
                  <w:shd w:val="clear" w:color="auto" w:fill="auto"/>
                  <w:vAlign w:val="center"/>
                </w:tcPr>
                <w:p w14:paraId="35D3E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841-004-01</w:t>
                  </w:r>
                </w:p>
              </w:tc>
              <w:tc>
                <w:tcPr>
                  <w:tcW w:w="476" w:type="pct"/>
                  <w:vMerge w:val="continue"/>
                  <w:tcBorders>
                    <w:tl2br w:val="nil"/>
                    <w:tr2bl w:val="nil"/>
                  </w:tcBorders>
                  <w:vAlign w:val="center"/>
                </w:tcPr>
                <w:p w14:paraId="2A503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39" w:type="pct"/>
                  <w:vMerge w:val="continue"/>
                  <w:tcBorders>
                    <w:tl2br w:val="nil"/>
                    <w:tr2bl w:val="nil"/>
                  </w:tcBorders>
                  <w:vAlign w:val="center"/>
                </w:tcPr>
                <w:p w14:paraId="0CA21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912" w:type="pct"/>
                  <w:tcBorders>
                    <w:tl2br w:val="nil"/>
                    <w:tr2bl w:val="nil"/>
                  </w:tcBorders>
                  <w:vAlign w:val="center"/>
                </w:tcPr>
                <w:p w14:paraId="7B4A91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采用医疗废物包装袋收集后,暂存于专用的医疗废物桶内</w:t>
                  </w:r>
                </w:p>
              </w:tc>
              <w:tc>
                <w:tcPr>
                  <w:tcW w:w="334" w:type="pct"/>
                  <w:vMerge w:val="continue"/>
                  <w:tcBorders>
                    <w:tl2br w:val="nil"/>
                    <w:tr2bl w:val="nil"/>
                  </w:tcBorders>
                  <w:vAlign w:val="center"/>
                </w:tcPr>
                <w:p w14:paraId="0DE91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19" w:type="pct"/>
                  <w:vMerge w:val="continue"/>
                  <w:tcBorders>
                    <w:tl2br w:val="nil"/>
                    <w:tr2bl w:val="nil"/>
                  </w:tcBorders>
                  <w:vAlign w:val="center"/>
                </w:tcPr>
                <w:p w14:paraId="5F98D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r>
            <w:tr w14:paraId="02F81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Merge w:val="continue"/>
                  <w:tcBorders>
                    <w:tl2br w:val="nil"/>
                    <w:tr2bl w:val="nil"/>
                  </w:tcBorders>
                  <w:vAlign w:val="center"/>
                </w:tcPr>
                <w:p w14:paraId="3A80E9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4" w:type="pct"/>
                  <w:vMerge w:val="continue"/>
                  <w:tcBorders>
                    <w:tl2br w:val="nil"/>
                    <w:tr2bl w:val="nil"/>
                  </w:tcBorders>
                  <w:vAlign w:val="center"/>
                </w:tcPr>
                <w:p w14:paraId="23EEA7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476" w:type="pct"/>
                  <w:tcBorders>
                    <w:tl2br w:val="nil"/>
                    <w:tr2bl w:val="nil"/>
                  </w:tcBorders>
                  <w:shd w:val="clear" w:color="auto" w:fill="auto"/>
                  <w:vAlign w:val="center"/>
                </w:tcPr>
                <w:p w14:paraId="76929F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化学性废物</w:t>
                  </w:r>
                </w:p>
              </w:tc>
              <w:tc>
                <w:tcPr>
                  <w:tcW w:w="475" w:type="pct"/>
                  <w:vMerge w:val="continue"/>
                  <w:tcBorders>
                    <w:tl2br w:val="nil"/>
                    <w:tr2bl w:val="nil"/>
                  </w:tcBorders>
                  <w:vAlign w:val="center"/>
                </w:tcPr>
                <w:p w14:paraId="4B30B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719" w:type="pct"/>
                  <w:tcBorders>
                    <w:tl2br w:val="nil"/>
                    <w:tr2bl w:val="nil"/>
                  </w:tcBorders>
                  <w:shd w:val="clear" w:color="auto" w:fill="auto"/>
                  <w:vAlign w:val="center"/>
                </w:tcPr>
                <w:p w14:paraId="40E1E7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kern w:val="2"/>
                      <w:sz w:val="21"/>
                      <w:szCs w:val="21"/>
                      <w:highlight w:val="none"/>
                      <w:vertAlign w:val="baseline"/>
                      <w:lang w:val="en-US" w:eastAsia="zh-CN" w:bidi="ar-SA"/>
                    </w:rPr>
                  </w:pPr>
                  <w:r>
                    <w:rPr>
                      <w:rFonts w:hint="eastAsia"/>
                      <w:b w:val="0"/>
                      <w:bCs w:val="0"/>
                      <w:sz w:val="21"/>
                      <w:szCs w:val="21"/>
                      <w:highlight w:val="none"/>
                      <w:vertAlign w:val="baseline"/>
                      <w:lang w:val="en-US" w:eastAsia="zh-CN"/>
                    </w:rPr>
                    <w:t>841-005-01</w:t>
                  </w:r>
                </w:p>
              </w:tc>
              <w:tc>
                <w:tcPr>
                  <w:tcW w:w="476" w:type="pct"/>
                  <w:vMerge w:val="continue"/>
                  <w:tcBorders>
                    <w:tl2br w:val="nil"/>
                    <w:tr2bl w:val="nil"/>
                  </w:tcBorders>
                  <w:vAlign w:val="center"/>
                </w:tcPr>
                <w:p w14:paraId="65FB16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39" w:type="pct"/>
                  <w:vMerge w:val="continue"/>
                  <w:tcBorders>
                    <w:tl2br w:val="nil"/>
                    <w:tr2bl w:val="nil"/>
                  </w:tcBorders>
                  <w:vAlign w:val="center"/>
                </w:tcPr>
                <w:p w14:paraId="1C84B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912" w:type="pct"/>
                  <w:tcBorders>
                    <w:tl2br w:val="nil"/>
                    <w:tr2bl w:val="nil"/>
                  </w:tcBorders>
                  <w:vAlign w:val="center"/>
                </w:tcPr>
                <w:p w14:paraId="37F8B0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收集于容器中暂存于专用的医疗废物桶内</w:t>
                  </w:r>
                </w:p>
              </w:tc>
              <w:tc>
                <w:tcPr>
                  <w:tcW w:w="334" w:type="pct"/>
                  <w:vMerge w:val="continue"/>
                  <w:tcBorders>
                    <w:tl2br w:val="nil"/>
                    <w:tr2bl w:val="nil"/>
                  </w:tcBorders>
                  <w:vAlign w:val="center"/>
                </w:tcPr>
                <w:p w14:paraId="3D171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19" w:type="pct"/>
                  <w:vMerge w:val="continue"/>
                  <w:tcBorders>
                    <w:tl2br w:val="nil"/>
                    <w:tr2bl w:val="nil"/>
                  </w:tcBorders>
                  <w:vAlign w:val="center"/>
                </w:tcPr>
                <w:p w14:paraId="289A4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r>
            <w:tr w14:paraId="46773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2" w:type="pct"/>
                  <w:vMerge w:val="continue"/>
                  <w:tcBorders>
                    <w:tl2br w:val="nil"/>
                    <w:tr2bl w:val="nil"/>
                  </w:tcBorders>
                  <w:vAlign w:val="center"/>
                </w:tcPr>
                <w:p w14:paraId="50A0BE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950" w:type="pct"/>
                  <w:gridSpan w:val="2"/>
                  <w:tcBorders>
                    <w:tl2br w:val="nil"/>
                    <w:tr2bl w:val="nil"/>
                  </w:tcBorders>
                  <w:vAlign w:val="center"/>
                </w:tcPr>
                <w:p w14:paraId="66442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废紫外线灯管</w:t>
                  </w:r>
                </w:p>
              </w:tc>
              <w:tc>
                <w:tcPr>
                  <w:tcW w:w="475" w:type="pct"/>
                  <w:tcBorders>
                    <w:tl2br w:val="nil"/>
                    <w:tr2bl w:val="nil"/>
                  </w:tcBorders>
                  <w:vAlign w:val="center"/>
                </w:tcPr>
                <w:p w14:paraId="648206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HW29</w:t>
                  </w:r>
                </w:p>
              </w:tc>
              <w:tc>
                <w:tcPr>
                  <w:tcW w:w="719" w:type="pct"/>
                  <w:tcBorders>
                    <w:tl2br w:val="nil"/>
                    <w:tr2bl w:val="nil"/>
                  </w:tcBorders>
                  <w:vAlign w:val="center"/>
                </w:tcPr>
                <w:p w14:paraId="13C989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900-023-29</w:t>
                  </w:r>
                </w:p>
              </w:tc>
              <w:tc>
                <w:tcPr>
                  <w:tcW w:w="476" w:type="pct"/>
                  <w:vMerge w:val="continue"/>
                  <w:tcBorders>
                    <w:tl2br w:val="nil"/>
                    <w:tr2bl w:val="nil"/>
                  </w:tcBorders>
                  <w:vAlign w:val="center"/>
                </w:tcPr>
                <w:p w14:paraId="7F5D54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39" w:type="pct"/>
                  <w:vMerge w:val="continue"/>
                  <w:tcBorders>
                    <w:tl2br w:val="nil"/>
                    <w:tr2bl w:val="nil"/>
                  </w:tcBorders>
                  <w:vAlign w:val="center"/>
                </w:tcPr>
                <w:p w14:paraId="278C45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912" w:type="pct"/>
                  <w:tcBorders>
                    <w:tl2br w:val="nil"/>
                    <w:tr2bl w:val="nil"/>
                  </w:tcBorders>
                  <w:vAlign w:val="center"/>
                </w:tcPr>
                <w:p w14:paraId="38DBB8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r>
                    <w:rPr>
                      <w:rFonts w:hint="eastAsia"/>
                      <w:b w:val="0"/>
                      <w:bCs w:val="0"/>
                      <w:sz w:val="21"/>
                      <w:szCs w:val="21"/>
                      <w:highlight w:val="none"/>
                      <w:vertAlign w:val="baseline"/>
                      <w:lang w:eastAsia="zh-CN"/>
                    </w:rPr>
                    <w:t>暂存于危废袋内，放置于收集桶内</w:t>
                  </w:r>
                </w:p>
              </w:tc>
              <w:tc>
                <w:tcPr>
                  <w:tcW w:w="334" w:type="pct"/>
                  <w:vMerge w:val="continue"/>
                  <w:tcBorders>
                    <w:tl2br w:val="nil"/>
                    <w:tr2bl w:val="nil"/>
                  </w:tcBorders>
                  <w:vAlign w:val="center"/>
                </w:tcPr>
                <w:p w14:paraId="447BF3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c>
                <w:tcPr>
                  <w:tcW w:w="319" w:type="pct"/>
                  <w:vMerge w:val="continue"/>
                  <w:tcBorders>
                    <w:tl2br w:val="nil"/>
                    <w:tr2bl w:val="nil"/>
                  </w:tcBorders>
                  <w:vAlign w:val="center"/>
                </w:tcPr>
                <w:p w14:paraId="044E6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val="0"/>
                      <w:bCs w:val="0"/>
                      <w:sz w:val="21"/>
                      <w:szCs w:val="21"/>
                      <w:highlight w:val="none"/>
                      <w:vertAlign w:val="baseline"/>
                      <w:lang w:eastAsia="zh-CN"/>
                    </w:rPr>
                  </w:pPr>
                </w:p>
              </w:tc>
            </w:tr>
          </w:tbl>
          <w:p w14:paraId="455A83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经上述措施妥善处置后，固体废物对环境的影响较小。</w:t>
            </w:r>
          </w:p>
          <w:p w14:paraId="4109D90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highlight w:val="none"/>
                <w:lang w:eastAsia="zh-CN"/>
              </w:rPr>
            </w:pPr>
            <w:r>
              <w:rPr>
                <w:rFonts w:hint="eastAsia"/>
                <w:b/>
                <w:bCs/>
                <w:sz w:val="24"/>
                <w:highlight w:val="none"/>
                <w:lang w:eastAsia="zh-CN"/>
              </w:rPr>
              <w:t>4.2.6 环境风险</w:t>
            </w:r>
          </w:p>
          <w:p w14:paraId="4D82623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highlight w:val="none"/>
                <w:lang w:eastAsia="zh-CN"/>
              </w:rPr>
            </w:pPr>
            <w:r>
              <w:rPr>
                <w:rFonts w:hint="eastAsia"/>
                <w:b/>
                <w:bCs/>
                <w:sz w:val="24"/>
                <w:highlight w:val="none"/>
                <w:lang w:eastAsia="zh-CN"/>
              </w:rPr>
              <w:t>4.2.6.1 环境风险物质及风险源分布</w:t>
            </w:r>
          </w:p>
          <w:p w14:paraId="227E9D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highlight w:val="none"/>
                <w:lang w:eastAsia="zh-CN"/>
              </w:rPr>
            </w:pPr>
            <w:r>
              <w:rPr>
                <w:rFonts w:hint="eastAsia"/>
                <w:b w:val="0"/>
                <w:bCs w:val="0"/>
                <w:sz w:val="24"/>
                <w:highlight w:val="none"/>
                <w:lang w:eastAsia="zh-CN"/>
              </w:rPr>
              <w:t>按照《建设项目环境风险评价技术导则》（HJ169-2018）附录中附录B中“附录A 突发环境事件风险物质及临界量清单”。项目风险物质及储存量见下表。</w:t>
            </w:r>
          </w:p>
          <w:p w14:paraId="60B579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sz w:val="24"/>
                <w:highlight w:val="none"/>
                <w:lang w:eastAsia="zh-CN"/>
              </w:rPr>
            </w:pPr>
            <w:r>
              <w:rPr>
                <w:rFonts w:hint="eastAsia"/>
                <w:b w:val="0"/>
                <w:bCs w:val="0"/>
                <w:sz w:val="24"/>
                <w:highlight w:val="none"/>
                <w:lang w:eastAsia="zh-CN"/>
              </w:rPr>
              <w:t>表4.2-25 项目风险物质储存情况见下表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3121"/>
              <w:gridCol w:w="2081"/>
              <w:gridCol w:w="2087"/>
            </w:tblGrid>
            <w:tr w14:paraId="0A0ED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14:paraId="34AEBBC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序号</w:t>
                  </w:r>
                </w:p>
              </w:tc>
              <w:tc>
                <w:tcPr>
                  <w:tcW w:w="1875" w:type="pct"/>
                  <w:tcBorders>
                    <w:tl2br w:val="nil"/>
                    <w:tr2bl w:val="nil"/>
                  </w:tcBorders>
                  <w:vAlign w:val="center"/>
                </w:tcPr>
                <w:p w14:paraId="613805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名称</w:t>
                  </w:r>
                </w:p>
              </w:tc>
              <w:tc>
                <w:tcPr>
                  <w:tcW w:w="1250" w:type="pct"/>
                  <w:tcBorders>
                    <w:tl2br w:val="nil"/>
                    <w:tr2bl w:val="nil"/>
                  </w:tcBorders>
                  <w:vAlign w:val="center"/>
                </w:tcPr>
                <w:p w14:paraId="1D36F3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储存位置</w:t>
                  </w:r>
                </w:p>
              </w:tc>
              <w:tc>
                <w:tcPr>
                  <w:tcW w:w="1252" w:type="pct"/>
                  <w:tcBorders>
                    <w:tl2br w:val="nil"/>
                    <w:tr2bl w:val="nil"/>
                  </w:tcBorders>
                  <w:vAlign w:val="center"/>
                </w:tcPr>
                <w:p w14:paraId="0189F0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最大储存量（t）</w:t>
                  </w:r>
                </w:p>
              </w:tc>
            </w:tr>
            <w:tr w14:paraId="72B5A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14:paraId="654A11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1</w:t>
                  </w:r>
                </w:p>
              </w:tc>
              <w:tc>
                <w:tcPr>
                  <w:tcW w:w="1875" w:type="pct"/>
                  <w:tcBorders>
                    <w:tl2br w:val="nil"/>
                    <w:tr2bl w:val="nil"/>
                  </w:tcBorders>
                  <w:shd w:val="clear" w:color="auto" w:fill="auto"/>
                  <w:vAlign w:val="center"/>
                </w:tcPr>
                <w:p w14:paraId="46AE81A3">
                  <w:pPr>
                    <w:pStyle w:val="49"/>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84消毒液</w:t>
                  </w:r>
                  <w:r>
                    <w:rPr>
                      <w:rFonts w:hint="eastAsia" w:cs="Times New Roman"/>
                      <w:snapToGrid w:val="0"/>
                      <w:color w:val="auto"/>
                      <w:kern w:val="2"/>
                      <w:sz w:val="21"/>
                      <w:szCs w:val="21"/>
                      <w:lang w:val="en-US" w:eastAsia="zh-CN" w:bidi="ar-SA"/>
                    </w:rPr>
                    <w:t>（次氯酸钠）</w:t>
                  </w:r>
                </w:p>
              </w:tc>
              <w:tc>
                <w:tcPr>
                  <w:tcW w:w="1250" w:type="pct"/>
                  <w:tcBorders>
                    <w:tl2br w:val="nil"/>
                    <w:tr2bl w:val="nil"/>
                  </w:tcBorders>
                  <w:shd w:val="clear" w:color="auto" w:fill="auto"/>
                  <w:vAlign w:val="center"/>
                </w:tcPr>
                <w:p w14:paraId="0AEB96D5">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0.0003</w:t>
                  </w:r>
                  <w:r>
                    <w:rPr>
                      <w:rFonts w:hint="eastAsia" w:cs="Times New Roman"/>
                      <w:snapToGrid w:val="0"/>
                      <w:color w:val="auto"/>
                      <w:kern w:val="2"/>
                      <w:sz w:val="21"/>
                      <w:szCs w:val="21"/>
                      <w:highlight w:val="none"/>
                      <w:vertAlign w:val="superscript"/>
                      <w:lang w:val="en-US" w:eastAsia="zh-CN" w:bidi="ar-SA"/>
                    </w:rPr>
                    <w:t>①</w:t>
                  </w:r>
                </w:p>
              </w:tc>
              <w:tc>
                <w:tcPr>
                  <w:tcW w:w="1252" w:type="pct"/>
                  <w:tcBorders>
                    <w:tl2br w:val="nil"/>
                    <w:tr2bl w:val="nil"/>
                  </w:tcBorders>
                  <w:shd w:val="clear" w:color="auto" w:fill="auto"/>
                  <w:vAlign w:val="center"/>
                </w:tcPr>
                <w:p w14:paraId="59732493">
                  <w:pPr>
                    <w:pStyle w:val="49"/>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药房</w:t>
                  </w:r>
                </w:p>
              </w:tc>
            </w:tr>
            <w:tr w14:paraId="589DB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1" w:type="pct"/>
                  <w:tcBorders>
                    <w:tl2br w:val="nil"/>
                    <w:tr2bl w:val="nil"/>
                  </w:tcBorders>
                  <w:vAlign w:val="center"/>
                </w:tcPr>
                <w:p w14:paraId="0128490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2</w:t>
                  </w:r>
                </w:p>
              </w:tc>
              <w:tc>
                <w:tcPr>
                  <w:tcW w:w="1875" w:type="pct"/>
                  <w:tcBorders>
                    <w:tl2br w:val="nil"/>
                    <w:tr2bl w:val="nil"/>
                  </w:tcBorders>
                  <w:shd w:val="clear" w:color="auto" w:fill="auto"/>
                  <w:vAlign w:val="center"/>
                </w:tcPr>
                <w:p w14:paraId="3625F721">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kern w:val="2"/>
                      <w:sz w:val="21"/>
                      <w:szCs w:val="21"/>
                      <w:highlight w:val="none"/>
                      <w:lang w:val="en-US" w:eastAsia="zh-CN" w:bidi="ar-SA"/>
                    </w:rPr>
                    <w:t>二氧化氯消毒片（二氧化氯）</w:t>
                  </w:r>
                </w:p>
              </w:tc>
              <w:tc>
                <w:tcPr>
                  <w:tcW w:w="1250" w:type="pct"/>
                  <w:tcBorders>
                    <w:tl2br w:val="nil"/>
                    <w:tr2bl w:val="nil"/>
                  </w:tcBorders>
                  <w:shd w:val="clear" w:color="auto" w:fill="auto"/>
                  <w:vAlign w:val="center"/>
                </w:tcPr>
                <w:p w14:paraId="2E3D19A7">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0.008</w:t>
                  </w:r>
                </w:p>
              </w:tc>
              <w:tc>
                <w:tcPr>
                  <w:tcW w:w="1252" w:type="pct"/>
                  <w:tcBorders>
                    <w:tl2br w:val="nil"/>
                    <w:tr2bl w:val="nil"/>
                  </w:tcBorders>
                  <w:shd w:val="clear" w:color="auto" w:fill="auto"/>
                  <w:vAlign w:val="center"/>
                </w:tcPr>
                <w:p w14:paraId="3A22982E">
                  <w:pPr>
                    <w:pStyle w:val="49"/>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药房</w:t>
                  </w:r>
                </w:p>
              </w:tc>
            </w:tr>
            <w:tr w14:paraId="25748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6" w:type="dxa"/>
                  <w:vAlign w:val="center"/>
                </w:tcPr>
                <w:p w14:paraId="75838B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w:t>
                  </w:r>
                </w:p>
              </w:tc>
              <w:tc>
                <w:tcPr>
                  <w:tcW w:w="3129" w:type="dxa"/>
                  <w:shd w:val="clear" w:color="auto" w:fill="auto"/>
                  <w:vAlign w:val="center"/>
                </w:tcPr>
                <w:p w14:paraId="2BB96C17">
                  <w:pPr>
                    <w:pStyle w:val="50"/>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kern w:val="2"/>
                      <w:sz w:val="21"/>
                      <w:szCs w:val="21"/>
                      <w:highlight w:val="none"/>
                      <w:lang w:val="en-US" w:eastAsia="zh-CN" w:bidi="ar-SA"/>
                    </w:rPr>
                    <w:t>医疗废物</w:t>
                  </w:r>
                </w:p>
              </w:tc>
              <w:tc>
                <w:tcPr>
                  <w:tcW w:w="2086" w:type="dxa"/>
                  <w:shd w:val="clear" w:color="auto" w:fill="auto"/>
                  <w:vAlign w:val="center"/>
                </w:tcPr>
                <w:p w14:paraId="722AC64A">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0.02</w:t>
                  </w:r>
                </w:p>
              </w:tc>
              <w:tc>
                <w:tcPr>
                  <w:tcW w:w="2093" w:type="dxa"/>
                  <w:shd w:val="clear" w:color="auto" w:fill="auto"/>
                  <w:vAlign w:val="center"/>
                </w:tcPr>
                <w:p w14:paraId="57143955">
                  <w:pPr>
                    <w:pStyle w:val="49"/>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医疗废物暂存间</w:t>
                  </w:r>
                </w:p>
              </w:tc>
            </w:tr>
            <w:tr w14:paraId="5FB1C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4"/>
                  <w:vAlign w:val="center"/>
                </w:tcPr>
                <w:p w14:paraId="5F0E7916">
                  <w:pPr>
                    <w:pStyle w:val="49"/>
                    <w:keepNext w:val="0"/>
                    <w:keepLines w:val="0"/>
                    <w:pageBreakBefore w:val="0"/>
                    <w:widowControl w:val="0"/>
                    <w:kinsoku/>
                    <w:wordWrap/>
                    <w:overflowPunct/>
                    <w:topLinePunct w:val="0"/>
                    <w:autoSpaceDE/>
                    <w:autoSpaceDN/>
                    <w:bidi w:val="0"/>
                    <w:adjustRightInd/>
                    <w:spacing w:line="240" w:lineRule="auto"/>
                    <w:ind w:firstLine="0" w:firstLineChars="0"/>
                    <w:jc w:val="both"/>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注：①为折纯后最大暂存量。</w:t>
                  </w:r>
                </w:p>
              </w:tc>
            </w:tr>
          </w:tbl>
          <w:p w14:paraId="3E13D51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b w:val="0"/>
                <w:bCs w:val="0"/>
                <w:sz w:val="24"/>
                <w:highlight w:val="none"/>
                <w:lang w:val="en-US" w:eastAsia="zh-CN"/>
              </w:rPr>
            </w:pPr>
            <w:r>
              <w:rPr>
                <w:rFonts w:hint="eastAsia"/>
                <w:b w:val="0"/>
                <w:bCs w:val="0"/>
                <w:sz w:val="24"/>
                <w:highlight w:val="none"/>
                <w:lang w:val="en-US" w:eastAsia="zh-CN"/>
              </w:rPr>
              <w:t>（1）</w:t>
            </w:r>
            <w:r>
              <w:rPr>
                <w:rFonts w:hint="default"/>
                <w:b w:val="0"/>
                <w:bCs w:val="0"/>
                <w:sz w:val="24"/>
                <w:highlight w:val="none"/>
                <w:lang w:val="en-US" w:eastAsia="zh-CN"/>
              </w:rPr>
              <w:t>临界量Q值计算</w:t>
            </w:r>
          </w:p>
          <w:p w14:paraId="48EC2A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b w:val="0"/>
                <w:bCs w:val="0"/>
                <w:sz w:val="24"/>
                <w:lang w:eastAsia="zh-CN"/>
              </w:rPr>
              <w:t>根据《建设项目环境风险评价技术导则》（HJ169-2018），计算Q值。Q值计算有两种情况：当只涉及一种危险物质时，计算该物质的总量及与其临界量比值，即为Q；当存在多种危险物质时，则按下式计算物质总量与其临界量比值</w:t>
            </w:r>
            <w:r>
              <w:rPr>
                <w:rFonts w:hint="eastAsia"/>
                <w:b w:val="0"/>
                <w:bCs w:val="0"/>
                <w:sz w:val="24"/>
                <w:lang w:val="en-US" w:eastAsia="zh-CN"/>
              </w:rPr>
              <w:t>（Q）：</w:t>
            </w:r>
          </w:p>
          <w:p w14:paraId="4181678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 w:val="0"/>
                <w:bCs w:val="0"/>
                <w:sz w:val="24"/>
                <w:lang w:val="en-US" w:eastAsia="zh-CN"/>
              </w:rPr>
            </w:pPr>
            <w:r>
              <w:rPr>
                <w:rFonts w:hint="eastAsia"/>
                <w:b w:val="0"/>
                <w:bCs w:val="0"/>
                <w:sz w:val="24"/>
                <w:lang w:val="en-US" w:eastAsia="zh-CN"/>
              </w:rPr>
              <w:drawing>
                <wp:inline distT="0" distB="0" distL="114300" distR="114300">
                  <wp:extent cx="2457450" cy="371475"/>
                  <wp:effectExtent l="0" t="0" r="0" b="9525"/>
                  <wp:docPr id="16" name="图片 16" descr="dd81be10106d6cb56e6edfe6fdc0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d81be10106d6cb56e6edfe6fdc0d04"/>
                          <pic:cNvPicPr>
                            <a:picLocks noChangeAspect="1"/>
                          </pic:cNvPicPr>
                        </pic:nvPicPr>
                        <pic:blipFill>
                          <a:blip r:embed="rId27"/>
                          <a:stretch>
                            <a:fillRect/>
                          </a:stretch>
                        </pic:blipFill>
                        <pic:spPr>
                          <a:xfrm>
                            <a:off x="0" y="0"/>
                            <a:ext cx="2457450" cy="371475"/>
                          </a:xfrm>
                          <a:prstGeom prst="rect">
                            <a:avLst/>
                          </a:prstGeom>
                        </pic:spPr>
                      </pic:pic>
                    </a:graphicData>
                  </a:graphic>
                </wp:inline>
              </w:drawing>
            </w:r>
          </w:p>
          <w:p w14:paraId="3DB65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式中</w:t>
            </w:r>
            <w:r>
              <w:rPr>
                <w:rFonts w:hint="eastAsia" w:ascii="Times New Roman" w:hAnsi="Times New Roman" w:eastAsia="宋体" w:cs="Times New Roman"/>
                <w:b w:val="0"/>
                <w:bCs/>
                <w:color w:val="000000"/>
                <w:sz w:val="24"/>
                <w:szCs w:val="24"/>
                <w:lang w:val="en-US" w:eastAsia="zh-CN"/>
              </w:rPr>
              <w:t>：</w:t>
            </w:r>
            <w:r>
              <w:rPr>
                <w:rFonts w:hint="default" w:ascii="Times New Roman" w:hAnsi="Times New Roman" w:eastAsia="宋体" w:cs="Times New Roman"/>
                <w:b w:val="0"/>
                <w:bCs/>
                <w:color w:val="000000"/>
                <w:sz w:val="24"/>
                <w:szCs w:val="24"/>
                <w:lang w:val="en-US" w:eastAsia="zh-CN"/>
              </w:rPr>
              <w:t>ql，q2</w:t>
            </w:r>
            <w:r>
              <w:rPr>
                <w:rFonts w:hint="eastAsia" w:cs="Times New Roman"/>
                <w:b w:val="0"/>
                <w:bCs/>
                <w:color w:val="000000"/>
                <w:sz w:val="24"/>
                <w:szCs w:val="24"/>
                <w:lang w:val="en-US" w:eastAsia="zh-CN"/>
              </w:rPr>
              <w:t>，</w:t>
            </w:r>
            <w:r>
              <w:rPr>
                <w:rFonts w:hint="default" w:ascii="Times New Roman" w:hAnsi="Times New Roman" w:eastAsia="宋体" w:cs="Times New Roman"/>
                <w:b w:val="0"/>
                <w:bCs/>
                <w:color w:val="000000"/>
                <w:sz w:val="24"/>
                <w:szCs w:val="24"/>
                <w:lang w:val="en-US" w:eastAsia="zh-CN"/>
              </w:rPr>
              <w:t>qn</w:t>
            </w:r>
            <w:r>
              <w:rPr>
                <w:rFonts w:hint="eastAsia" w:ascii="Times New Roman" w:hAnsi="Times New Roman" w:eastAsia="宋体" w:cs="Times New Roman"/>
                <w:b w:val="0"/>
                <w:bCs/>
                <w:color w:val="000000"/>
                <w:sz w:val="24"/>
                <w:szCs w:val="24"/>
                <w:lang w:val="en-US" w:eastAsia="zh-CN"/>
              </w:rPr>
              <w:t>—</w:t>
            </w:r>
            <w:r>
              <w:rPr>
                <w:rFonts w:hint="default" w:ascii="Times New Roman" w:hAnsi="Times New Roman" w:eastAsia="宋体" w:cs="Times New Roman"/>
                <w:b w:val="0"/>
                <w:bCs/>
                <w:color w:val="000000"/>
                <w:sz w:val="24"/>
                <w:szCs w:val="24"/>
                <w:lang w:val="en-US" w:eastAsia="zh-CN"/>
              </w:rPr>
              <w:t>每种危险物质的最大存在总量，t</w:t>
            </w:r>
            <w:r>
              <w:rPr>
                <w:rFonts w:hint="eastAsia" w:ascii="Times New Roman" w:hAnsi="Times New Roman" w:eastAsia="宋体" w:cs="Times New Roman"/>
                <w:b w:val="0"/>
                <w:bCs/>
                <w:color w:val="000000"/>
                <w:sz w:val="24"/>
                <w:szCs w:val="24"/>
                <w:lang w:val="en-US" w:eastAsia="zh-CN"/>
              </w:rPr>
              <w:t>；</w:t>
            </w:r>
          </w:p>
          <w:p w14:paraId="071B54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Q1，Q2</w:t>
            </w:r>
            <w:r>
              <w:rPr>
                <w:rFonts w:hint="eastAsia" w:cs="Times New Roman"/>
                <w:b w:val="0"/>
                <w:bCs/>
                <w:color w:val="000000"/>
                <w:sz w:val="24"/>
                <w:szCs w:val="24"/>
                <w:lang w:val="en-US" w:eastAsia="zh-CN"/>
              </w:rPr>
              <w:t>，</w:t>
            </w:r>
            <w:r>
              <w:rPr>
                <w:rFonts w:hint="default" w:ascii="Times New Roman" w:hAnsi="Times New Roman" w:eastAsia="宋体" w:cs="Times New Roman"/>
                <w:b w:val="0"/>
                <w:bCs/>
                <w:color w:val="000000"/>
                <w:sz w:val="24"/>
                <w:szCs w:val="24"/>
                <w:lang w:val="en-US" w:eastAsia="zh-CN"/>
              </w:rPr>
              <w:t>Qn</w:t>
            </w:r>
            <w:r>
              <w:rPr>
                <w:rFonts w:hint="eastAsia" w:ascii="Times New Roman" w:hAnsi="Times New Roman" w:eastAsia="宋体" w:cs="Times New Roman"/>
                <w:b w:val="0"/>
                <w:bCs/>
                <w:color w:val="000000"/>
                <w:sz w:val="24"/>
                <w:szCs w:val="24"/>
                <w:lang w:val="en-US" w:eastAsia="zh-CN"/>
              </w:rPr>
              <w:t>—</w:t>
            </w:r>
            <w:r>
              <w:rPr>
                <w:rFonts w:hint="default" w:ascii="Times New Roman" w:hAnsi="Times New Roman" w:eastAsia="宋体" w:cs="Times New Roman"/>
                <w:b w:val="0"/>
                <w:bCs/>
                <w:color w:val="000000"/>
                <w:sz w:val="24"/>
                <w:szCs w:val="24"/>
                <w:lang w:val="en-US" w:eastAsia="zh-CN"/>
              </w:rPr>
              <w:t>每种危险物质的临界量，t。</w:t>
            </w:r>
          </w:p>
          <w:p w14:paraId="3E6007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项目风险物质临界量比值Q详见下表：</w:t>
            </w:r>
          </w:p>
          <w:p w14:paraId="5DF9A8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4"/>
                <w:vertAlign w:val="baseline"/>
                <w:lang w:val="en-US" w:eastAsia="zh-CN"/>
              </w:rPr>
            </w:pPr>
            <w:r>
              <w:rPr>
                <w:rFonts w:hint="eastAsia"/>
                <w:b w:val="0"/>
                <w:bCs w:val="0"/>
                <w:sz w:val="24"/>
                <w:lang w:val="en-US" w:eastAsia="zh-CN"/>
              </w:rPr>
              <w:t>表4.2-26 环境风险物质单元、设施及物质情况</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038"/>
              <w:gridCol w:w="1325"/>
              <w:gridCol w:w="1659"/>
              <w:gridCol w:w="1511"/>
            </w:tblGrid>
            <w:tr w14:paraId="4D08C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pct"/>
                  <w:tcBorders>
                    <w:tl2br w:val="nil"/>
                    <w:tr2bl w:val="nil"/>
                  </w:tcBorders>
                  <w:vAlign w:val="center"/>
                </w:tcPr>
                <w:p w14:paraId="1D730DFC">
                  <w:pPr>
                    <w:pStyle w:val="49"/>
                    <w:jc w:val="center"/>
                    <w:rPr>
                      <w:color w:val="auto"/>
                      <w:highlight w:val="none"/>
                    </w:rPr>
                  </w:pPr>
                  <w:r>
                    <w:rPr>
                      <w:color w:val="auto"/>
                      <w:highlight w:val="none"/>
                    </w:rPr>
                    <w:t>序号</w:t>
                  </w:r>
                </w:p>
              </w:tc>
              <w:tc>
                <w:tcPr>
                  <w:tcW w:w="1825" w:type="pct"/>
                  <w:tcBorders>
                    <w:tl2br w:val="nil"/>
                    <w:tr2bl w:val="nil"/>
                  </w:tcBorders>
                  <w:vAlign w:val="center"/>
                </w:tcPr>
                <w:p w14:paraId="07B79844">
                  <w:pPr>
                    <w:pStyle w:val="49"/>
                    <w:jc w:val="center"/>
                    <w:rPr>
                      <w:color w:val="auto"/>
                      <w:highlight w:val="none"/>
                    </w:rPr>
                  </w:pPr>
                  <w:r>
                    <w:rPr>
                      <w:color w:val="auto"/>
                      <w:highlight w:val="none"/>
                    </w:rPr>
                    <w:t>风险物质名称</w:t>
                  </w:r>
                </w:p>
              </w:tc>
              <w:tc>
                <w:tcPr>
                  <w:tcW w:w="796" w:type="pct"/>
                  <w:tcBorders>
                    <w:tl2br w:val="nil"/>
                    <w:tr2bl w:val="nil"/>
                  </w:tcBorders>
                  <w:vAlign w:val="center"/>
                </w:tcPr>
                <w:p w14:paraId="49EF3D64">
                  <w:pPr>
                    <w:pStyle w:val="49"/>
                    <w:jc w:val="center"/>
                    <w:rPr>
                      <w:color w:val="auto"/>
                      <w:highlight w:val="none"/>
                    </w:rPr>
                  </w:pPr>
                  <w:r>
                    <w:rPr>
                      <w:color w:val="auto"/>
                      <w:highlight w:val="none"/>
                    </w:rPr>
                    <w:t>临界量（t）</w:t>
                  </w:r>
                </w:p>
              </w:tc>
              <w:tc>
                <w:tcPr>
                  <w:tcW w:w="996" w:type="pct"/>
                  <w:tcBorders>
                    <w:tl2br w:val="nil"/>
                    <w:tr2bl w:val="nil"/>
                  </w:tcBorders>
                  <w:vAlign w:val="center"/>
                </w:tcPr>
                <w:p w14:paraId="495474BD">
                  <w:pPr>
                    <w:pStyle w:val="49"/>
                    <w:jc w:val="center"/>
                    <w:rPr>
                      <w:color w:val="auto"/>
                      <w:highlight w:val="none"/>
                    </w:rPr>
                  </w:pPr>
                  <w:r>
                    <w:rPr>
                      <w:color w:val="auto"/>
                      <w:highlight w:val="none"/>
                    </w:rPr>
                    <w:t>最大储存量（t）</w:t>
                  </w:r>
                </w:p>
              </w:tc>
              <w:tc>
                <w:tcPr>
                  <w:tcW w:w="907" w:type="pct"/>
                  <w:tcBorders>
                    <w:tl2br w:val="nil"/>
                    <w:tr2bl w:val="nil"/>
                  </w:tcBorders>
                  <w:vAlign w:val="center"/>
                </w:tcPr>
                <w:p w14:paraId="071A4110">
                  <w:pPr>
                    <w:pStyle w:val="49"/>
                    <w:jc w:val="center"/>
                    <w:rPr>
                      <w:color w:val="auto"/>
                      <w:highlight w:val="none"/>
                    </w:rPr>
                  </w:pPr>
                  <w:r>
                    <w:rPr>
                      <w:color w:val="auto"/>
                      <w:highlight w:val="none"/>
                    </w:rPr>
                    <w:t>q/Q</w:t>
                  </w:r>
                </w:p>
              </w:tc>
            </w:tr>
            <w:tr w14:paraId="360AAE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74" w:type="pct"/>
                  <w:tcBorders>
                    <w:tl2br w:val="nil"/>
                    <w:tr2bl w:val="nil"/>
                  </w:tcBorders>
                  <w:shd w:val="clear" w:color="auto" w:fill="auto"/>
                  <w:vAlign w:val="center"/>
                </w:tcPr>
                <w:p w14:paraId="0A67727D">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1</w:t>
                  </w:r>
                </w:p>
              </w:tc>
              <w:tc>
                <w:tcPr>
                  <w:tcW w:w="1825" w:type="pct"/>
                  <w:tcBorders>
                    <w:tl2br w:val="nil"/>
                    <w:tr2bl w:val="nil"/>
                  </w:tcBorders>
                  <w:shd w:val="clear" w:color="auto" w:fill="auto"/>
                  <w:vAlign w:val="center"/>
                </w:tcPr>
                <w:p w14:paraId="09E23765">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default" w:ascii="Times New Roman" w:hAnsi="Times New Roman" w:eastAsia="宋体" w:cs="Times New Roman"/>
                      <w:snapToGrid w:val="0"/>
                      <w:color w:val="auto"/>
                      <w:kern w:val="2"/>
                      <w:sz w:val="21"/>
                      <w:szCs w:val="21"/>
                      <w:lang w:val="en-US" w:eastAsia="zh-CN" w:bidi="ar-SA"/>
                    </w:rPr>
                    <w:t>84消毒液</w:t>
                  </w:r>
                  <w:r>
                    <w:rPr>
                      <w:rFonts w:hint="eastAsia" w:cs="Times New Roman"/>
                      <w:snapToGrid w:val="0"/>
                      <w:color w:val="auto"/>
                      <w:kern w:val="2"/>
                      <w:sz w:val="21"/>
                      <w:szCs w:val="21"/>
                      <w:lang w:val="en-US" w:eastAsia="zh-CN" w:bidi="ar-SA"/>
                    </w:rPr>
                    <w:t>（次氯酸钠）</w:t>
                  </w:r>
                </w:p>
              </w:tc>
              <w:tc>
                <w:tcPr>
                  <w:tcW w:w="796" w:type="pct"/>
                  <w:tcBorders>
                    <w:tl2br w:val="nil"/>
                    <w:tr2bl w:val="nil"/>
                  </w:tcBorders>
                  <w:shd w:val="clear" w:color="auto" w:fill="auto"/>
                  <w:vAlign w:val="center"/>
                </w:tcPr>
                <w:p w14:paraId="644BEB73">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5</w:t>
                  </w:r>
                </w:p>
              </w:tc>
              <w:tc>
                <w:tcPr>
                  <w:tcW w:w="996" w:type="pct"/>
                  <w:tcBorders>
                    <w:tl2br w:val="nil"/>
                    <w:tr2bl w:val="nil"/>
                  </w:tcBorders>
                  <w:shd w:val="clear" w:color="auto" w:fill="auto"/>
                  <w:vAlign w:val="center"/>
                </w:tcPr>
                <w:p w14:paraId="799139EF">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0.000</w:t>
                  </w:r>
                  <w:r>
                    <w:rPr>
                      <w:rFonts w:hint="eastAsia" w:cs="Times New Roman"/>
                      <w:snapToGrid w:val="0"/>
                      <w:color w:val="auto"/>
                      <w:kern w:val="2"/>
                      <w:sz w:val="21"/>
                      <w:szCs w:val="21"/>
                      <w:highlight w:val="none"/>
                      <w:lang w:val="en-US" w:eastAsia="zh-CN" w:bidi="ar-SA"/>
                    </w:rPr>
                    <w:t>3</w:t>
                  </w:r>
                </w:p>
              </w:tc>
              <w:tc>
                <w:tcPr>
                  <w:tcW w:w="907" w:type="pct"/>
                  <w:tcBorders>
                    <w:tl2br w:val="nil"/>
                    <w:tr2bl w:val="nil"/>
                  </w:tcBorders>
                  <w:shd w:val="clear" w:color="auto" w:fill="auto"/>
                  <w:vAlign w:val="center"/>
                </w:tcPr>
                <w:p w14:paraId="14B69FD7">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0.0000</w:t>
                  </w:r>
                  <w:r>
                    <w:rPr>
                      <w:rFonts w:hint="eastAsia" w:cs="Times New Roman"/>
                      <w:snapToGrid w:val="0"/>
                      <w:color w:val="auto"/>
                      <w:kern w:val="2"/>
                      <w:sz w:val="21"/>
                      <w:szCs w:val="21"/>
                      <w:highlight w:val="none"/>
                      <w:lang w:val="en-US" w:eastAsia="zh-CN" w:bidi="ar-SA"/>
                    </w:rPr>
                    <w:t>6</w:t>
                  </w:r>
                </w:p>
              </w:tc>
            </w:tr>
            <w:tr w14:paraId="5340AE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pct"/>
                  <w:tcBorders>
                    <w:tl2br w:val="nil"/>
                    <w:tr2bl w:val="nil"/>
                  </w:tcBorders>
                  <w:shd w:val="clear" w:color="auto" w:fill="auto"/>
                  <w:vAlign w:val="center"/>
                </w:tcPr>
                <w:p w14:paraId="30C6A2E9">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2</w:t>
                  </w:r>
                </w:p>
              </w:tc>
              <w:tc>
                <w:tcPr>
                  <w:tcW w:w="1825" w:type="pct"/>
                  <w:tcBorders>
                    <w:tl2br w:val="nil"/>
                    <w:tr2bl w:val="nil"/>
                  </w:tcBorders>
                  <w:shd w:val="clear" w:color="auto" w:fill="auto"/>
                  <w:vAlign w:val="center"/>
                </w:tcPr>
                <w:p w14:paraId="0ED4271F">
                  <w:pPr>
                    <w:pStyle w:val="50"/>
                    <w:keepNext w:val="0"/>
                    <w:keepLines w:val="0"/>
                    <w:pageBreakBefore w:val="0"/>
                    <w:widowControl w:val="0"/>
                    <w:kinsoku/>
                    <w:wordWrap/>
                    <w:overflowPunct/>
                    <w:topLinePunct w:val="0"/>
                    <w:autoSpaceDE/>
                    <w:autoSpaceDN/>
                    <w:bidi w:val="0"/>
                    <w:adjustRightInd w:val="0"/>
                    <w:snapToGrid w:val="0"/>
                    <w:spacing w:line="240" w:lineRule="auto"/>
                    <w:ind w:left="-63" w:leftChars="-30" w:right="-63" w:rightChars="-3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kern w:val="2"/>
                      <w:sz w:val="21"/>
                      <w:szCs w:val="21"/>
                      <w:highlight w:val="none"/>
                      <w:lang w:val="en-US" w:eastAsia="zh-CN" w:bidi="ar-SA"/>
                    </w:rPr>
                    <w:t>二氧化氯消毒片（二氧化氯）</w:t>
                  </w:r>
                </w:p>
              </w:tc>
              <w:tc>
                <w:tcPr>
                  <w:tcW w:w="796" w:type="pct"/>
                  <w:tcBorders>
                    <w:tl2br w:val="nil"/>
                    <w:tr2bl w:val="nil"/>
                  </w:tcBorders>
                  <w:shd w:val="clear" w:color="auto" w:fill="auto"/>
                  <w:vAlign w:val="center"/>
                </w:tcPr>
                <w:p w14:paraId="24A10E7E">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0.5</w:t>
                  </w:r>
                </w:p>
              </w:tc>
              <w:tc>
                <w:tcPr>
                  <w:tcW w:w="996" w:type="pct"/>
                  <w:tcBorders>
                    <w:tl2br w:val="nil"/>
                    <w:tr2bl w:val="nil"/>
                  </w:tcBorders>
                  <w:shd w:val="clear" w:color="auto" w:fill="auto"/>
                  <w:vAlign w:val="center"/>
                </w:tcPr>
                <w:p w14:paraId="299B5CA8">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0.00</w:t>
                  </w:r>
                  <w:r>
                    <w:rPr>
                      <w:rFonts w:hint="eastAsia" w:cs="Times New Roman"/>
                      <w:snapToGrid w:val="0"/>
                      <w:color w:val="auto"/>
                      <w:kern w:val="2"/>
                      <w:sz w:val="21"/>
                      <w:szCs w:val="21"/>
                      <w:highlight w:val="none"/>
                      <w:lang w:val="en-US" w:eastAsia="zh-CN" w:bidi="ar-SA"/>
                    </w:rPr>
                    <w:t>8</w:t>
                  </w:r>
                </w:p>
              </w:tc>
              <w:tc>
                <w:tcPr>
                  <w:tcW w:w="907" w:type="pct"/>
                  <w:tcBorders>
                    <w:tl2br w:val="nil"/>
                    <w:tr2bl w:val="nil"/>
                  </w:tcBorders>
                  <w:shd w:val="clear" w:color="auto" w:fill="auto"/>
                  <w:vAlign w:val="center"/>
                </w:tcPr>
                <w:p w14:paraId="021798A9">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w:t>
                  </w:r>
                  <w:r>
                    <w:rPr>
                      <w:rFonts w:hint="eastAsia" w:cs="Times New Roman"/>
                      <w:snapToGrid w:val="0"/>
                      <w:color w:val="auto"/>
                      <w:kern w:val="2"/>
                      <w:sz w:val="21"/>
                      <w:szCs w:val="21"/>
                      <w:highlight w:val="none"/>
                      <w:lang w:val="en-US" w:eastAsia="zh-CN" w:bidi="ar-SA"/>
                    </w:rPr>
                    <w:t>16</w:t>
                  </w:r>
                </w:p>
              </w:tc>
            </w:tr>
            <w:tr w14:paraId="55789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4" w:type="pct"/>
                  <w:tcBorders>
                    <w:tl2br w:val="nil"/>
                    <w:tr2bl w:val="nil"/>
                  </w:tcBorders>
                  <w:shd w:val="clear" w:color="auto" w:fill="auto"/>
                  <w:vAlign w:val="center"/>
                </w:tcPr>
                <w:p w14:paraId="09B54B10">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3</w:t>
                  </w:r>
                </w:p>
              </w:tc>
              <w:tc>
                <w:tcPr>
                  <w:tcW w:w="1825" w:type="pct"/>
                  <w:tcBorders>
                    <w:tl2br w:val="nil"/>
                    <w:tr2bl w:val="nil"/>
                  </w:tcBorders>
                  <w:shd w:val="clear" w:color="auto" w:fill="auto"/>
                  <w:vAlign w:val="center"/>
                </w:tcPr>
                <w:p w14:paraId="7FABE5B3">
                  <w:pPr>
                    <w:pStyle w:val="50"/>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kern w:val="2"/>
                      <w:sz w:val="21"/>
                      <w:szCs w:val="21"/>
                      <w:highlight w:val="none"/>
                      <w:lang w:val="en-US" w:eastAsia="zh-CN" w:bidi="ar-SA"/>
                    </w:rPr>
                    <w:t>医疗废物</w:t>
                  </w:r>
                </w:p>
              </w:tc>
              <w:tc>
                <w:tcPr>
                  <w:tcW w:w="796" w:type="pct"/>
                  <w:tcBorders>
                    <w:tl2br w:val="nil"/>
                    <w:tr2bl w:val="nil"/>
                  </w:tcBorders>
                  <w:shd w:val="clear" w:color="auto" w:fill="auto"/>
                  <w:vAlign w:val="center"/>
                </w:tcPr>
                <w:p w14:paraId="3D1D85D3">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50</w:t>
                  </w:r>
                  <w:r>
                    <w:rPr>
                      <w:rFonts w:hint="eastAsia" w:cs="Times New Roman"/>
                      <w:snapToGrid w:val="0"/>
                      <w:color w:val="auto"/>
                      <w:kern w:val="2"/>
                      <w:sz w:val="21"/>
                      <w:szCs w:val="21"/>
                      <w:highlight w:val="none"/>
                      <w:vertAlign w:val="superscript"/>
                      <w:lang w:val="en-US" w:eastAsia="zh-CN" w:bidi="ar-SA"/>
                    </w:rPr>
                    <w:t>①</w:t>
                  </w:r>
                </w:p>
              </w:tc>
              <w:tc>
                <w:tcPr>
                  <w:tcW w:w="996" w:type="pct"/>
                  <w:tcBorders>
                    <w:tl2br w:val="nil"/>
                    <w:tr2bl w:val="nil"/>
                  </w:tcBorders>
                  <w:shd w:val="clear" w:color="auto" w:fill="auto"/>
                  <w:vAlign w:val="center"/>
                </w:tcPr>
                <w:p w14:paraId="76AF62FA">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0.02</w:t>
                  </w:r>
                </w:p>
              </w:tc>
              <w:tc>
                <w:tcPr>
                  <w:tcW w:w="907" w:type="pct"/>
                  <w:tcBorders>
                    <w:tl2br w:val="nil"/>
                    <w:tr2bl w:val="nil"/>
                  </w:tcBorders>
                  <w:shd w:val="clear" w:color="auto" w:fill="auto"/>
                  <w:vAlign w:val="center"/>
                </w:tcPr>
                <w:p w14:paraId="482A9346">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0.0004</w:t>
                  </w:r>
                </w:p>
              </w:tc>
            </w:tr>
            <w:tr w14:paraId="2AA0A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2" w:type="pct"/>
                  <w:gridSpan w:val="4"/>
                  <w:tcBorders>
                    <w:tl2br w:val="nil"/>
                    <w:tr2bl w:val="nil"/>
                  </w:tcBorders>
                  <w:vAlign w:val="center"/>
                </w:tcPr>
                <w:p w14:paraId="681F1D4F">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合计</w:t>
                  </w:r>
                </w:p>
              </w:tc>
              <w:tc>
                <w:tcPr>
                  <w:tcW w:w="907" w:type="pct"/>
                  <w:tcBorders>
                    <w:tl2br w:val="nil"/>
                    <w:tr2bl w:val="nil"/>
                  </w:tcBorders>
                  <w:vAlign w:val="center"/>
                </w:tcPr>
                <w:p w14:paraId="600A8550">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0.0</w:t>
                  </w:r>
                  <w:r>
                    <w:rPr>
                      <w:rFonts w:hint="eastAsia" w:cs="Times New Roman"/>
                      <w:snapToGrid w:val="0"/>
                      <w:color w:val="auto"/>
                      <w:kern w:val="2"/>
                      <w:sz w:val="21"/>
                      <w:szCs w:val="21"/>
                      <w:highlight w:val="none"/>
                      <w:lang w:val="en-US" w:eastAsia="zh-CN" w:bidi="ar-SA"/>
                    </w:rPr>
                    <w:t>1646</w:t>
                  </w:r>
                </w:p>
              </w:tc>
            </w:tr>
            <w:tr w14:paraId="51FCC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14:paraId="650EE748">
                  <w:pPr>
                    <w:pStyle w:val="49"/>
                    <w:keepNext w:val="0"/>
                    <w:keepLines w:val="0"/>
                    <w:pageBreakBefore w:val="0"/>
                    <w:widowControl w:val="0"/>
                    <w:kinsoku/>
                    <w:wordWrap/>
                    <w:overflowPunct/>
                    <w:topLinePunct w:val="0"/>
                    <w:autoSpaceDE/>
                    <w:autoSpaceDN/>
                    <w:bidi w:val="0"/>
                    <w:adjustRightInd/>
                    <w:snapToGrid w:val="0"/>
                    <w:ind w:left="0" w:leftChars="0" w:right="0" w:rightChars="0"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注：</w:t>
                  </w:r>
                  <w:r>
                    <w:rPr>
                      <w:rFonts w:hint="eastAsia" w:cs="Times New Roman"/>
                      <w:snapToGrid w:val="0"/>
                      <w:color w:val="auto"/>
                      <w:kern w:val="2"/>
                      <w:sz w:val="21"/>
                      <w:szCs w:val="21"/>
                      <w:highlight w:val="none"/>
                      <w:vertAlign w:val="superscript"/>
                      <w:lang w:val="en-US" w:eastAsia="zh-CN" w:bidi="ar-SA"/>
                    </w:rPr>
                    <w:t>①</w:t>
                  </w:r>
                  <w:r>
                    <w:rPr>
                      <w:rFonts w:hint="eastAsia" w:ascii="Times New Roman" w:hAnsi="Times New Roman" w:eastAsia="宋体" w:cs="Times New Roman"/>
                      <w:snapToGrid w:val="0"/>
                      <w:color w:val="auto"/>
                      <w:kern w:val="2"/>
                      <w:sz w:val="21"/>
                      <w:szCs w:val="21"/>
                      <w:highlight w:val="none"/>
                      <w:lang w:val="en-US" w:eastAsia="zh-CN" w:bidi="ar-SA"/>
                    </w:rPr>
                    <w:t>参考《建设项目环境风险评价技术导则》（HJ 169-2018）表B.2其他危险物质临界量推荐值中健康危险急性毒性物质（类别2，类别3）推荐临界值。</w:t>
                  </w:r>
                </w:p>
              </w:tc>
            </w:tr>
          </w:tbl>
          <w:p w14:paraId="6AFBE9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由上表可知：项目危险物质最大储存量不超过临界量，未构成重大危险源；Q&lt;1，风险潜势为I，仅进行简单分析并提出风险防控措施。</w:t>
            </w:r>
          </w:p>
          <w:p w14:paraId="0ACD72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（2）环境风险识别</w:t>
            </w:r>
          </w:p>
          <w:p w14:paraId="28660C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b w:val="0"/>
                <w:bCs w:val="0"/>
                <w:sz w:val="24"/>
                <w:lang w:val="en-US" w:eastAsia="zh-CN"/>
              </w:rPr>
              <w:t>项目环境风险识别一览表见表4.2-27。</w:t>
            </w:r>
          </w:p>
          <w:p w14:paraId="4229AFF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z w:val="24"/>
                <w:lang w:val="en-US" w:eastAsia="zh-CN"/>
              </w:rPr>
            </w:pPr>
            <w:r>
              <w:rPr>
                <w:rFonts w:hint="eastAsia"/>
                <w:b w:val="0"/>
                <w:bCs w:val="0"/>
                <w:sz w:val="24"/>
                <w:lang w:val="en-US" w:eastAsia="zh-CN"/>
              </w:rPr>
              <w:t>表4.2-27 环境风险识别一览表</w:t>
            </w:r>
          </w:p>
          <w:tbl>
            <w:tblPr>
              <w:tblStyle w:val="2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438"/>
              <w:gridCol w:w="2074"/>
              <w:gridCol w:w="4316"/>
            </w:tblGrid>
            <w:tr w14:paraId="13A85F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295" w:type="pct"/>
                  <w:tcBorders>
                    <w:tl2br w:val="nil"/>
                    <w:tr2bl w:val="nil"/>
                  </w:tcBorders>
                  <w:noWrap w:val="0"/>
                  <w:vAlign w:val="center"/>
                </w:tcPr>
                <w:p w14:paraId="7E692BB5">
                  <w:pPr>
                    <w:pStyle w:val="49"/>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864" w:type="pct"/>
                  <w:tcBorders>
                    <w:tl2br w:val="nil"/>
                    <w:tr2bl w:val="nil"/>
                  </w:tcBorders>
                  <w:noWrap w:val="0"/>
                  <w:vAlign w:val="center"/>
                </w:tcPr>
                <w:p w14:paraId="1114D5EF">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风险源</w:t>
                  </w:r>
                </w:p>
              </w:tc>
              <w:tc>
                <w:tcPr>
                  <w:tcW w:w="1246" w:type="pct"/>
                  <w:tcBorders>
                    <w:tl2br w:val="nil"/>
                    <w:tr2bl w:val="nil"/>
                  </w:tcBorders>
                  <w:noWrap w:val="0"/>
                  <w:vAlign w:val="center"/>
                </w:tcPr>
                <w:p w14:paraId="0D5E83E6">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风险物质</w:t>
                  </w:r>
                </w:p>
              </w:tc>
              <w:tc>
                <w:tcPr>
                  <w:tcW w:w="2593" w:type="pct"/>
                  <w:tcBorders>
                    <w:tl2br w:val="nil"/>
                    <w:tr2bl w:val="nil"/>
                  </w:tcBorders>
                  <w:noWrap w:val="0"/>
                  <w:vAlign w:val="center"/>
                </w:tcPr>
                <w:p w14:paraId="6B69BB31">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风险影响途径</w:t>
                  </w:r>
                </w:p>
              </w:tc>
            </w:tr>
            <w:tr w14:paraId="5F772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 w:type="pct"/>
                  <w:tcBorders>
                    <w:tl2br w:val="nil"/>
                    <w:tr2bl w:val="nil"/>
                  </w:tcBorders>
                  <w:shd w:val="clear" w:color="auto" w:fill="auto"/>
                  <w:noWrap w:val="0"/>
                  <w:vAlign w:val="center"/>
                </w:tcPr>
                <w:p w14:paraId="4E993FCF">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1</w:t>
                  </w:r>
                </w:p>
              </w:tc>
              <w:tc>
                <w:tcPr>
                  <w:tcW w:w="864" w:type="pct"/>
                  <w:tcBorders>
                    <w:tl2br w:val="nil"/>
                    <w:tr2bl w:val="nil"/>
                  </w:tcBorders>
                  <w:noWrap w:val="0"/>
                  <w:vAlign w:val="center"/>
                </w:tcPr>
                <w:p w14:paraId="0CF4F22A">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kern w:val="2"/>
                      <w:sz w:val="21"/>
                      <w:szCs w:val="21"/>
                      <w:highlight w:val="none"/>
                      <w:lang w:val="en-US" w:eastAsia="zh-CN" w:bidi="ar-SA"/>
                    </w:rPr>
                  </w:pPr>
                  <w:r>
                    <w:rPr>
                      <w:rFonts w:hint="eastAsia" w:ascii="Times New Roman" w:hAnsi="Times New Roman" w:eastAsia="宋体" w:cs="Times New Roman"/>
                      <w:snapToGrid w:val="0"/>
                      <w:kern w:val="2"/>
                      <w:sz w:val="21"/>
                      <w:szCs w:val="21"/>
                      <w:highlight w:val="none"/>
                      <w:lang w:val="en-US" w:eastAsia="zh-CN" w:bidi="ar-SA"/>
                    </w:rPr>
                    <w:t>消毒设施</w:t>
                  </w:r>
                </w:p>
              </w:tc>
              <w:tc>
                <w:tcPr>
                  <w:tcW w:w="1246" w:type="pct"/>
                  <w:tcBorders>
                    <w:tl2br w:val="nil"/>
                    <w:tr2bl w:val="nil"/>
                  </w:tcBorders>
                  <w:noWrap w:val="0"/>
                  <w:vAlign w:val="center"/>
                </w:tcPr>
                <w:p w14:paraId="11D5C37E">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医疗废水</w:t>
                  </w:r>
                </w:p>
              </w:tc>
              <w:tc>
                <w:tcPr>
                  <w:tcW w:w="2593" w:type="pct"/>
                  <w:tcBorders>
                    <w:tl2br w:val="nil"/>
                    <w:tr2bl w:val="nil"/>
                  </w:tcBorders>
                  <w:noWrap w:val="0"/>
                  <w:vAlign w:val="center"/>
                </w:tcPr>
                <w:p w14:paraId="2D07A8E3">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医疗废水</w:t>
                  </w:r>
                  <w:r>
                    <w:rPr>
                      <w:rFonts w:hint="eastAsia" w:ascii="Times New Roman" w:hAnsi="Times New Roman" w:eastAsia="宋体" w:cs="Times New Roman"/>
                      <w:color w:val="auto"/>
                      <w:highlight w:val="none"/>
                      <w:lang w:val="en-US" w:eastAsia="zh-CN"/>
                    </w:rPr>
                    <w:t>超标排放</w:t>
                  </w:r>
                  <w:r>
                    <w:rPr>
                      <w:rFonts w:hint="eastAsia" w:cs="Times New Roman"/>
                      <w:color w:val="auto"/>
                      <w:highlight w:val="none"/>
                      <w:lang w:val="en-US" w:eastAsia="zh-CN"/>
                    </w:rPr>
                    <w:t>。</w:t>
                  </w:r>
                </w:p>
              </w:tc>
            </w:tr>
            <w:tr w14:paraId="05ED3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 w:type="pct"/>
                  <w:tcBorders>
                    <w:tl2br w:val="nil"/>
                    <w:tr2bl w:val="nil"/>
                  </w:tcBorders>
                  <w:shd w:val="clear" w:color="auto" w:fill="auto"/>
                  <w:noWrap w:val="0"/>
                  <w:vAlign w:val="center"/>
                </w:tcPr>
                <w:p w14:paraId="1C254848">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2</w:t>
                  </w:r>
                </w:p>
              </w:tc>
              <w:tc>
                <w:tcPr>
                  <w:tcW w:w="864" w:type="pct"/>
                  <w:tcBorders>
                    <w:tl2br w:val="nil"/>
                    <w:tr2bl w:val="nil"/>
                  </w:tcBorders>
                  <w:shd w:val="clear" w:color="auto" w:fill="auto"/>
                  <w:noWrap w:val="0"/>
                  <w:vAlign w:val="center"/>
                </w:tcPr>
                <w:p w14:paraId="1C2C19BF">
                  <w:pPr>
                    <w:pStyle w:val="49"/>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医疗废物</w:t>
                  </w:r>
                </w:p>
                <w:p w14:paraId="087DE914">
                  <w:pPr>
                    <w:pStyle w:val="49"/>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暂存点</w:t>
                  </w:r>
                </w:p>
              </w:tc>
              <w:tc>
                <w:tcPr>
                  <w:tcW w:w="1246" w:type="pct"/>
                  <w:tcBorders>
                    <w:tl2br w:val="nil"/>
                    <w:tr2bl w:val="nil"/>
                  </w:tcBorders>
                  <w:shd w:val="clear" w:color="auto" w:fill="auto"/>
                  <w:noWrap w:val="0"/>
                  <w:vAlign w:val="center"/>
                </w:tcPr>
                <w:p w14:paraId="478DFD56">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highlight w:val="none"/>
                      <w:lang w:val="en-US" w:eastAsia="zh-CN"/>
                    </w:rPr>
                    <w:t>医疗废物</w:t>
                  </w:r>
                </w:p>
              </w:tc>
              <w:tc>
                <w:tcPr>
                  <w:tcW w:w="2593" w:type="pct"/>
                  <w:tcBorders>
                    <w:tl2br w:val="nil"/>
                    <w:tr2bl w:val="nil"/>
                  </w:tcBorders>
                  <w:shd w:val="clear" w:color="auto" w:fill="auto"/>
                  <w:noWrap w:val="0"/>
                  <w:vAlign w:val="center"/>
                </w:tcPr>
                <w:p w14:paraId="0AD57163">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液态医疗废物贮存过程中若操作不善导致料桶侧翻或破裂，泄漏至外环境会影响人员健康，可能影响土壤土质并进一步影响地下水。医疗废物管理不善，残留及衍生的大量细菌危害院内人员健康。</w:t>
                  </w:r>
                </w:p>
              </w:tc>
            </w:tr>
            <w:tr w14:paraId="7DCF1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 w:type="pct"/>
                  <w:tcBorders>
                    <w:tl2br w:val="nil"/>
                    <w:tr2bl w:val="nil"/>
                  </w:tcBorders>
                  <w:noWrap w:val="0"/>
                  <w:vAlign w:val="center"/>
                </w:tcPr>
                <w:p w14:paraId="03A0284A">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3</w:t>
                  </w:r>
                </w:p>
              </w:tc>
              <w:tc>
                <w:tcPr>
                  <w:tcW w:w="864" w:type="pct"/>
                  <w:tcBorders>
                    <w:tl2br w:val="nil"/>
                    <w:tr2bl w:val="nil"/>
                  </w:tcBorders>
                  <w:shd w:val="clear" w:color="auto" w:fill="auto"/>
                  <w:noWrap w:val="0"/>
                  <w:vAlign w:val="center"/>
                </w:tcPr>
                <w:p w14:paraId="404E52DF">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snapToGrid w:val="0"/>
                      <w:kern w:val="2"/>
                      <w:sz w:val="21"/>
                      <w:szCs w:val="21"/>
                      <w:highlight w:val="none"/>
                      <w:lang w:val="en-US" w:eastAsia="zh-CN" w:bidi="ar-SA"/>
                    </w:rPr>
                    <w:t>药房</w:t>
                  </w:r>
                </w:p>
              </w:tc>
              <w:tc>
                <w:tcPr>
                  <w:tcW w:w="1246" w:type="pct"/>
                  <w:tcBorders>
                    <w:tl2br w:val="nil"/>
                    <w:tr2bl w:val="nil"/>
                  </w:tcBorders>
                  <w:shd w:val="clear" w:color="auto" w:fill="auto"/>
                  <w:noWrap w:val="0"/>
                  <w:vAlign w:val="center"/>
                </w:tcPr>
                <w:p w14:paraId="3271CF5C">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84消毒液、</w:t>
                  </w:r>
                  <w:r>
                    <w:rPr>
                      <w:rFonts w:hint="eastAsia" w:cs="Times New Roman"/>
                      <w:color w:val="auto"/>
                      <w:highlight w:val="none"/>
                      <w:lang w:val="en-US" w:eastAsia="zh-CN"/>
                    </w:rPr>
                    <w:t>二氧化氯消毒片</w:t>
                  </w:r>
                </w:p>
              </w:tc>
              <w:tc>
                <w:tcPr>
                  <w:tcW w:w="2593" w:type="pct"/>
                  <w:tcBorders>
                    <w:tl2br w:val="nil"/>
                    <w:tr2bl w:val="nil"/>
                  </w:tcBorders>
                  <w:shd w:val="clear" w:color="auto" w:fill="auto"/>
                  <w:noWrap w:val="0"/>
                  <w:vAlign w:val="center"/>
                </w:tcPr>
                <w:p w14:paraId="26BDC0E6">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本项目医用酒精、消毒液、</w:t>
                  </w:r>
                  <w:r>
                    <w:rPr>
                      <w:rFonts w:hint="eastAsia" w:cs="Times New Roman"/>
                      <w:color w:val="auto"/>
                      <w:highlight w:val="none"/>
                      <w:lang w:val="en-US" w:eastAsia="zh-CN"/>
                    </w:rPr>
                    <w:t>二氧化氯</w:t>
                  </w:r>
                  <w:r>
                    <w:rPr>
                      <w:rFonts w:hint="eastAsia" w:ascii="Times New Roman" w:hAnsi="Times New Roman" w:eastAsia="宋体" w:cs="Times New Roman"/>
                      <w:color w:val="auto"/>
                      <w:highlight w:val="none"/>
                      <w:lang w:val="en-US" w:eastAsia="zh-CN"/>
                    </w:rPr>
                    <w:t>消毒片等风险物质在储存、使用过程中发生泄漏，或遇明火发生火灾引起次生、伴生污染物排放风险。消毒液贮存或操作不当，造成泄漏，可能导致人员中毒和环境污染。</w:t>
                  </w:r>
                </w:p>
              </w:tc>
            </w:tr>
            <w:tr w14:paraId="45BD7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 w:type="pct"/>
                  <w:tcBorders>
                    <w:tl2br w:val="nil"/>
                    <w:tr2bl w:val="nil"/>
                  </w:tcBorders>
                  <w:noWrap w:val="0"/>
                  <w:vAlign w:val="center"/>
                </w:tcPr>
                <w:p w14:paraId="2CE567D2">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4</w:t>
                  </w:r>
                </w:p>
              </w:tc>
              <w:tc>
                <w:tcPr>
                  <w:tcW w:w="864" w:type="pct"/>
                  <w:tcBorders>
                    <w:tl2br w:val="nil"/>
                    <w:tr2bl w:val="nil"/>
                  </w:tcBorders>
                  <w:noWrap w:val="0"/>
                  <w:vAlign w:val="center"/>
                </w:tcPr>
                <w:p w14:paraId="6F954906">
                  <w:pPr>
                    <w:pStyle w:val="49"/>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药房</w:t>
                  </w:r>
                </w:p>
              </w:tc>
              <w:tc>
                <w:tcPr>
                  <w:tcW w:w="1246" w:type="pct"/>
                  <w:tcBorders>
                    <w:tl2br w:val="nil"/>
                    <w:tr2bl w:val="nil"/>
                  </w:tcBorders>
                  <w:noWrap w:val="0"/>
                  <w:vAlign w:val="center"/>
                </w:tcPr>
                <w:p w14:paraId="421CF108">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各类药品和化学品</w:t>
                  </w:r>
                </w:p>
              </w:tc>
              <w:tc>
                <w:tcPr>
                  <w:tcW w:w="2593" w:type="pct"/>
                  <w:tcBorders>
                    <w:tl2br w:val="nil"/>
                    <w:tr2bl w:val="nil"/>
                  </w:tcBorders>
                  <w:noWrap w:val="0"/>
                  <w:vAlign w:val="center"/>
                </w:tcPr>
                <w:p w14:paraId="0CAEA5EB">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管理不善，主要考虑人为因素情况将涉毒等危险药品</w:t>
                  </w:r>
                  <w:r>
                    <w:rPr>
                      <w:rFonts w:hint="eastAsia" w:cs="Times New Roman"/>
                      <w:color w:val="auto"/>
                      <w:highlight w:val="none"/>
                      <w:lang w:val="en-US" w:eastAsia="zh-CN"/>
                    </w:rPr>
                    <w:t>和化学品</w:t>
                  </w:r>
                  <w:r>
                    <w:rPr>
                      <w:rFonts w:hint="eastAsia" w:ascii="Times New Roman" w:hAnsi="Times New Roman" w:eastAsia="宋体" w:cs="Times New Roman"/>
                      <w:color w:val="auto"/>
                      <w:highlight w:val="none"/>
                      <w:lang w:val="en-US" w:eastAsia="zh-CN"/>
                    </w:rPr>
                    <w:t>投入外环境，造成环境污染及危害人员健康。</w:t>
                  </w:r>
                </w:p>
              </w:tc>
            </w:tr>
            <w:tr w14:paraId="34A99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5" w:type="pct"/>
                  <w:tcBorders>
                    <w:tl2br w:val="nil"/>
                    <w:tr2bl w:val="nil"/>
                  </w:tcBorders>
                  <w:noWrap w:val="0"/>
                  <w:vAlign w:val="center"/>
                </w:tcPr>
                <w:p w14:paraId="5F444C88">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5</w:t>
                  </w:r>
                </w:p>
              </w:tc>
              <w:tc>
                <w:tcPr>
                  <w:tcW w:w="864" w:type="pct"/>
                  <w:tcBorders>
                    <w:tl2br w:val="nil"/>
                    <w:tr2bl w:val="nil"/>
                  </w:tcBorders>
                  <w:noWrap w:val="0"/>
                  <w:vAlign w:val="center"/>
                </w:tcPr>
                <w:p w14:paraId="3306681A">
                  <w:pPr>
                    <w:pStyle w:val="49"/>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cs="Times New Roman"/>
                      <w:snapToGrid w:val="0"/>
                      <w:color w:val="auto"/>
                      <w:kern w:val="2"/>
                      <w:sz w:val="21"/>
                      <w:szCs w:val="21"/>
                      <w:highlight w:val="none"/>
                      <w:lang w:val="en-US" w:eastAsia="zh-CN" w:bidi="ar-SA"/>
                    </w:rPr>
                  </w:pPr>
                  <w:r>
                    <w:rPr>
                      <w:rFonts w:hint="eastAsia" w:cs="Times New Roman"/>
                      <w:snapToGrid w:val="0"/>
                      <w:color w:val="auto"/>
                      <w:kern w:val="2"/>
                      <w:sz w:val="21"/>
                      <w:szCs w:val="21"/>
                      <w:highlight w:val="none"/>
                      <w:lang w:val="en-US" w:eastAsia="zh-CN" w:bidi="ar-SA"/>
                    </w:rPr>
                    <w:t>手术室</w:t>
                  </w:r>
                </w:p>
              </w:tc>
              <w:tc>
                <w:tcPr>
                  <w:tcW w:w="1246" w:type="pct"/>
                  <w:tcBorders>
                    <w:tl2br w:val="nil"/>
                    <w:tr2bl w:val="nil"/>
                  </w:tcBorders>
                  <w:noWrap w:val="0"/>
                  <w:vAlign w:val="center"/>
                </w:tcPr>
                <w:p w14:paraId="1D711F8C">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highlight w:val="none"/>
                      <w:lang w:val="en-US" w:eastAsia="zh-CN"/>
                    </w:rPr>
                  </w:pPr>
                  <w:r>
                    <w:rPr>
                      <w:rFonts w:hint="eastAsia" w:cs="Times New Roman"/>
                      <w:color w:val="auto"/>
                      <w:highlight w:val="none"/>
                      <w:lang w:val="en-US" w:eastAsia="zh-CN"/>
                    </w:rPr>
                    <w:t>氧气</w:t>
                  </w:r>
                </w:p>
              </w:tc>
              <w:tc>
                <w:tcPr>
                  <w:tcW w:w="2593" w:type="pct"/>
                  <w:tcBorders>
                    <w:tl2br w:val="nil"/>
                    <w:tr2bl w:val="nil"/>
                  </w:tcBorders>
                  <w:noWrap w:val="0"/>
                  <w:vAlign w:val="center"/>
                </w:tcPr>
                <w:p w14:paraId="10A10C45">
                  <w:pPr>
                    <w:pStyle w:val="49"/>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如操作不当，造成氧气泄漏，可能发生火灾、爆炸。</w:t>
                  </w:r>
                </w:p>
              </w:tc>
            </w:tr>
          </w:tbl>
          <w:p w14:paraId="3412398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b/>
                <w:bCs/>
                <w:sz w:val="24"/>
                <w:lang w:val="en-US" w:eastAsia="zh-CN"/>
              </w:rPr>
            </w:pPr>
            <w:r>
              <w:rPr>
                <w:rFonts w:hint="eastAsia"/>
                <w:b/>
                <w:bCs/>
                <w:sz w:val="24"/>
                <w:lang w:val="en-US" w:eastAsia="zh-CN"/>
              </w:rPr>
              <w:t>4.2.6.2 环境风险防范措施</w:t>
            </w:r>
          </w:p>
          <w:p w14:paraId="66A2AD70">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（1）</w:t>
            </w:r>
            <w:r>
              <w:rPr>
                <w:rFonts w:hint="eastAsia"/>
                <w:bCs/>
                <w:color w:val="auto"/>
                <w:sz w:val="24"/>
                <w:szCs w:val="24"/>
              </w:rPr>
              <w:t>医疗废水事故排放防范及应急措施</w:t>
            </w:r>
          </w:p>
          <w:p w14:paraId="37AB055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rPr>
            </w:pPr>
            <w:r>
              <w:rPr>
                <w:rFonts w:hint="eastAsia"/>
                <w:sz w:val="24"/>
                <w:szCs w:val="24"/>
              </w:rPr>
              <w:t>为减轻污染负荷，应避免出现废水事故性排放，本项目采取以下防范及应急措施：</w:t>
            </w:r>
          </w:p>
          <w:p w14:paraId="79CBB4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lang w:val="en-US" w:eastAsia="zh-CN"/>
              </w:rPr>
              <w:t>①</w:t>
            </w:r>
            <w:r>
              <w:rPr>
                <w:rFonts w:hint="eastAsia"/>
                <w:sz w:val="24"/>
                <w:szCs w:val="24"/>
              </w:rPr>
              <w:t>加强项目消毒设备、管线、阀门等设备元器件的维护保养，对系统的薄弱环节的地方，加强检查、维护保养，及时更新。对处理设备故障要及时抢修，防止因处理设备故障抢修不及时而造成污水超标排放。</w:t>
            </w:r>
          </w:p>
          <w:p w14:paraId="099B7F28">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sz w:val="24"/>
                <w:szCs w:val="24"/>
              </w:rPr>
            </w:pPr>
            <w:r>
              <w:rPr>
                <w:rFonts w:hint="eastAsia"/>
                <w:sz w:val="24"/>
                <w:szCs w:val="24"/>
                <w:lang w:val="en-US" w:eastAsia="zh-CN"/>
              </w:rPr>
              <w:t>②</w:t>
            </w:r>
            <w:r>
              <w:rPr>
                <w:rFonts w:hint="eastAsia"/>
                <w:sz w:val="24"/>
                <w:szCs w:val="24"/>
              </w:rPr>
              <w:t>加强对操作人员的岗位培训，建立健全的环保管理机制和各项环保规章制度，落实岗位环保责任制，加强环境风险防范工作，防止事故排放导致环境问题。</w:t>
            </w:r>
          </w:p>
          <w:p w14:paraId="00EF2D04">
            <w:pPr>
              <w:keepNext w:val="0"/>
              <w:keepLines w:val="0"/>
              <w:pageBreakBefore w:val="0"/>
              <w:widowControl w:val="0"/>
              <w:numPr>
                <w:ilvl w:val="0"/>
                <w:numId w:val="0"/>
              </w:numPr>
              <w:kinsoku/>
              <w:wordWrap/>
              <w:overflowPunct/>
              <w:topLinePunct w:val="0"/>
              <w:autoSpaceDE/>
              <w:autoSpaceDN/>
              <w:bidi w:val="0"/>
              <w:spacing w:line="360" w:lineRule="auto"/>
              <w:ind w:firstLine="480" w:firstLineChars="200"/>
              <w:textAlignment w:val="auto"/>
              <w:rPr>
                <w:bCs/>
                <w:color w:val="auto"/>
                <w:sz w:val="24"/>
                <w:szCs w:val="24"/>
              </w:rPr>
            </w:pPr>
            <w:r>
              <w:rPr>
                <w:rFonts w:hint="default" w:ascii="Times New Roman" w:hAnsi="Times New Roman" w:eastAsia="宋体" w:cs="Times New Roman"/>
                <w:b w:val="0"/>
                <w:bCs w:val="0"/>
                <w:color w:val="auto"/>
                <w:sz w:val="24"/>
                <w:highlight w:val="none"/>
                <w:lang w:val="en-US" w:eastAsia="zh-CN"/>
              </w:rPr>
              <w:t>③</w:t>
            </w:r>
            <w:r>
              <w:rPr>
                <w:rFonts w:hint="eastAsia" w:cs="Times New Roman"/>
                <w:b w:val="0"/>
                <w:bCs w:val="0"/>
                <w:color w:val="auto"/>
                <w:sz w:val="24"/>
                <w:highlight w:val="none"/>
                <w:lang w:val="en-US" w:eastAsia="zh-CN"/>
              </w:rPr>
              <w:t>消毒</w:t>
            </w:r>
            <w:r>
              <w:rPr>
                <w:rFonts w:hint="default" w:ascii="Times New Roman" w:hAnsi="Times New Roman" w:eastAsia="宋体" w:cs="Times New Roman"/>
                <w:b w:val="0"/>
                <w:bCs w:val="0"/>
                <w:color w:val="auto"/>
                <w:sz w:val="24"/>
                <w:highlight w:val="none"/>
                <w:lang w:val="en-US" w:eastAsia="zh-CN"/>
              </w:rPr>
              <w:t>设施配套一个</w:t>
            </w:r>
            <w:r>
              <w:rPr>
                <w:rFonts w:hint="eastAsia" w:ascii="Times New Roman" w:hAnsi="Times New Roman" w:cs="Times New Roman"/>
                <w:b w:val="0"/>
                <w:bCs w:val="0"/>
                <w:color w:val="auto"/>
                <w:sz w:val="24"/>
                <w:highlight w:val="none"/>
                <w:lang w:val="en-US" w:eastAsia="zh-CN"/>
              </w:rPr>
              <w:t>应急事故</w:t>
            </w:r>
            <w:r>
              <w:rPr>
                <w:rFonts w:hint="default" w:ascii="Times New Roman" w:hAnsi="Times New Roman" w:eastAsia="宋体" w:cs="Times New Roman"/>
                <w:b w:val="0"/>
                <w:bCs w:val="0"/>
                <w:color w:val="auto"/>
                <w:sz w:val="24"/>
                <w:highlight w:val="none"/>
                <w:lang w:val="en-US" w:eastAsia="zh-CN"/>
              </w:rPr>
              <w:t>收集桶，有效容积为1m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，若</w:t>
            </w:r>
            <w:r>
              <w:rPr>
                <w:rFonts w:hint="eastAsia" w:cs="Times New Roman"/>
                <w:b w:val="0"/>
                <w:bCs w:val="0"/>
                <w:color w:val="auto"/>
                <w:sz w:val="24"/>
                <w:highlight w:val="none"/>
                <w:lang w:val="en-US" w:eastAsia="zh-CN"/>
              </w:rPr>
              <w:t>消毒</w:t>
            </w:r>
            <w:r>
              <w:rPr>
                <w:rFonts w:hint="default" w:ascii="Times New Roman" w:hAnsi="Times New Roman" w:eastAsia="宋体" w:cs="Times New Roman"/>
                <w:b w:val="0"/>
                <w:bCs w:val="0"/>
                <w:color w:val="auto"/>
                <w:sz w:val="24"/>
                <w:highlight w:val="none"/>
                <w:lang w:val="en-US" w:eastAsia="zh-CN"/>
              </w:rPr>
              <w:t>设施发生突发情况下，可将项目废水收集至收集桶，待事故结束后再分批次将收集内的污废水引入</w:t>
            </w:r>
            <w:r>
              <w:rPr>
                <w:rFonts w:hint="eastAsia" w:cs="Times New Roman"/>
                <w:b w:val="0"/>
                <w:bCs w:val="0"/>
                <w:color w:val="auto"/>
                <w:sz w:val="24"/>
                <w:highlight w:val="none"/>
                <w:lang w:val="en-US" w:eastAsia="zh-CN"/>
              </w:rPr>
              <w:t>消毒</w:t>
            </w:r>
            <w:r>
              <w:rPr>
                <w:rFonts w:hint="default" w:ascii="Times New Roman" w:hAnsi="Times New Roman" w:eastAsia="宋体" w:cs="Times New Roman"/>
                <w:b w:val="0"/>
                <w:bCs w:val="0"/>
                <w:color w:val="auto"/>
                <w:sz w:val="24"/>
                <w:highlight w:val="none"/>
                <w:lang w:val="en-US" w:eastAsia="zh-CN"/>
              </w:rPr>
              <w:t>设施进行处理，直到事故解除。</w:t>
            </w:r>
          </w:p>
          <w:p w14:paraId="320DAD16">
            <w:pPr>
              <w:pStyle w:val="15"/>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w:t>
            </w:r>
            <w:r>
              <w:rPr>
                <w:rFonts w:hint="eastAsia"/>
                <w:bCs/>
                <w:color w:val="auto"/>
                <w:sz w:val="24"/>
                <w:szCs w:val="24"/>
                <w:lang w:val="en-US" w:eastAsia="zh-CN"/>
              </w:rPr>
              <w:t>2</w:t>
            </w:r>
            <w:r>
              <w:rPr>
                <w:bCs/>
                <w:color w:val="auto"/>
                <w:sz w:val="24"/>
                <w:szCs w:val="24"/>
              </w:rPr>
              <w:t>）</w:t>
            </w:r>
            <w:r>
              <w:rPr>
                <w:rFonts w:hint="eastAsia"/>
                <w:bCs/>
                <w:color w:val="auto"/>
                <w:sz w:val="24"/>
                <w:szCs w:val="24"/>
              </w:rPr>
              <w:t>医疗废物收集、贮存和运输风险防范措施</w:t>
            </w:r>
          </w:p>
          <w:p w14:paraId="198CF49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根据《国家危险废物名录</w:t>
            </w:r>
            <w:r>
              <w:rPr>
                <w:rFonts w:hint="eastAsia"/>
                <w:bCs/>
                <w:color w:val="auto"/>
                <w:sz w:val="24"/>
                <w:szCs w:val="24"/>
                <w:lang w:eastAsia="zh-CN"/>
              </w:rPr>
              <w:t>》《</w:t>
            </w:r>
            <w:r>
              <w:rPr>
                <w:rFonts w:hint="eastAsia"/>
                <w:bCs/>
                <w:color w:val="auto"/>
                <w:sz w:val="24"/>
                <w:szCs w:val="24"/>
              </w:rPr>
              <w:t>医疗废物分类目录》等相关规定，合理分类并严格按照有关规定进行运转及暂时存放前提下，</w:t>
            </w:r>
            <w:r>
              <w:rPr>
                <w:rFonts w:hint="eastAsia"/>
                <w:bCs/>
                <w:color w:val="auto"/>
                <w:sz w:val="24"/>
                <w:szCs w:val="24"/>
                <w:lang w:val="en-US" w:eastAsia="zh-CN"/>
              </w:rPr>
              <w:t>本</w:t>
            </w:r>
            <w:r>
              <w:rPr>
                <w:rFonts w:hint="eastAsia"/>
                <w:bCs/>
                <w:color w:val="auto"/>
                <w:sz w:val="24"/>
                <w:szCs w:val="24"/>
              </w:rPr>
              <w:t>项目医疗废物经预消毒后统一交由有资质的单位集中处置，不会对周围环境产生大的影响。</w:t>
            </w:r>
          </w:p>
          <w:p w14:paraId="19C16C8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医院设置负责医疗废物管理的监控部门或者专（兼）职人员，负责检查、督促、落实本单位医疗废物的管理工作，建立医疗废物管理责任制；制定并落实相应的规章制度、工作程序和要求、有关人员的工作职责；对本单位从事医疗废物收集、运送、贮存等工作的人员和管理人员，进行相关法律和专业技术、安全防护以及紧急处理等知识的培训。</w:t>
            </w:r>
          </w:p>
          <w:p w14:paraId="77392CA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根据中华人民共和国卫生部48号令《医院感染管理办法》医院感染管理部门的职责中对医疗废物管理工作提供指导的要求，如发生医疗废物流失、泄漏、扩散和意外事故时，应当按照以下要求及时采取紧急处理措施：</w:t>
            </w:r>
          </w:p>
          <w:p w14:paraId="2D33C8C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①医院发生医疗废物流失、泄漏、扩散和意外事故时，应当在48小时内向当地相关部门报告；发生因医疗废物管理不当导致1人以上死亡或者3人以上健康损害，需要对致病人员提供医疗救护和现场救援时，应当在24小时内向相关部门报告，并按以下规定采取紧急处理措施：</w:t>
            </w:r>
          </w:p>
          <w:p w14:paraId="7C5E0200">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rFonts w:hint="eastAsia"/>
                <w:bCs/>
                <w:color w:val="auto"/>
                <w:sz w:val="24"/>
                <w:szCs w:val="24"/>
                <w:lang w:val="en-US" w:eastAsia="zh-CN"/>
              </w:rPr>
              <w:t>a.</w:t>
            </w:r>
            <w:r>
              <w:rPr>
                <w:rFonts w:hint="eastAsia"/>
                <w:bCs/>
                <w:color w:val="auto"/>
                <w:sz w:val="24"/>
                <w:szCs w:val="24"/>
              </w:rPr>
              <w:t>确定流失、泄漏、扩散的医疗废物的类别、数量、发生时间、影响范围及严重程度；</w:t>
            </w:r>
          </w:p>
          <w:p w14:paraId="6E5BF1B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rFonts w:hint="eastAsia"/>
                <w:bCs/>
                <w:color w:val="auto"/>
                <w:sz w:val="24"/>
                <w:szCs w:val="24"/>
                <w:lang w:val="en-US" w:eastAsia="zh-CN"/>
              </w:rPr>
              <w:t>b.组织有关人员尽快按照应急方案，对发生医疗废物泄漏、扩散的现场进行处理；</w:t>
            </w:r>
          </w:p>
          <w:p w14:paraId="3861C0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color w:val="auto"/>
                <w:sz w:val="24"/>
                <w:szCs w:val="24"/>
              </w:rPr>
            </w:pPr>
            <w:r>
              <w:rPr>
                <w:rFonts w:hint="eastAsia"/>
                <w:bCs/>
                <w:color w:val="auto"/>
                <w:sz w:val="24"/>
                <w:szCs w:val="24"/>
                <w:lang w:val="en-US" w:eastAsia="zh-CN"/>
              </w:rPr>
              <w:t>c.</w:t>
            </w:r>
            <w:r>
              <w:rPr>
                <w:rFonts w:hint="eastAsia"/>
                <w:bCs/>
                <w:color w:val="auto"/>
                <w:sz w:val="24"/>
                <w:szCs w:val="24"/>
              </w:rPr>
              <w:t>对被医疗废物污染的区域进行处理时，应当尽可能减少对病例、</w:t>
            </w:r>
            <w:r>
              <w:rPr>
                <w:rFonts w:hint="eastAsia"/>
                <w:bCs/>
                <w:color w:val="auto"/>
                <w:sz w:val="24"/>
                <w:szCs w:val="24"/>
                <w:lang w:eastAsia="zh-CN"/>
              </w:rPr>
              <w:t>医护人员</w:t>
            </w:r>
            <w:r>
              <w:rPr>
                <w:rFonts w:hint="eastAsia"/>
                <w:bCs/>
                <w:color w:val="auto"/>
                <w:sz w:val="24"/>
                <w:szCs w:val="24"/>
              </w:rPr>
              <w:t>、</w:t>
            </w:r>
            <w:r>
              <w:rPr>
                <w:rFonts w:hint="eastAsia"/>
                <w:bCs/>
                <w:color w:val="auto"/>
                <w:sz w:val="24"/>
                <w:szCs w:val="24"/>
                <w:lang w:eastAsia="zh-CN"/>
              </w:rPr>
              <w:t>其他</w:t>
            </w:r>
            <w:r>
              <w:rPr>
                <w:rFonts w:hint="eastAsia"/>
                <w:bCs/>
                <w:color w:val="auto"/>
                <w:sz w:val="24"/>
                <w:szCs w:val="24"/>
              </w:rPr>
              <w:t>现场人员及环境的影响；</w:t>
            </w:r>
          </w:p>
          <w:p w14:paraId="4F4DC36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d.采取适当的安全处置措施，对泄漏物及受污染的区域、物品进行消毒或者其他无害化处置，污染或可疑污染处用2000mg/L含氯消毒剂喷洒消毒，停留30分钟后再做处理。必要时封锁污染区域，以防扩大污染；</w:t>
            </w:r>
          </w:p>
          <w:p w14:paraId="31AF880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e.对感染性废物污染区域进行消毒时，消毒工作从污染最轻区域向污染最严重区域进行，对可能被污染的所有使用过的工具也应当用2000mg/L含氯消毒剂喷洒消毒；</w:t>
            </w:r>
          </w:p>
          <w:p w14:paraId="1B03C14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f.工作人员应当做好卫生安全防护后进行工作，戴口罩、帽子和手套，进行工作时应避免用污染的手套接触其他物品，以避免污染环境。</w:t>
            </w:r>
          </w:p>
          <w:p w14:paraId="7CD78C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rPr>
            </w:pPr>
            <w:r>
              <w:rPr>
                <w:rFonts w:hint="eastAsia"/>
                <w:bCs/>
                <w:color w:val="auto"/>
                <w:sz w:val="24"/>
                <w:szCs w:val="24"/>
              </w:rPr>
              <w:t>②调查处理工作结束后，及时将处理结果报告相关部门。</w:t>
            </w:r>
          </w:p>
          <w:p w14:paraId="18958523">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rFonts w:hint="eastAsia"/>
                <w:bCs/>
                <w:color w:val="auto"/>
                <w:sz w:val="24"/>
                <w:szCs w:val="24"/>
              </w:rPr>
              <w:t>③处理工作结束后，及时对事件的起因进行调查，并采取有效的防范措施预防类似事件的发生。</w:t>
            </w:r>
          </w:p>
          <w:p w14:paraId="7E44C2DF">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bCs/>
                <w:color w:val="auto"/>
                <w:sz w:val="24"/>
                <w:szCs w:val="24"/>
              </w:rPr>
              <w:t>（</w:t>
            </w:r>
            <w:r>
              <w:rPr>
                <w:rFonts w:hint="eastAsia"/>
                <w:bCs/>
                <w:color w:val="auto"/>
                <w:sz w:val="24"/>
                <w:szCs w:val="24"/>
                <w:lang w:val="en-US" w:eastAsia="zh-CN"/>
              </w:rPr>
              <w:t>3</w:t>
            </w:r>
            <w:r>
              <w:rPr>
                <w:bCs/>
                <w:color w:val="auto"/>
                <w:sz w:val="24"/>
                <w:szCs w:val="24"/>
              </w:rPr>
              <w:t>）</w:t>
            </w:r>
            <w:r>
              <w:rPr>
                <w:rFonts w:hint="eastAsia"/>
                <w:bCs/>
                <w:color w:val="auto"/>
                <w:sz w:val="24"/>
                <w:szCs w:val="24"/>
                <w:lang w:val="en-US" w:eastAsia="zh-CN"/>
              </w:rPr>
              <w:t>药品和化学品贮存及使用风险防范措施</w:t>
            </w:r>
          </w:p>
          <w:p w14:paraId="58805AC9">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rFonts w:hint="eastAsia"/>
                <w:bCs/>
                <w:color w:val="auto"/>
                <w:sz w:val="24"/>
                <w:szCs w:val="24"/>
                <w:lang w:val="en-US" w:eastAsia="zh-CN"/>
              </w:rPr>
              <w:t>本项目不涉及配制试剂，故项目风险管理主要为药品的风险管理。</w:t>
            </w:r>
          </w:p>
          <w:p w14:paraId="1DC8C62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bCs/>
                <w:color w:val="auto"/>
                <w:sz w:val="24"/>
                <w:szCs w:val="24"/>
                <w:lang w:val="en-US" w:eastAsia="zh-CN"/>
              </w:rPr>
            </w:pPr>
            <w:r>
              <w:rPr>
                <w:rFonts w:hint="eastAsia"/>
                <w:bCs/>
                <w:color w:val="auto"/>
                <w:sz w:val="24"/>
                <w:szCs w:val="24"/>
                <w:lang w:val="en-US" w:eastAsia="zh-CN"/>
              </w:rPr>
              <w:t>本项目为正规宠物医院，其药品专门放置在配药台、化验台处。类似于实验室药品管理：所有试剂应摆放至相应位置，贴上相应标签；配制试剂应放置在固定的通风橱或冰箱内；有效期已过的试剂、药品，由实验室人员负责按照“危险废弃物及其包装物管理”进行处理，并负责清洗容器；检测人员应不断增强自我保护意识，加强学习，避免出现玻璃塞试剂瓶盛放碱性试剂等低级失误。</w:t>
            </w:r>
          </w:p>
          <w:p w14:paraId="74C11CB3">
            <w:pPr>
              <w:keepNext w:val="0"/>
              <w:keepLines w:val="0"/>
              <w:pageBreakBefore w:val="0"/>
              <w:widowControl w:val="0"/>
              <w:kinsoku/>
              <w:wordWrap/>
              <w:overflowPunct/>
              <w:topLinePunct w:val="0"/>
              <w:autoSpaceDE/>
              <w:autoSpaceDN/>
              <w:bidi w:val="0"/>
              <w:spacing w:line="360" w:lineRule="auto"/>
              <w:ind w:firstLine="480" w:firstLineChars="200"/>
              <w:textAlignment w:val="auto"/>
              <w:rPr>
                <w:bCs/>
                <w:color w:val="auto"/>
                <w:sz w:val="24"/>
                <w:szCs w:val="24"/>
              </w:rPr>
            </w:pPr>
            <w:r>
              <w:rPr>
                <w:rFonts w:hint="eastAsia"/>
                <w:bCs/>
                <w:color w:val="auto"/>
                <w:sz w:val="24"/>
                <w:szCs w:val="24"/>
                <w:lang w:val="en-US" w:eastAsia="zh-CN"/>
              </w:rPr>
              <w:t>医用危险化学品的购买、储存、保管和使用，以及运输应当按照《危险化学品安全管理条例》的规定进行管理，危险化学品必须储存在专用的储存室内，其存储方式、方法和数量必须符合国家标准，并由专人管理，危险化学品出入库应进行核查登记，并定期检查库存，实行双人双发、双人保管制度。</w:t>
            </w:r>
          </w:p>
          <w:p w14:paraId="3854B6A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存放的酒精每次取用后应立即将容器上盖封闭，严禁敞开放置；酒精应避免用玻璃瓶存放，防止跌落破损；酒精应远离火种、热源，温度不宜超过30℃，防止阳光直射。若酒精着火后，着火面积较大时，应第一时间拨打119，使用干粉灭火器或二氧化碳灭火器进行灭火。如果有沙子或土，可使用沙子或土进行灭火。不能使用水进行泼洒灭火。</w:t>
            </w:r>
          </w:p>
          <w:p w14:paraId="20C6048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（4）氧气储存风险防范及应急措施</w:t>
            </w:r>
          </w:p>
          <w:p w14:paraId="37B0574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项目氧气瓶存放于手术室内，由专人进行管理，氧气瓶不得与可燃气体气瓶同室储存。储存室内禁绝烟火，并远离热源和明火，必须禁绝抽烟及其他一切火源。防止瓶内积水及积存其他污物，防止气瓶腐蚀及其他损害，进而避免气瓶爆炸。严禁使用超过检验期的气瓶。氧气瓶发生爆炸后会带来安全问题，但不会造成环境危害。</w:t>
            </w:r>
          </w:p>
          <w:p w14:paraId="53B379C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（5）动物疫病风险防控措施</w:t>
            </w:r>
          </w:p>
          <w:p w14:paraId="340BC69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①</w:t>
            </w:r>
            <w:r>
              <w:rPr>
                <w:rFonts w:hint="default"/>
                <w:sz w:val="24"/>
                <w:szCs w:val="24"/>
                <w:lang w:val="en-US" w:eastAsia="zh-CN"/>
              </w:rPr>
              <w:t>严格遵守《中华人民共和国动物防疫法</w:t>
            </w:r>
            <w:r>
              <w:rPr>
                <w:rFonts w:hint="eastAsia"/>
                <w:sz w:val="24"/>
                <w:szCs w:val="24"/>
                <w:lang w:val="en-US" w:eastAsia="zh-CN"/>
              </w:rPr>
              <w:t>》《</w:t>
            </w:r>
            <w:r>
              <w:rPr>
                <w:rFonts w:hint="default"/>
                <w:sz w:val="24"/>
                <w:szCs w:val="24"/>
                <w:lang w:val="en-US" w:eastAsia="zh-CN"/>
              </w:rPr>
              <w:t>重庆市动物防疫条例</w:t>
            </w:r>
            <w:r>
              <w:rPr>
                <w:rFonts w:hint="eastAsia"/>
                <w:sz w:val="24"/>
                <w:szCs w:val="24"/>
                <w:lang w:val="en-US" w:eastAsia="zh-CN"/>
              </w:rPr>
              <w:t>》《</w:t>
            </w:r>
            <w:r>
              <w:rPr>
                <w:rFonts w:hint="default"/>
                <w:sz w:val="24"/>
                <w:szCs w:val="24"/>
                <w:lang w:val="en-US" w:eastAsia="zh-CN"/>
              </w:rPr>
              <w:t>重庆市无规定动物疫病区管理办法》等相关规定，杜绝动物疫病传播。</w:t>
            </w:r>
          </w:p>
          <w:p w14:paraId="58D8E69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②</w:t>
            </w:r>
            <w:r>
              <w:rPr>
                <w:rFonts w:hint="default"/>
                <w:sz w:val="24"/>
                <w:szCs w:val="24"/>
                <w:lang w:val="en-US" w:eastAsia="zh-CN"/>
              </w:rPr>
              <w:t>依照有关规定，妥善处理宠物及其排泄物；妥善处理宠物医疗废弃物，不得随意丢弃。</w:t>
            </w:r>
          </w:p>
          <w:p w14:paraId="5384DDA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③</w:t>
            </w:r>
            <w:r>
              <w:rPr>
                <w:rFonts w:hint="default"/>
                <w:sz w:val="24"/>
                <w:szCs w:val="24"/>
                <w:lang w:val="en-US" w:eastAsia="zh-CN"/>
              </w:rPr>
              <w:t>本项目收治动物不涉及动物疫病，每个宠物在入院前都要做一次疫情检查，未发现疫情可入院治疗；且医院设有门诊日志、住院部设有住院登记簿等。</w:t>
            </w:r>
          </w:p>
          <w:p w14:paraId="541B863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④</w:t>
            </w:r>
            <w:r>
              <w:rPr>
                <w:rFonts w:hint="default"/>
                <w:sz w:val="24"/>
                <w:szCs w:val="24"/>
                <w:lang w:val="en-US" w:eastAsia="zh-CN"/>
              </w:rPr>
              <w:t>配备专门人员，负责疫情信息记录和报告，定期向所在地动物防疫机构报告。</w:t>
            </w:r>
          </w:p>
          <w:p w14:paraId="7B7B96C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⑤</w:t>
            </w:r>
            <w:r>
              <w:rPr>
                <w:rFonts w:hint="default"/>
                <w:sz w:val="24"/>
                <w:szCs w:val="24"/>
                <w:lang w:val="en-US" w:eastAsia="zh-CN"/>
              </w:rPr>
              <w:t>各类疫情报表要认真填写，不得瞒报、谎报、迟报、漏报或阻碍他人报告动物疫情。对疫点应当采取下列措施：</w:t>
            </w:r>
          </w:p>
          <w:p w14:paraId="3F63C01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a.</w:t>
            </w:r>
            <w:r>
              <w:rPr>
                <w:rFonts w:hint="default"/>
                <w:sz w:val="24"/>
                <w:szCs w:val="24"/>
                <w:lang w:val="en-US" w:eastAsia="zh-CN"/>
              </w:rPr>
              <w:t>扑杀并销毁染疫动物和易感染的动物及其产品；</w:t>
            </w:r>
          </w:p>
          <w:p w14:paraId="2839AF2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b.</w:t>
            </w:r>
            <w:r>
              <w:rPr>
                <w:rFonts w:hint="default"/>
                <w:sz w:val="24"/>
                <w:szCs w:val="24"/>
                <w:lang w:val="en-US" w:eastAsia="zh-CN"/>
              </w:rPr>
              <w:t>对病死的动物、动物排泄物、被污染饲料、垫料、污水进行无害化处理；</w:t>
            </w:r>
          </w:p>
          <w:p w14:paraId="266B97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c.</w:t>
            </w:r>
            <w:r>
              <w:rPr>
                <w:rFonts w:hint="default"/>
                <w:sz w:val="24"/>
                <w:szCs w:val="24"/>
                <w:lang w:val="en-US" w:eastAsia="zh-CN"/>
              </w:rPr>
              <w:t>对被污染的物品、用具、动物圈舍、场地进行严格消毒。</w:t>
            </w:r>
          </w:p>
          <w:p w14:paraId="3474BD0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sz w:val="24"/>
                <w:szCs w:val="24"/>
                <w:lang w:val="en-US" w:eastAsia="zh-CN"/>
              </w:rPr>
            </w:pPr>
            <w:r>
              <w:rPr>
                <w:rFonts w:hint="eastAsia"/>
                <w:sz w:val="24"/>
                <w:szCs w:val="24"/>
                <w:lang w:val="en-US" w:eastAsia="zh-CN"/>
              </w:rPr>
              <w:t>⑥</w:t>
            </w:r>
            <w:r>
              <w:rPr>
                <w:rFonts w:hint="default"/>
                <w:sz w:val="24"/>
                <w:szCs w:val="24"/>
                <w:lang w:val="en-US" w:eastAsia="zh-CN"/>
              </w:rPr>
              <w:t>根据《病死及病害动物无害化处理技术规范》（农医发</w:t>
            </w:r>
            <w:r>
              <w:rPr>
                <w:rFonts w:hint="eastAsia"/>
                <w:sz w:val="24"/>
                <w:szCs w:val="24"/>
                <w:lang w:val="en-US" w:eastAsia="zh-CN"/>
              </w:rPr>
              <w:t>〔2017〕25号</w:t>
            </w:r>
            <w:r>
              <w:rPr>
                <w:rFonts w:hint="default"/>
                <w:sz w:val="24"/>
                <w:szCs w:val="24"/>
                <w:lang w:val="en-US" w:eastAsia="zh-CN"/>
              </w:rPr>
              <w:t>），为防止动物疫病传播扩散，病死及病害动物和相关动物产品的收集、暂存、转运等操作的工作人员应经过专门培训，掌握相应的动物防疫知识；包装材料应符合密闭、防水、防渗、防破损、耐腐蚀等要求，医院采用冷冻或冷藏方式进行暂存，防止无害化处理前病死及病害动物和相关动物产品腐败。</w:t>
            </w:r>
          </w:p>
          <w:p w14:paraId="5614C5F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val="en-US" w:eastAsia="zh-CN"/>
              </w:rPr>
            </w:pPr>
            <w:r>
              <w:rPr>
                <w:rFonts w:hint="eastAsia"/>
                <w:sz w:val="24"/>
                <w:szCs w:val="24"/>
                <w:lang w:val="en-US" w:eastAsia="zh-CN"/>
              </w:rPr>
              <w:t>⑦</w:t>
            </w:r>
            <w:r>
              <w:rPr>
                <w:rFonts w:hint="default"/>
                <w:sz w:val="24"/>
                <w:szCs w:val="24"/>
                <w:lang w:val="en-US" w:eastAsia="zh-CN"/>
              </w:rPr>
              <w:t>发现动物疫病或疑似动物疫病时，及时向所在地动物防疫机构报告，同时采取紧急措施控制疫情蔓延。重大动物疫情发生后，县级以上地方人民政府兽医主管部门应当立即划定疫点、疫区和受威胁区，调查疫源，向本级人民政府提出启动重大动物疫情应急指挥系统、应急预案和对疫区实行封锁的建议，有关人民政府应当立即作出决定。疫点、疫区和受威胁区的范围应当按照不同动物疫病病种及其流行特点和危害程度划定，具体划定标准由国务院兽医主管部门制定。</w:t>
            </w:r>
          </w:p>
        </w:tc>
      </w:tr>
    </w:tbl>
    <w:p w14:paraId="7ECFA7AA">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BC1D963">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2" w:name="_Hlk54167917"/>
      <w:r>
        <w:rPr>
          <w:rFonts w:hint="eastAsia" w:ascii="黑体" w:hAnsi="黑体" w:eastAsia="黑体"/>
          <w:snapToGrid w:val="0"/>
          <w:sz w:val="30"/>
          <w:szCs w:val="30"/>
        </w:rPr>
        <w:t>环境保护措施监督检查清单</w:t>
      </w:r>
      <w:bookmarkEnd w:id="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14:paraId="793517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14:paraId="367EA316">
            <w:pPr>
              <w:adjustRightInd w:val="0"/>
              <w:snapToGrid w:val="0"/>
              <w:ind w:firstLine="840"/>
              <w:rPr>
                <w:rFonts w:hint="default" w:ascii="Times New Roman" w:hAnsi="Times New Roman" w:cs="Times New Roman"/>
                <w:szCs w:val="21"/>
              </w:rPr>
            </w:pPr>
            <w:r>
              <w:rPr>
                <w:rFonts w:hint="default" w:ascii="Times New Roman" w:hAnsi="Times New Roman" w:cs="Times New Roman"/>
                <w:szCs w:val="21"/>
              </w:rPr>
              <w:t>内容</w:t>
            </w:r>
          </w:p>
          <w:p w14:paraId="04BBD39C">
            <w:pPr>
              <w:adjustRightInd w:val="0"/>
              <w:snapToGrid w:val="0"/>
              <w:rPr>
                <w:rFonts w:hint="default" w:ascii="Times New Roman" w:hAnsi="Times New Roman" w:cs="Times New Roman"/>
                <w:szCs w:val="21"/>
              </w:rPr>
            </w:pPr>
            <w:r>
              <w:rPr>
                <w:rFonts w:hint="default" w:ascii="Times New Roman" w:hAnsi="Times New Roman" w:cs="Times New Roman"/>
                <w:szCs w:val="21"/>
              </w:rPr>
              <w:t>要素</w:t>
            </w:r>
          </w:p>
        </w:tc>
        <w:tc>
          <w:tcPr>
            <w:tcW w:w="1755" w:type="dxa"/>
            <w:noWrap w:val="0"/>
            <w:vAlign w:val="center"/>
          </w:tcPr>
          <w:p w14:paraId="2CF2547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排放口(编号、</w:t>
            </w:r>
          </w:p>
          <w:p w14:paraId="5185947C">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名称)/污染源</w:t>
            </w:r>
          </w:p>
        </w:tc>
        <w:tc>
          <w:tcPr>
            <w:tcW w:w="1755" w:type="dxa"/>
            <w:noWrap w:val="0"/>
            <w:vAlign w:val="center"/>
          </w:tcPr>
          <w:p w14:paraId="0EACDB1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污染物项目</w:t>
            </w:r>
          </w:p>
        </w:tc>
        <w:tc>
          <w:tcPr>
            <w:tcW w:w="1755" w:type="dxa"/>
            <w:noWrap w:val="0"/>
            <w:vAlign w:val="center"/>
          </w:tcPr>
          <w:p w14:paraId="62F6AF6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环境保护措施</w:t>
            </w:r>
          </w:p>
        </w:tc>
        <w:tc>
          <w:tcPr>
            <w:tcW w:w="1757" w:type="dxa"/>
            <w:noWrap w:val="0"/>
            <w:vAlign w:val="center"/>
          </w:tcPr>
          <w:p w14:paraId="0F1014F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执行标准</w:t>
            </w:r>
          </w:p>
        </w:tc>
      </w:tr>
      <w:tr w14:paraId="4A2DC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459694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大气环境</w:t>
            </w:r>
          </w:p>
        </w:tc>
        <w:tc>
          <w:tcPr>
            <w:tcW w:w="1755" w:type="dxa"/>
            <w:noWrap w:val="0"/>
            <w:vAlign w:val="center"/>
          </w:tcPr>
          <w:p w14:paraId="29637B89">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诊疗、住院、</w:t>
            </w:r>
            <w:r>
              <w:rPr>
                <w:rFonts w:hint="eastAsia" w:cs="Times New Roman"/>
                <w:szCs w:val="21"/>
                <w:lang w:eastAsia="zh-CN"/>
              </w:rPr>
              <w:t>消毒设施</w:t>
            </w:r>
            <w:r>
              <w:rPr>
                <w:rFonts w:hint="default" w:ascii="Times New Roman" w:hAnsi="Times New Roman" w:cs="Times New Roman"/>
                <w:szCs w:val="21"/>
              </w:rPr>
              <w:t>等</w:t>
            </w:r>
          </w:p>
        </w:tc>
        <w:tc>
          <w:tcPr>
            <w:tcW w:w="1755" w:type="dxa"/>
            <w:noWrap w:val="0"/>
            <w:vAlign w:val="center"/>
          </w:tcPr>
          <w:p w14:paraId="4EC4E56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异味</w:t>
            </w:r>
          </w:p>
        </w:tc>
        <w:tc>
          <w:tcPr>
            <w:tcW w:w="1755" w:type="dxa"/>
            <w:noWrap w:val="0"/>
            <w:vAlign w:val="center"/>
          </w:tcPr>
          <w:p w14:paraId="461E034B">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rPr>
              <w:t>采用自然通风和空调系统结合的形式进行通风</w:t>
            </w:r>
            <w:r>
              <w:rPr>
                <w:rFonts w:hint="default" w:ascii="Times New Roman" w:hAnsi="Times New Roman" w:cs="Times New Roman"/>
                <w:szCs w:val="21"/>
                <w:lang w:eastAsia="zh-CN"/>
              </w:rPr>
              <w:t>；</w:t>
            </w:r>
            <w:r>
              <w:rPr>
                <w:rFonts w:hint="eastAsia" w:cs="Times New Roman"/>
                <w:szCs w:val="21"/>
                <w:lang w:val="en-US" w:eastAsia="zh-CN"/>
              </w:rPr>
              <w:t>住院区</w:t>
            </w:r>
            <w:r>
              <w:rPr>
                <w:rFonts w:hint="default" w:ascii="Times New Roman" w:hAnsi="Times New Roman" w:cs="Times New Roman"/>
                <w:szCs w:val="21"/>
              </w:rPr>
              <w:t>设有紫外线灯管消毒杀菌</w:t>
            </w:r>
            <w:r>
              <w:rPr>
                <w:rFonts w:hint="default" w:ascii="Times New Roman" w:hAnsi="Times New Roman" w:cs="Times New Roman"/>
                <w:szCs w:val="21"/>
                <w:lang w:eastAsia="zh-CN"/>
              </w:rPr>
              <w:t>；</w:t>
            </w:r>
            <w:r>
              <w:rPr>
                <w:rFonts w:hint="default" w:ascii="Times New Roman" w:hAnsi="Times New Roman" w:cs="Times New Roman"/>
                <w:szCs w:val="21"/>
              </w:rPr>
              <w:t>每天使用84消毒液等对医院</w:t>
            </w:r>
            <w:r>
              <w:rPr>
                <w:rFonts w:hint="eastAsia" w:cs="Times New Roman"/>
                <w:szCs w:val="21"/>
                <w:lang w:eastAsia="zh-CN"/>
              </w:rPr>
              <w:t>进行</w:t>
            </w:r>
            <w:r>
              <w:rPr>
                <w:rFonts w:hint="default" w:ascii="Times New Roman" w:hAnsi="Times New Roman" w:cs="Times New Roman"/>
                <w:szCs w:val="21"/>
              </w:rPr>
              <w:t>行消毒</w:t>
            </w:r>
            <w:r>
              <w:rPr>
                <w:rFonts w:hint="default" w:ascii="Times New Roman" w:hAnsi="Times New Roman" w:cs="Times New Roman"/>
                <w:szCs w:val="21"/>
                <w:lang w:eastAsia="zh-CN"/>
              </w:rPr>
              <w:t>；</w:t>
            </w:r>
            <w:r>
              <w:rPr>
                <w:rFonts w:hint="eastAsia" w:cs="Times New Roman"/>
                <w:szCs w:val="21"/>
                <w:lang w:val="en-US" w:eastAsia="zh-CN"/>
              </w:rPr>
              <w:t>消毒设施密闭处理。</w:t>
            </w:r>
          </w:p>
        </w:tc>
        <w:tc>
          <w:tcPr>
            <w:tcW w:w="1757" w:type="dxa"/>
            <w:noWrap w:val="0"/>
            <w:vAlign w:val="center"/>
          </w:tcPr>
          <w:p w14:paraId="37FCF9E6">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w:t>
            </w:r>
            <w:r>
              <w:rPr>
                <w:rFonts w:hint="default" w:ascii="Times New Roman" w:hAnsi="Times New Roman" w:cs="Times New Roman"/>
                <w:szCs w:val="21"/>
              </w:rPr>
              <w:t>恶臭污染物排放标准》</w:t>
            </w:r>
            <w:r>
              <w:rPr>
                <w:rFonts w:hint="default" w:ascii="Times New Roman" w:hAnsi="Times New Roman" w:cs="Times New Roman"/>
                <w:szCs w:val="21"/>
                <w:lang w:eastAsia="zh-CN"/>
              </w:rPr>
              <w:t>（</w:t>
            </w:r>
            <w:r>
              <w:rPr>
                <w:rFonts w:hint="default" w:ascii="Times New Roman" w:hAnsi="Times New Roman" w:cs="Times New Roman"/>
                <w:szCs w:val="21"/>
              </w:rPr>
              <w:t>GB14554-93</w:t>
            </w:r>
            <w:r>
              <w:rPr>
                <w:rFonts w:hint="default" w:ascii="Times New Roman" w:hAnsi="Times New Roman" w:cs="Times New Roman"/>
                <w:szCs w:val="21"/>
                <w:lang w:eastAsia="zh-CN"/>
              </w:rPr>
              <w:t>）；</w:t>
            </w:r>
          </w:p>
        </w:tc>
      </w:tr>
      <w:tr w14:paraId="081D5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14:paraId="332E6E3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地表水环境</w:t>
            </w:r>
          </w:p>
        </w:tc>
        <w:tc>
          <w:tcPr>
            <w:tcW w:w="1755" w:type="dxa"/>
            <w:shd w:val="clear" w:color="auto" w:fill="auto"/>
            <w:noWrap w:val="0"/>
            <w:vAlign w:val="center"/>
          </w:tcPr>
          <w:p w14:paraId="6C5E8199">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DW001</w:t>
            </w:r>
          </w:p>
        </w:tc>
        <w:tc>
          <w:tcPr>
            <w:tcW w:w="1755" w:type="dxa"/>
            <w:shd w:val="clear" w:color="auto" w:fill="auto"/>
            <w:noWrap w:val="0"/>
            <w:vAlign w:val="center"/>
          </w:tcPr>
          <w:p w14:paraId="0A31E774">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粪大肠菌群</w:t>
            </w:r>
            <w:r>
              <w:rPr>
                <w:rFonts w:hint="eastAsia" w:cs="Times New Roman"/>
                <w:szCs w:val="21"/>
                <w:lang w:val="en-US" w:eastAsia="zh-CN"/>
              </w:rPr>
              <w:t>、总余氯</w:t>
            </w:r>
          </w:p>
        </w:tc>
        <w:tc>
          <w:tcPr>
            <w:tcW w:w="1755" w:type="dxa"/>
            <w:vMerge w:val="restart"/>
            <w:shd w:val="clear" w:color="auto" w:fill="auto"/>
            <w:noWrap w:val="0"/>
            <w:vAlign w:val="center"/>
          </w:tcPr>
          <w:p w14:paraId="3C0D8E7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项目设置</w:t>
            </w:r>
            <w:r>
              <w:rPr>
                <w:rFonts w:hint="eastAsia" w:cs="Times New Roman"/>
                <w:szCs w:val="21"/>
                <w:highlight w:val="none"/>
                <w:lang w:val="en-US" w:eastAsia="zh-CN"/>
              </w:rPr>
              <w:t>2</w:t>
            </w:r>
            <w:r>
              <w:rPr>
                <w:rFonts w:hint="default" w:ascii="Times New Roman" w:hAnsi="Times New Roman" w:cs="Times New Roman"/>
                <w:szCs w:val="21"/>
                <w:highlight w:val="none"/>
              </w:rPr>
              <w:t>台</w:t>
            </w:r>
            <w:r>
              <w:rPr>
                <w:rFonts w:hint="default" w:ascii="Times New Roman" w:hAnsi="Times New Roman" w:cs="Times New Roman"/>
                <w:szCs w:val="21"/>
              </w:rPr>
              <w:t>医疗废水</w:t>
            </w:r>
            <w:r>
              <w:rPr>
                <w:rFonts w:hint="eastAsia" w:cs="Times New Roman"/>
                <w:szCs w:val="21"/>
                <w:lang w:eastAsia="zh-CN"/>
              </w:rPr>
              <w:t>消毒设施</w:t>
            </w:r>
            <w:r>
              <w:rPr>
                <w:rFonts w:hint="default" w:ascii="Times New Roman" w:hAnsi="Times New Roman" w:cs="Times New Roman"/>
                <w:szCs w:val="21"/>
              </w:rPr>
              <w:t>，医疗废水经</w:t>
            </w:r>
            <w:r>
              <w:rPr>
                <w:rFonts w:hint="eastAsia" w:cs="Times New Roman"/>
                <w:szCs w:val="21"/>
                <w:lang w:eastAsia="zh-CN"/>
              </w:rPr>
              <w:t>消毒设施</w:t>
            </w:r>
            <w:r>
              <w:rPr>
                <w:rFonts w:hint="default" w:ascii="Times New Roman" w:hAnsi="Times New Roman" w:cs="Times New Roman"/>
                <w:szCs w:val="21"/>
              </w:rPr>
              <w:t>预处理后与生活污水</w:t>
            </w:r>
            <w:r>
              <w:rPr>
                <w:rFonts w:hint="eastAsia" w:cs="Times New Roman"/>
                <w:szCs w:val="21"/>
                <w:lang w:eastAsia="zh-CN"/>
              </w:rPr>
              <w:t>、</w:t>
            </w:r>
            <w:r>
              <w:rPr>
                <w:rFonts w:hint="eastAsia" w:cs="Times New Roman"/>
                <w:szCs w:val="21"/>
                <w:lang w:val="en-US" w:eastAsia="zh-CN"/>
              </w:rPr>
              <w:t>其他污水</w:t>
            </w:r>
            <w:r>
              <w:rPr>
                <w:rFonts w:hint="default" w:ascii="Times New Roman" w:hAnsi="Times New Roman" w:cs="Times New Roman"/>
                <w:szCs w:val="21"/>
              </w:rPr>
              <w:t>一并进入生化池，处理达标后排入市政污水管网</w:t>
            </w:r>
          </w:p>
        </w:tc>
        <w:tc>
          <w:tcPr>
            <w:tcW w:w="1757" w:type="dxa"/>
            <w:vMerge w:val="restart"/>
            <w:shd w:val="clear" w:color="auto" w:fill="auto"/>
            <w:noWrap w:val="0"/>
            <w:vAlign w:val="center"/>
          </w:tcPr>
          <w:p w14:paraId="1DEB553D">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Cs w:val="21"/>
              </w:rPr>
              <w:t>总余氯在</w:t>
            </w:r>
            <w:r>
              <w:rPr>
                <w:rFonts w:hint="eastAsia" w:cs="Times New Roman"/>
                <w:szCs w:val="21"/>
                <w:lang w:eastAsia="zh-CN"/>
              </w:rPr>
              <w:t>消毒设施</w:t>
            </w:r>
            <w:r>
              <w:rPr>
                <w:rFonts w:hint="default" w:ascii="Times New Roman" w:hAnsi="Times New Roman" w:cs="Times New Roman"/>
                <w:szCs w:val="21"/>
              </w:rPr>
              <w:t>排放口进行控制，医疗废水</w:t>
            </w:r>
            <w:r>
              <w:rPr>
                <w:rFonts w:hint="eastAsia" w:cs="Times New Roman"/>
                <w:szCs w:val="21"/>
                <w:lang w:eastAsia="zh-CN"/>
              </w:rPr>
              <w:t>消毒设施</w:t>
            </w:r>
            <w:r>
              <w:rPr>
                <w:rFonts w:hint="default" w:ascii="Times New Roman" w:hAnsi="Times New Roman" w:cs="Times New Roman"/>
                <w:szCs w:val="21"/>
              </w:rPr>
              <w:t>排放口出水参照执行《医疗机构水污染物排放标准》</w:t>
            </w:r>
            <w:r>
              <w:rPr>
                <w:rFonts w:hint="eastAsia" w:ascii="Times New Roman" w:hAnsi="Times New Roman" w:cs="Times New Roman"/>
                <w:szCs w:val="21"/>
                <w:lang w:eastAsia="zh-CN"/>
              </w:rPr>
              <w:t>（</w:t>
            </w:r>
            <w:r>
              <w:rPr>
                <w:rFonts w:hint="default" w:ascii="Times New Roman" w:hAnsi="Times New Roman" w:cs="Times New Roman"/>
                <w:szCs w:val="21"/>
              </w:rPr>
              <w:t>GB18466-2005</w:t>
            </w:r>
            <w:r>
              <w:rPr>
                <w:rFonts w:hint="eastAsia" w:ascii="Times New Roman" w:hAnsi="Times New Roman" w:cs="Times New Roman"/>
                <w:szCs w:val="21"/>
                <w:lang w:eastAsia="zh-CN"/>
              </w:rPr>
              <w:t>）</w:t>
            </w:r>
            <w:r>
              <w:rPr>
                <w:rFonts w:hint="default" w:ascii="Times New Roman" w:hAnsi="Times New Roman" w:cs="Times New Roman"/>
                <w:szCs w:val="21"/>
              </w:rPr>
              <w:t>预处理标准</w:t>
            </w:r>
            <w:r>
              <w:rPr>
                <w:rFonts w:hint="eastAsia" w:ascii="Times New Roman" w:hAnsi="Times New Roman" w:cs="Times New Roman"/>
                <w:szCs w:val="21"/>
                <w:lang w:eastAsia="zh-CN"/>
              </w:rPr>
              <w:t>；</w:t>
            </w:r>
          </w:p>
        </w:tc>
      </w:tr>
      <w:tr w14:paraId="6A23D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3C08A0BE">
            <w:pPr>
              <w:adjustRightInd w:val="0"/>
              <w:snapToGrid w:val="0"/>
              <w:jc w:val="center"/>
              <w:rPr>
                <w:rFonts w:hint="default" w:ascii="Times New Roman" w:hAnsi="Times New Roman" w:cs="Times New Roman"/>
                <w:szCs w:val="21"/>
              </w:rPr>
            </w:pPr>
          </w:p>
        </w:tc>
        <w:tc>
          <w:tcPr>
            <w:tcW w:w="1755" w:type="dxa"/>
            <w:shd w:val="clear" w:color="auto" w:fill="auto"/>
            <w:noWrap w:val="0"/>
            <w:vAlign w:val="center"/>
          </w:tcPr>
          <w:p w14:paraId="7203909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DW00</w:t>
            </w:r>
            <w:r>
              <w:rPr>
                <w:rFonts w:hint="eastAsia" w:cs="Times New Roman"/>
                <w:szCs w:val="21"/>
                <w:lang w:val="en-US" w:eastAsia="zh-CN"/>
              </w:rPr>
              <w:t>2</w:t>
            </w:r>
          </w:p>
        </w:tc>
        <w:tc>
          <w:tcPr>
            <w:tcW w:w="1755" w:type="dxa"/>
            <w:shd w:val="clear" w:color="auto" w:fill="auto"/>
            <w:noWrap w:val="0"/>
            <w:vAlign w:val="center"/>
          </w:tcPr>
          <w:p w14:paraId="49050CCA">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粪大肠菌群</w:t>
            </w:r>
            <w:r>
              <w:rPr>
                <w:rFonts w:hint="eastAsia" w:cs="Times New Roman"/>
                <w:szCs w:val="21"/>
                <w:lang w:val="en-US" w:eastAsia="zh-CN"/>
              </w:rPr>
              <w:t>、总余氯</w:t>
            </w:r>
          </w:p>
        </w:tc>
        <w:tc>
          <w:tcPr>
            <w:tcW w:w="1755" w:type="dxa"/>
            <w:vMerge w:val="continue"/>
            <w:shd w:val="clear" w:color="auto" w:fill="auto"/>
            <w:noWrap w:val="0"/>
            <w:vAlign w:val="center"/>
          </w:tcPr>
          <w:p w14:paraId="2D8DE751">
            <w:pPr>
              <w:adjustRightInd w:val="0"/>
              <w:snapToGrid w:val="0"/>
              <w:jc w:val="center"/>
              <w:rPr>
                <w:rFonts w:hint="default" w:ascii="Times New Roman" w:hAnsi="Times New Roman" w:cs="Times New Roman"/>
                <w:szCs w:val="21"/>
              </w:rPr>
            </w:pPr>
          </w:p>
        </w:tc>
        <w:tc>
          <w:tcPr>
            <w:tcW w:w="1757" w:type="dxa"/>
            <w:vMerge w:val="continue"/>
            <w:shd w:val="clear" w:color="auto" w:fill="auto"/>
            <w:noWrap w:val="0"/>
            <w:vAlign w:val="center"/>
          </w:tcPr>
          <w:p w14:paraId="4764493A">
            <w:pPr>
              <w:adjustRightInd w:val="0"/>
              <w:snapToGrid w:val="0"/>
              <w:jc w:val="center"/>
              <w:rPr>
                <w:rFonts w:hint="default" w:ascii="Times New Roman" w:hAnsi="Times New Roman" w:cs="Times New Roman"/>
                <w:szCs w:val="21"/>
              </w:rPr>
            </w:pPr>
          </w:p>
        </w:tc>
      </w:tr>
      <w:tr w14:paraId="68B1E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1ED71050">
            <w:pPr>
              <w:adjustRightInd w:val="0"/>
              <w:snapToGrid w:val="0"/>
              <w:jc w:val="center"/>
              <w:rPr>
                <w:rFonts w:hint="default" w:ascii="Times New Roman" w:hAnsi="Times New Roman" w:cs="Times New Roman"/>
                <w:szCs w:val="21"/>
              </w:rPr>
            </w:pPr>
          </w:p>
        </w:tc>
        <w:tc>
          <w:tcPr>
            <w:tcW w:w="1755" w:type="dxa"/>
            <w:shd w:val="clear" w:color="auto" w:fill="auto"/>
            <w:noWrap w:val="0"/>
            <w:vAlign w:val="center"/>
          </w:tcPr>
          <w:p w14:paraId="4C26CC54">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DW00</w:t>
            </w:r>
            <w:r>
              <w:rPr>
                <w:rFonts w:hint="eastAsia" w:cs="Times New Roman"/>
                <w:szCs w:val="21"/>
                <w:lang w:val="en-US" w:eastAsia="zh-CN"/>
              </w:rPr>
              <w:t>3</w:t>
            </w:r>
          </w:p>
        </w:tc>
        <w:tc>
          <w:tcPr>
            <w:tcW w:w="1755" w:type="dxa"/>
            <w:shd w:val="clear" w:color="auto" w:fill="auto"/>
            <w:noWrap w:val="0"/>
            <w:vAlign w:val="center"/>
          </w:tcPr>
          <w:p w14:paraId="1EBCB450">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pH、COD、BOD</w:t>
            </w:r>
            <w:r>
              <w:rPr>
                <w:rFonts w:hint="eastAsia" w:ascii="Times New Roman" w:hAnsi="Times New Roman" w:cs="Times New Roman"/>
                <w:szCs w:val="21"/>
                <w:vertAlign w:val="subscript"/>
                <w:lang w:val="en-US" w:eastAsia="zh-CN"/>
              </w:rPr>
              <w:t>5</w:t>
            </w:r>
            <w:r>
              <w:rPr>
                <w:rFonts w:hint="eastAsia" w:ascii="Times New Roman" w:hAnsi="Times New Roman" w:cs="Times New Roman"/>
                <w:szCs w:val="21"/>
                <w:lang w:val="en-US" w:eastAsia="zh-CN"/>
              </w:rPr>
              <w:t>、SS、氨氮、总磷、LAS、粪大肠菌群</w:t>
            </w:r>
          </w:p>
        </w:tc>
        <w:tc>
          <w:tcPr>
            <w:tcW w:w="1755" w:type="dxa"/>
            <w:vMerge w:val="continue"/>
            <w:noWrap w:val="0"/>
            <w:vAlign w:val="center"/>
          </w:tcPr>
          <w:p w14:paraId="05AB5E99">
            <w:pPr>
              <w:adjustRightInd w:val="0"/>
              <w:snapToGrid w:val="0"/>
              <w:jc w:val="center"/>
              <w:rPr>
                <w:rFonts w:hint="default" w:ascii="Times New Roman" w:hAnsi="Times New Roman" w:cs="Times New Roman"/>
                <w:szCs w:val="21"/>
              </w:rPr>
            </w:pPr>
          </w:p>
        </w:tc>
        <w:tc>
          <w:tcPr>
            <w:tcW w:w="1757" w:type="dxa"/>
            <w:shd w:val="clear" w:color="auto" w:fill="auto"/>
            <w:noWrap w:val="0"/>
            <w:vAlign w:val="center"/>
          </w:tcPr>
          <w:p w14:paraId="056C299D">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szCs w:val="21"/>
              </w:rPr>
              <w:t>《污水综合排放标准》</w:t>
            </w:r>
            <w:r>
              <w:rPr>
                <w:rFonts w:hint="eastAsia" w:ascii="Times New Roman" w:hAnsi="Times New Roman" w:cs="Times New Roman"/>
                <w:szCs w:val="21"/>
                <w:lang w:eastAsia="zh-CN"/>
              </w:rPr>
              <w:t>（</w:t>
            </w:r>
            <w:r>
              <w:rPr>
                <w:rFonts w:hint="default" w:ascii="Times New Roman" w:hAnsi="Times New Roman" w:cs="Times New Roman"/>
                <w:szCs w:val="21"/>
              </w:rPr>
              <w:t>GB8978-1996</w:t>
            </w:r>
            <w:r>
              <w:rPr>
                <w:rFonts w:hint="eastAsia" w:ascii="Times New Roman" w:hAnsi="Times New Roman" w:cs="Times New Roman"/>
                <w:szCs w:val="21"/>
                <w:lang w:eastAsia="zh-CN"/>
              </w:rPr>
              <w:t>）</w:t>
            </w:r>
            <w:r>
              <w:rPr>
                <w:rFonts w:hint="default" w:ascii="Times New Roman" w:hAnsi="Times New Roman" w:cs="Times New Roman"/>
                <w:szCs w:val="21"/>
              </w:rPr>
              <w:t>三级标准</w:t>
            </w:r>
            <w:r>
              <w:rPr>
                <w:rFonts w:hint="eastAsia" w:ascii="Times New Roman" w:hAnsi="Times New Roman" w:cs="Times New Roman"/>
                <w:szCs w:val="21"/>
                <w:lang w:eastAsia="zh-CN"/>
              </w:rPr>
              <w:t>；</w:t>
            </w:r>
          </w:p>
        </w:tc>
      </w:tr>
      <w:tr w14:paraId="5C573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3A256C9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声环境</w:t>
            </w:r>
          </w:p>
        </w:tc>
        <w:tc>
          <w:tcPr>
            <w:tcW w:w="1755" w:type="dxa"/>
            <w:noWrap w:val="0"/>
            <w:vAlign w:val="center"/>
          </w:tcPr>
          <w:p w14:paraId="0A12C194">
            <w:pPr>
              <w:adjustRightInd w:val="0"/>
              <w:snapToGrid w:val="0"/>
              <w:jc w:val="center"/>
              <w:rPr>
                <w:rFonts w:hint="eastAsia" w:ascii="Times New Roman" w:hAnsi="Times New Roman" w:eastAsia="宋体" w:cs="Times New Roman"/>
                <w:szCs w:val="21"/>
                <w:lang w:val="en-US" w:eastAsia="zh-CN"/>
              </w:rPr>
            </w:pPr>
            <w:r>
              <w:rPr>
                <w:rFonts w:hint="eastAsia"/>
                <w:color w:val="auto"/>
                <w:sz w:val="21"/>
                <w:szCs w:val="21"/>
                <w:highlight w:val="none"/>
                <w:lang w:val="en-US" w:eastAsia="zh-CN"/>
              </w:rPr>
              <w:t>场界</w:t>
            </w:r>
          </w:p>
        </w:tc>
        <w:tc>
          <w:tcPr>
            <w:tcW w:w="1755" w:type="dxa"/>
            <w:noWrap w:val="0"/>
            <w:vAlign w:val="center"/>
          </w:tcPr>
          <w:p w14:paraId="26AEA38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空调机组、动物叫声等</w:t>
            </w:r>
          </w:p>
        </w:tc>
        <w:tc>
          <w:tcPr>
            <w:tcW w:w="1755" w:type="dxa"/>
            <w:noWrap w:val="0"/>
            <w:vAlign w:val="center"/>
          </w:tcPr>
          <w:p w14:paraId="428FDF7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选用低噪</w:t>
            </w:r>
            <w:r>
              <w:rPr>
                <w:rFonts w:hint="eastAsia" w:cs="Times New Roman"/>
                <w:szCs w:val="21"/>
                <w:lang w:eastAsia="zh-CN"/>
              </w:rPr>
              <w:t>声设</w:t>
            </w:r>
            <w:r>
              <w:rPr>
                <w:rFonts w:hint="default" w:ascii="Times New Roman" w:hAnsi="Times New Roman" w:cs="Times New Roman"/>
                <w:szCs w:val="21"/>
              </w:rPr>
              <w:t>备、加强管理，避免动物乱叫</w:t>
            </w:r>
          </w:p>
        </w:tc>
        <w:tc>
          <w:tcPr>
            <w:tcW w:w="1757" w:type="dxa"/>
            <w:noWrap w:val="0"/>
            <w:vAlign w:val="center"/>
          </w:tcPr>
          <w:p w14:paraId="04A791F8">
            <w:pPr>
              <w:adjustRightInd w:val="0"/>
              <w:snapToGrid w:val="0"/>
              <w:jc w:val="center"/>
              <w:rPr>
                <w:rFonts w:hint="eastAsia" w:ascii="Times New Roman" w:hAnsi="Times New Roman" w:eastAsia="宋体" w:cs="Times New Roman"/>
                <w:szCs w:val="21"/>
                <w:lang w:eastAsia="zh-CN"/>
              </w:rPr>
            </w:pPr>
            <w:r>
              <w:rPr>
                <w:rFonts w:hint="default" w:ascii="Times New Roman" w:hAnsi="Times New Roman" w:cs="Times New Roman"/>
                <w:szCs w:val="21"/>
                <w:highlight w:val="none"/>
              </w:rPr>
              <w:t>执行《工业企业厂界环境噪声排放标准》</w:t>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rPr>
              <w:t>GB12348-2008</w:t>
            </w:r>
            <w:r>
              <w:rPr>
                <w:rFonts w:hint="eastAsia" w:ascii="Times New Roman" w:hAnsi="Times New Roman" w:cs="Times New Roman"/>
                <w:szCs w:val="21"/>
                <w:highlight w:val="none"/>
                <w:lang w:eastAsia="zh-CN"/>
              </w:rPr>
              <w:t>）</w:t>
            </w:r>
            <w:r>
              <w:rPr>
                <w:rFonts w:hint="eastAsia" w:cs="Times New Roman"/>
                <w:szCs w:val="21"/>
                <w:highlight w:val="none"/>
                <w:lang w:val="en-US" w:eastAsia="zh-CN"/>
              </w:rPr>
              <w:t>4</w:t>
            </w:r>
            <w:r>
              <w:rPr>
                <w:rFonts w:hint="default" w:ascii="Times New Roman" w:hAnsi="Times New Roman" w:cs="Times New Roman"/>
                <w:szCs w:val="21"/>
                <w:highlight w:val="none"/>
              </w:rPr>
              <w:t>类标准</w:t>
            </w:r>
            <w:r>
              <w:rPr>
                <w:rFonts w:hint="eastAsia" w:ascii="Times New Roman" w:hAnsi="Times New Roman" w:cs="Times New Roman"/>
                <w:szCs w:val="21"/>
                <w:highlight w:val="none"/>
                <w:lang w:eastAsia="zh-CN"/>
              </w:rPr>
              <w:t>；</w:t>
            </w:r>
          </w:p>
        </w:tc>
      </w:tr>
      <w:tr w14:paraId="1C799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14:paraId="01C8057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电磁辐射</w:t>
            </w:r>
          </w:p>
        </w:tc>
        <w:tc>
          <w:tcPr>
            <w:tcW w:w="1755" w:type="dxa"/>
            <w:noWrap w:val="0"/>
            <w:vAlign w:val="center"/>
          </w:tcPr>
          <w:p w14:paraId="6C63479F">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755" w:type="dxa"/>
            <w:noWrap w:val="0"/>
            <w:vAlign w:val="center"/>
          </w:tcPr>
          <w:p w14:paraId="5FCE6813">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755" w:type="dxa"/>
            <w:noWrap w:val="0"/>
            <w:vAlign w:val="center"/>
          </w:tcPr>
          <w:p w14:paraId="4CABE080">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1757" w:type="dxa"/>
            <w:noWrap w:val="0"/>
            <w:vAlign w:val="center"/>
          </w:tcPr>
          <w:p w14:paraId="6372526F">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14:paraId="62D6B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C299F7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固体废物</w:t>
            </w:r>
          </w:p>
        </w:tc>
        <w:tc>
          <w:tcPr>
            <w:tcW w:w="7022" w:type="dxa"/>
            <w:gridSpan w:val="4"/>
            <w:noWrap w:val="0"/>
            <w:vAlign w:val="center"/>
          </w:tcPr>
          <w:p w14:paraId="1737880A">
            <w:pPr>
              <w:pStyle w:val="48"/>
              <w:ind w:firstLine="0" w:firstLineChars="0"/>
              <w:rPr>
                <w:rFonts w:hint="eastAsia"/>
                <w:color w:val="auto"/>
                <w:szCs w:val="22"/>
                <w:highlight w:val="none"/>
                <w:lang w:val="en-US" w:eastAsia="zh-CN"/>
              </w:rPr>
            </w:pPr>
            <w:r>
              <w:rPr>
                <w:rFonts w:hint="eastAsia"/>
                <w:color w:val="auto"/>
                <w:szCs w:val="22"/>
                <w:highlight w:val="none"/>
                <w:lang w:val="en-US" w:eastAsia="zh-CN"/>
              </w:rPr>
              <w:t>医疗废物、废紫外线灯管：设1间医疗废物暂存点，位于医院取药室，面积约1m</w:t>
            </w:r>
            <w:r>
              <w:rPr>
                <w:rFonts w:hint="eastAsia"/>
                <w:color w:val="auto"/>
                <w:szCs w:val="22"/>
                <w:highlight w:val="none"/>
                <w:vertAlign w:val="superscript"/>
                <w:lang w:val="en-US" w:eastAsia="zh-CN"/>
              </w:rPr>
              <w:t>2</w:t>
            </w:r>
            <w:r>
              <w:rPr>
                <w:rFonts w:hint="eastAsia"/>
                <w:color w:val="auto"/>
                <w:szCs w:val="22"/>
                <w:highlight w:val="none"/>
                <w:lang w:val="en-US" w:eastAsia="zh-CN"/>
              </w:rPr>
              <w:t>，用于医疗废物和废紫外灯管的暂存，内设加盖收集桶分类暂存医疗废物和废紫外线灯管，</w:t>
            </w:r>
            <w:r>
              <w:rPr>
                <w:rFonts w:hint="default" w:ascii="Times New Roman" w:hAnsi="Times New Roman" w:cs="Times New Roman"/>
                <w:szCs w:val="21"/>
                <w:lang w:val="en-US" w:eastAsia="zh-CN"/>
              </w:rPr>
              <w:t>医疗废物交</w:t>
            </w:r>
            <w:r>
              <w:rPr>
                <w:rFonts w:hint="default" w:ascii="Times New Roman" w:hAnsi="Times New Roman" w:cs="Times New Roman"/>
                <w:bCs/>
                <w:sz w:val="21"/>
                <w:szCs w:val="21"/>
                <w:highlight w:val="none"/>
                <w:lang w:val="en-US" w:eastAsia="zh-CN"/>
              </w:rPr>
              <w:t>重庆苏鑫医疗废物处理有限公司</w:t>
            </w:r>
            <w:r>
              <w:rPr>
                <w:rFonts w:hint="eastAsia" w:cs="Times New Roman"/>
                <w:bCs/>
                <w:sz w:val="21"/>
                <w:szCs w:val="21"/>
                <w:highlight w:val="none"/>
                <w:lang w:val="en-US" w:eastAsia="zh-CN"/>
              </w:rPr>
              <w:t>，</w:t>
            </w:r>
            <w:r>
              <w:rPr>
                <w:rFonts w:hint="eastAsia"/>
                <w:color w:val="auto"/>
                <w:szCs w:val="22"/>
                <w:highlight w:val="none"/>
                <w:lang w:val="en-US" w:eastAsia="zh-CN"/>
              </w:rPr>
              <w:t>废紫外线灯管</w:t>
            </w:r>
            <w:r>
              <w:rPr>
                <w:rFonts w:hint="eastAsia"/>
                <w:color w:val="auto"/>
                <w:szCs w:val="22"/>
                <w:highlight w:val="none"/>
              </w:rPr>
              <w:t>定期</w:t>
            </w:r>
            <w:r>
              <w:rPr>
                <w:rFonts w:hint="eastAsia"/>
                <w:color w:val="auto"/>
                <w:szCs w:val="22"/>
                <w:highlight w:val="none"/>
                <w:lang w:val="en-US" w:eastAsia="zh-CN"/>
              </w:rPr>
              <w:t>交有资质单位收运处置；</w:t>
            </w:r>
          </w:p>
          <w:p w14:paraId="6256DE21">
            <w:pPr>
              <w:pStyle w:val="48"/>
              <w:ind w:firstLine="0" w:firstLineChars="0"/>
              <w:rPr>
                <w:rFonts w:hint="eastAsia"/>
                <w:color w:val="auto"/>
                <w:highlight w:val="none"/>
                <w:lang w:val="en-US" w:eastAsia="zh-CN"/>
              </w:rPr>
            </w:pPr>
            <w:r>
              <w:rPr>
                <w:rFonts w:hint="eastAsia"/>
                <w:color w:val="auto"/>
                <w:szCs w:val="22"/>
                <w:highlight w:val="none"/>
                <w:lang w:val="en-US" w:eastAsia="zh-CN"/>
              </w:rPr>
              <w:t>宠物粪污：</w:t>
            </w:r>
            <w:r>
              <w:rPr>
                <w:rFonts w:hint="eastAsia" w:cs="Times New Roman"/>
                <w:snapToGrid w:val="0"/>
                <w:kern w:val="2"/>
                <w:sz w:val="21"/>
                <w:szCs w:val="21"/>
                <w:lang w:val="en-US" w:eastAsia="zh-CN" w:bidi="ar-SA"/>
              </w:rPr>
              <w:t>院内设置加盖垃圾桶，猫砂喷洒消毒剂后紧袋收集暂存于加盖垃圾桶，定期交由当地环卫部门进行处理，犬尿液经消毒设施预处理后直接进入恒大绿岛新城B区生化池，犬粪便喷洒消毒剂后紧袋收集暂存于加盖垃圾桶，定期交由当地环卫部门进行处理；</w:t>
            </w:r>
          </w:p>
          <w:p w14:paraId="2924FAFC">
            <w:pPr>
              <w:pStyle w:val="48"/>
              <w:ind w:firstLine="0" w:firstLineChars="0"/>
              <w:rPr>
                <w:rFonts w:hint="default"/>
                <w:color w:val="auto"/>
                <w:szCs w:val="22"/>
                <w:highlight w:val="none"/>
                <w:lang w:val="en-US" w:eastAsia="zh-CN"/>
              </w:rPr>
            </w:pPr>
            <w:r>
              <w:rPr>
                <w:rFonts w:hint="eastAsia"/>
                <w:color w:val="auto"/>
                <w:szCs w:val="22"/>
                <w:highlight w:val="none"/>
                <w:lang w:val="en-US" w:eastAsia="zh-CN"/>
              </w:rPr>
              <w:t>动物尸体及组织：</w:t>
            </w:r>
            <w:r>
              <w:rPr>
                <w:rFonts w:hint="eastAsia" w:ascii="Times New Roman" w:hAnsi="Times New Roman" w:eastAsia="宋体" w:cs="Times New Roman"/>
                <w:snapToGrid w:val="0"/>
                <w:kern w:val="2"/>
                <w:sz w:val="21"/>
                <w:szCs w:val="21"/>
                <w:lang w:val="en-US" w:eastAsia="zh-CN" w:bidi="ar-SA"/>
              </w:rPr>
              <w:t>动物组织密闭袋装收集在专用冰柜暂存，动物尸体不在院区暂存，有动物尸体产生时，宠物主人可以按照农业部印发的《病死及病害无害化处理技术规范》的通知（农医发201725号）文件要求对动物尸体自行处理；宠物主人无法自行处理的动物尸体与动物组织一并交</w:t>
            </w:r>
            <w:r>
              <w:rPr>
                <w:rFonts w:hint="eastAsia" w:cs="Times New Roman"/>
                <w:bCs/>
                <w:sz w:val="21"/>
                <w:szCs w:val="21"/>
                <w:highlight w:val="none"/>
                <w:lang w:val="en-US" w:eastAsia="zh-CN"/>
              </w:rPr>
              <w:t>重庆市正羽环保科技有限公司</w:t>
            </w:r>
            <w:r>
              <w:rPr>
                <w:rFonts w:hint="eastAsia" w:ascii="Times New Roman" w:hAnsi="Times New Roman" w:eastAsia="宋体" w:cs="Times New Roman"/>
                <w:snapToGrid w:val="0"/>
                <w:kern w:val="2"/>
                <w:sz w:val="21"/>
                <w:szCs w:val="21"/>
                <w:lang w:val="en-US" w:eastAsia="zh-CN" w:bidi="ar-SA"/>
              </w:rPr>
              <w:t>进行无害化处置</w:t>
            </w:r>
            <w:r>
              <w:rPr>
                <w:rFonts w:hint="eastAsia" w:cs="Times New Roman"/>
                <w:snapToGrid w:val="0"/>
                <w:kern w:val="2"/>
                <w:sz w:val="21"/>
                <w:szCs w:val="21"/>
                <w:lang w:val="en-US" w:eastAsia="zh-CN" w:bidi="ar-SA"/>
              </w:rPr>
              <w:t>；</w:t>
            </w:r>
          </w:p>
          <w:p w14:paraId="6354CA38">
            <w:pPr>
              <w:pStyle w:val="48"/>
              <w:keepNext w:val="0"/>
              <w:keepLines w:val="0"/>
              <w:pageBreakBefore w:val="0"/>
              <w:widowControl w:val="0"/>
              <w:kinsoku/>
              <w:wordWrap/>
              <w:overflowPunct/>
              <w:topLinePunct w:val="0"/>
              <w:autoSpaceDE/>
              <w:autoSpaceDN/>
              <w:bidi w:val="0"/>
              <w:snapToGrid w:val="0"/>
              <w:spacing w:line="360" w:lineRule="auto"/>
              <w:ind w:firstLine="0" w:firstLineChars="0"/>
              <w:textAlignment w:val="auto"/>
              <w:rPr>
                <w:rFonts w:hint="default" w:ascii="Times New Roman" w:hAnsi="Times New Roman" w:eastAsia="宋体" w:cs="Times New Roman"/>
                <w:szCs w:val="21"/>
                <w:lang w:val="en-US" w:eastAsia="zh-CN"/>
              </w:rPr>
            </w:pPr>
            <w:r>
              <w:rPr>
                <w:rFonts w:hint="eastAsia"/>
                <w:color w:val="auto"/>
                <w:highlight w:val="none"/>
                <w:lang w:val="en-US" w:eastAsia="zh-CN"/>
              </w:rPr>
              <w:t>废包装材料：</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经</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统一</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收集后</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暂存于收集箱</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定期外售给物资回收单位</w:t>
            </w:r>
            <w:r>
              <w:rPr>
                <w:rFonts w:hint="eastAsia" w:ascii="Times New Roman" w:hAnsi="Times New Roman" w:eastAsia="宋体" w:cs="Times New Roman"/>
                <w:snapToGrid/>
                <w:color w:val="auto"/>
                <w:kern w:val="2"/>
                <w:sz w:val="21"/>
                <w:szCs w:val="22"/>
                <w:highlight w:val="none"/>
                <w:lang w:val="en-US" w:eastAsia="zh-CN" w:bidi="ar-SA"/>
              </w:rPr>
              <w:t>；废分子筛</w:t>
            </w:r>
            <w:r>
              <w:rPr>
                <w:rFonts w:hint="eastAsia"/>
                <w:lang w:eastAsia="zh-CN"/>
              </w:rPr>
              <w:t>：</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经</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统一</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收集后</w:t>
            </w:r>
            <w:r>
              <w:rPr>
                <w:rFonts w:hint="eastAsia" w:cs="Times New Roman"/>
                <w:snapToGrid w:val="0"/>
                <w:color w:val="000000" w:themeColor="text1"/>
                <w:kern w:val="2"/>
                <w:sz w:val="21"/>
                <w:szCs w:val="21"/>
                <w:highlight w:val="none"/>
                <w:lang w:val="en-US" w:eastAsia="zh-CN" w:bidi="ar-SA"/>
                <w14:textFill>
                  <w14:solidFill>
                    <w14:schemeClr w14:val="tx1"/>
                  </w14:solidFill>
                </w14:textFill>
              </w:rPr>
              <w:t>暂存于收集箱</w:t>
            </w:r>
            <w:r>
              <w:rPr>
                <w:rFonts w:hint="eastAsia"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定期外售给物资回收单位</w:t>
            </w:r>
            <w:r>
              <w:rPr>
                <w:rFonts w:hint="eastAsia" w:ascii="Times New Roman" w:hAnsi="Times New Roman" w:eastAsia="宋体" w:cs="Times New Roman"/>
                <w:snapToGrid/>
                <w:color w:val="auto"/>
                <w:kern w:val="2"/>
                <w:sz w:val="21"/>
                <w:szCs w:val="22"/>
                <w:highlight w:val="none"/>
                <w:lang w:val="en-US" w:eastAsia="zh-CN" w:bidi="ar-SA"/>
              </w:rPr>
              <w:t>；</w:t>
            </w:r>
            <w:r>
              <w:rPr>
                <w:rFonts w:hint="eastAsia"/>
                <w:color w:val="auto"/>
                <w:szCs w:val="22"/>
                <w:highlight w:val="none"/>
                <w:lang w:val="en-US" w:eastAsia="zh-CN"/>
              </w:rPr>
              <w:t>生活垃圾：</w:t>
            </w:r>
            <w:r>
              <w:rPr>
                <w:rFonts w:hint="eastAsia" w:ascii="Times New Roman" w:hAnsi="Times New Roman" w:eastAsia="宋体" w:cs="Times New Roman"/>
                <w:color w:val="auto"/>
                <w:lang w:val="en-US" w:eastAsia="zh-CN"/>
              </w:rPr>
              <w:t>经院内垃圾桶</w:t>
            </w:r>
            <w:r>
              <w:rPr>
                <w:rFonts w:hint="default" w:ascii="Times New Roman" w:hAnsi="Times New Roman" w:eastAsia="宋体" w:cs="Times New Roman"/>
                <w:color w:val="auto"/>
              </w:rPr>
              <w:t>收集后定期交由当地环卫部门处置。</w:t>
            </w:r>
          </w:p>
        </w:tc>
      </w:tr>
      <w:tr w14:paraId="3B262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13CFB73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土壤及地下水</w:t>
            </w:r>
          </w:p>
          <w:p w14:paraId="6BCCCAA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污染防治措施</w:t>
            </w:r>
          </w:p>
        </w:tc>
        <w:tc>
          <w:tcPr>
            <w:tcW w:w="7022" w:type="dxa"/>
            <w:gridSpan w:val="4"/>
            <w:noWrap w:val="0"/>
            <w:vAlign w:val="center"/>
          </w:tcPr>
          <w:p w14:paraId="2ED4CD0C">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14:paraId="5ED34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AD37C47">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生态保护措施</w:t>
            </w:r>
          </w:p>
        </w:tc>
        <w:tc>
          <w:tcPr>
            <w:tcW w:w="7022" w:type="dxa"/>
            <w:gridSpan w:val="4"/>
            <w:noWrap w:val="0"/>
            <w:vAlign w:val="center"/>
          </w:tcPr>
          <w:p w14:paraId="2CA4FCC0">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r>
      <w:tr w14:paraId="2B0F6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C5E6305">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环境风险</w:t>
            </w:r>
          </w:p>
          <w:p w14:paraId="5F5402D6">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防范措施</w:t>
            </w:r>
          </w:p>
        </w:tc>
        <w:tc>
          <w:tcPr>
            <w:tcW w:w="7022" w:type="dxa"/>
            <w:gridSpan w:val="4"/>
            <w:noWrap w:val="0"/>
            <w:vAlign w:val="center"/>
          </w:tcPr>
          <w:p w14:paraId="2F77C404">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t>项目潜在环境事故为医疗废物泄漏、医疗废水未消毒排放、动物疫情风险等。应加强医院管理，搞好劳动保护，落实设备、管件的维修管理工作，采取积极的风险防范措施以及应急体系，降低事故发生的概率，设置应急桶。评价认为只要采取适当的防范措施，在事故发生时采取正确的风险防范措施，项目造成的风险是可控制的。</w:t>
            </w:r>
          </w:p>
        </w:tc>
      </w:tr>
      <w:tr w14:paraId="6E84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0B372343">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其他环境</w:t>
            </w:r>
          </w:p>
          <w:p w14:paraId="30D1DE97">
            <w:pPr>
              <w:adjustRightInd w:val="0"/>
              <w:snapToGrid w:val="0"/>
              <w:jc w:val="center"/>
              <w:rPr>
                <w:rFonts w:hint="default" w:ascii="Times New Roman" w:hAnsi="Times New Roman" w:cs="Times New Roman"/>
                <w:spacing w:val="-8"/>
                <w:szCs w:val="21"/>
              </w:rPr>
            </w:pPr>
            <w:r>
              <w:rPr>
                <w:rFonts w:hint="default" w:ascii="Times New Roman" w:hAnsi="Times New Roman" w:cs="Times New Roman"/>
                <w:spacing w:val="-8"/>
                <w:szCs w:val="21"/>
              </w:rPr>
              <w:t>管理要求</w:t>
            </w:r>
          </w:p>
        </w:tc>
        <w:tc>
          <w:tcPr>
            <w:tcW w:w="7022" w:type="dxa"/>
            <w:gridSpan w:val="4"/>
            <w:noWrap w:val="0"/>
            <w:vAlign w:val="center"/>
          </w:tcPr>
          <w:p w14:paraId="79643B48">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环境管理</w:t>
            </w:r>
          </w:p>
          <w:p w14:paraId="74782C1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eastAsia" w:ascii="Times New Roman" w:hAnsi="Times New Roman" w:eastAsia="宋体" w:cs="Times New Roman"/>
                <w:szCs w:val="21"/>
                <w:lang w:eastAsia="zh-CN"/>
              </w:rPr>
            </w:pPr>
            <w:r>
              <w:rPr>
                <w:rFonts w:hint="default" w:ascii="Times New Roman" w:hAnsi="Times New Roman" w:cs="Times New Roman"/>
                <w:szCs w:val="21"/>
              </w:rPr>
              <w:t>为保证项目建设的社会经济效益与环境效益相协调，实现可持续发展的目标，应加强对工程的环境管理工作，由建设单位安排专人负责项目日常的环境管理工作，配合环境保护行政主管部门做好施工期和营运期的环保工作。其主要职责是</w:t>
            </w:r>
            <w:r>
              <w:rPr>
                <w:rFonts w:hint="eastAsia" w:ascii="Times New Roman" w:hAnsi="Times New Roman" w:cs="Times New Roman"/>
                <w:szCs w:val="21"/>
                <w:lang w:eastAsia="zh-CN"/>
              </w:rPr>
              <w:t>：</w:t>
            </w:r>
          </w:p>
          <w:p w14:paraId="3DE82079">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①执行国家及地方的环保方针、政策和有关</w:t>
            </w:r>
            <w:r>
              <w:rPr>
                <w:rFonts w:hint="eastAsia" w:cs="Times New Roman"/>
                <w:szCs w:val="21"/>
                <w:lang w:eastAsia="zh-CN"/>
              </w:rPr>
              <w:t>法律法规</w:t>
            </w:r>
            <w:r>
              <w:rPr>
                <w:rFonts w:hint="default" w:ascii="Times New Roman" w:hAnsi="Times New Roman" w:cs="Times New Roman"/>
                <w:szCs w:val="21"/>
              </w:rPr>
              <w:t>，协助制订与实施项目环境保护计划，配合有关部门审查落实项目设计中的环保设施设计内容及项目环保设施的竣工验收。</w:t>
            </w:r>
          </w:p>
          <w:p w14:paraId="563F19DC">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②在项目建设过程中，负责项目的环境监理，监督检查施工期环保设施落实和运行情况。落实好施工期环保措施，做到不破坏环境、不扰民。</w:t>
            </w:r>
          </w:p>
          <w:p w14:paraId="03EAD1B5">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③根据地方环保部门提出的环境质量要求，制定项目环境管理条例，对因项目引发或增加的环境污染进行严格控制，并提出改善环境质量的措施和计划。</w:t>
            </w:r>
          </w:p>
          <w:p w14:paraId="3DBF79B2">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④做好危险废物管理台账等记录。</w:t>
            </w:r>
          </w:p>
          <w:p w14:paraId="57302153">
            <w:pPr>
              <w:keepNext w:val="0"/>
              <w:keepLines w:val="0"/>
              <w:pageBreakBefore w:val="0"/>
              <w:widowControl w:val="0"/>
              <w:numPr>
                <w:ilvl w:val="0"/>
                <w:numId w:val="9"/>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验收管理要求</w:t>
            </w:r>
          </w:p>
          <w:p w14:paraId="7D24F02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依据《建设项目竣工环境保护验收暂行办法》文件要求。</w:t>
            </w:r>
          </w:p>
          <w:p w14:paraId="1CC73F66">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验收时间</w:t>
            </w:r>
            <w:r>
              <w:rPr>
                <w:rFonts w:hint="eastAsia" w:ascii="Times New Roman" w:hAnsi="Times New Roman" w:cs="Times New Roman"/>
                <w:szCs w:val="21"/>
                <w:lang w:eastAsia="zh-CN"/>
              </w:rPr>
              <w:t>：</w:t>
            </w:r>
            <w:r>
              <w:rPr>
                <w:rFonts w:hint="default" w:ascii="Times New Roman" w:hAnsi="Times New Roman" w:cs="Times New Roman"/>
                <w:szCs w:val="21"/>
              </w:rPr>
              <w:t>项目竣工后</w:t>
            </w:r>
          </w:p>
          <w:p w14:paraId="180078DB">
            <w:pPr>
              <w:keepNext w:val="0"/>
              <w:keepLines w:val="0"/>
              <w:pageBreakBefore w:val="0"/>
              <w:widowControl w:val="0"/>
              <w:numPr>
                <w:ilvl w:val="0"/>
                <w:numId w:val="0"/>
              </w:numPr>
              <w:kinsoku/>
              <w:wordWrap/>
              <w:overflowPunct/>
              <w:topLinePunct w:val="0"/>
              <w:autoSpaceDE/>
              <w:autoSpaceDN/>
              <w:bidi w:val="0"/>
              <w:adjustRightInd w:val="0"/>
              <w:snapToGrid w:val="0"/>
              <w:ind w:firstLine="420" w:firstLineChars="200"/>
              <w:textAlignment w:val="auto"/>
              <w:rPr>
                <w:rFonts w:hint="eastAsia" w:ascii="Times New Roman" w:hAnsi="Times New Roman" w:eastAsia="宋体" w:cs="Times New Roman"/>
                <w:szCs w:val="21"/>
                <w:lang w:eastAsia="zh-CN"/>
              </w:rPr>
            </w:pPr>
            <w:r>
              <w:rPr>
                <w:rFonts w:hint="default" w:ascii="Times New Roman" w:hAnsi="Times New Roman" w:cs="Times New Roman"/>
                <w:szCs w:val="21"/>
              </w:rPr>
              <w:t>验收内容</w:t>
            </w:r>
            <w:r>
              <w:rPr>
                <w:rFonts w:hint="eastAsia" w:ascii="Times New Roman" w:hAnsi="Times New Roman" w:cs="Times New Roman"/>
                <w:szCs w:val="21"/>
                <w:lang w:eastAsia="zh-CN"/>
              </w:rPr>
              <w:t>：</w:t>
            </w:r>
          </w:p>
          <w:p w14:paraId="3E358F6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建设单位应当如实查验、监测、记载建设项目环境保护设施的建设和调试情况，参照《建设项目竣工环境保护验收技术指南污染影响类》</w:t>
            </w:r>
            <w:r>
              <w:rPr>
                <w:rFonts w:hint="eastAsia" w:ascii="Times New Roman" w:hAnsi="Times New Roman" w:cs="Times New Roman"/>
                <w:szCs w:val="21"/>
                <w:lang w:eastAsia="zh-CN"/>
              </w:rPr>
              <w:t>（</w:t>
            </w:r>
            <w:r>
              <w:rPr>
                <w:rFonts w:hint="default" w:ascii="Times New Roman" w:hAnsi="Times New Roman" w:cs="Times New Roman"/>
                <w:szCs w:val="21"/>
              </w:rPr>
              <w:t>公告 2018 年第9号</w:t>
            </w:r>
            <w:r>
              <w:rPr>
                <w:rFonts w:hint="eastAsia" w:ascii="Times New Roman" w:hAnsi="Times New Roman" w:cs="Times New Roman"/>
                <w:szCs w:val="21"/>
                <w:lang w:eastAsia="zh-CN"/>
              </w:rPr>
              <w:t>）</w:t>
            </w:r>
            <w:r>
              <w:rPr>
                <w:rFonts w:hint="default" w:ascii="Times New Roman" w:hAnsi="Times New Roman" w:cs="Times New Roman"/>
                <w:szCs w:val="21"/>
              </w:rPr>
              <w:t>编制验收监测报告。</w:t>
            </w:r>
          </w:p>
          <w:p w14:paraId="2EF1453D">
            <w:pPr>
              <w:keepNext w:val="0"/>
              <w:keepLines w:val="0"/>
              <w:pageBreakBefore w:val="0"/>
              <w:widowControl w:val="0"/>
              <w:kinsoku/>
              <w:wordWrap/>
              <w:overflowPunct/>
              <w:topLinePunct w:val="0"/>
              <w:autoSpaceDE/>
              <w:autoSpaceDN/>
              <w:bidi w:val="0"/>
              <w:adjustRightInd w:val="0"/>
              <w:snapToGrid w:val="0"/>
              <w:ind w:firstLine="420" w:firstLineChars="200"/>
              <w:textAlignment w:val="auto"/>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在全国建设项目环境影响评价管理信息平台(网址http://114.251.10.205/#/pub-message)进行自主验收公示。</w:t>
            </w:r>
          </w:p>
        </w:tc>
      </w:tr>
    </w:tbl>
    <w:p w14:paraId="087B728B">
      <w:pPr>
        <w:pStyle w:val="17"/>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73E9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865" w:type="dxa"/>
            <w:noWrap w:val="0"/>
            <w:vAlign w:val="center"/>
          </w:tcPr>
          <w:p w14:paraId="44B29D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sz w:val="24"/>
              </w:rPr>
            </w:pPr>
            <w:r>
              <w:rPr>
                <w:rFonts w:hint="eastAsia" w:ascii="宋体" w:cs="宋体"/>
                <w:sz w:val="24"/>
                <w:highlight w:val="none"/>
                <w:lang w:val="en-US" w:eastAsia="zh-CN"/>
              </w:rPr>
              <w:t>璧山区贝康宠物医院</w:t>
            </w:r>
            <w:r>
              <w:rPr>
                <w:rFonts w:hint="eastAsia" w:ascii="宋体" w:cs="宋体"/>
                <w:sz w:val="24"/>
              </w:rPr>
              <w:t>建设项目符合国家及地方相关政策要求，其建设过程和营运期产生的各类污染物在采取污染防治措施后可得到有效</w:t>
            </w:r>
            <w:r>
              <w:rPr>
                <w:rFonts w:hint="eastAsia" w:ascii="宋体" w:cs="宋体"/>
                <w:sz w:val="24"/>
                <w:lang w:eastAsia="zh-CN"/>
              </w:rPr>
              <w:t>地</w:t>
            </w:r>
            <w:r>
              <w:rPr>
                <w:rFonts w:hint="eastAsia" w:ascii="宋体" w:cs="宋体"/>
                <w:sz w:val="24"/>
              </w:rPr>
              <w:t>控制，外排污染物对环境影响小，能为环境所接受。从环境保护角度，建设项目环境影响可行。</w:t>
            </w:r>
          </w:p>
        </w:tc>
      </w:tr>
    </w:tbl>
    <w:p w14:paraId="50EF299C">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81FBB6F">
      <w:pPr>
        <w:pStyle w:val="17"/>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7BC2FF54">
      <w:pPr>
        <w:pStyle w:val="17"/>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ACF1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6A028594">
            <w:pPr>
              <w:pStyle w:val="38"/>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14:paraId="1910DD12">
            <w:pPr>
              <w:pStyle w:val="38"/>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noWrap w:val="0"/>
            <w:tcMar>
              <w:left w:w="28" w:type="dxa"/>
              <w:right w:w="28" w:type="dxa"/>
            </w:tcMar>
            <w:vAlign w:val="center"/>
          </w:tcPr>
          <w:p w14:paraId="1E66D3F5">
            <w:pPr>
              <w:pStyle w:val="38"/>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14:paraId="75421150">
            <w:pPr>
              <w:pStyle w:val="38"/>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16E2546E">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14:paraId="33C5C98F">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497A792C">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14:paraId="63376A68">
            <w:pPr>
              <w:pStyle w:val="38"/>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14:paraId="02AC23AD">
            <w:pPr>
              <w:pStyle w:val="38"/>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14:paraId="4B9EFE16">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14:paraId="5BD10814">
            <w:pPr>
              <w:pStyle w:val="38"/>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14:paraId="13EF4F27">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noWrap w:val="0"/>
            <w:tcMar>
              <w:left w:w="28" w:type="dxa"/>
              <w:right w:w="28" w:type="dxa"/>
            </w:tcMar>
            <w:vAlign w:val="center"/>
          </w:tcPr>
          <w:p w14:paraId="7872AB61">
            <w:pPr>
              <w:pStyle w:val="38"/>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14:paraId="7D35F30A">
            <w:pPr>
              <w:pStyle w:val="38"/>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w:t>
            </w:r>
            <w:r>
              <w:rPr>
                <w:rFonts w:hint="eastAsia" w:ascii="黑体" w:hAnsi="黑体" w:eastAsia="黑体"/>
                <w:snapToGrid w:val="0"/>
                <w:color w:val="000000"/>
                <w:spacing w:val="-16"/>
                <w:kern w:val="21"/>
                <w:szCs w:val="21"/>
                <w:lang w:eastAsia="zh-CN"/>
              </w:rPr>
              <w:t>扩建项目</w:t>
            </w:r>
            <w:r>
              <w:rPr>
                <w:rFonts w:ascii="黑体" w:hAnsi="黑体" w:eastAsia="黑体"/>
                <w:snapToGrid w:val="0"/>
                <w:color w:val="000000"/>
                <w:spacing w:val="-16"/>
                <w:kern w:val="21"/>
                <w:szCs w:val="21"/>
              </w:rPr>
              <w:t>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noWrap w:val="0"/>
            <w:tcMar>
              <w:left w:w="28" w:type="dxa"/>
              <w:right w:w="28" w:type="dxa"/>
            </w:tcMar>
            <w:vAlign w:val="center"/>
          </w:tcPr>
          <w:p w14:paraId="4B6B18E6">
            <w:pPr>
              <w:pStyle w:val="38"/>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14:paraId="4DB2C26D">
            <w:pPr>
              <w:pStyle w:val="38"/>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noWrap w:val="0"/>
            <w:tcMar>
              <w:left w:w="28" w:type="dxa"/>
              <w:right w:w="28" w:type="dxa"/>
            </w:tcMar>
            <w:vAlign w:val="center"/>
          </w:tcPr>
          <w:p w14:paraId="3291330B">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14:paraId="2C4938CD">
            <w:pPr>
              <w:pStyle w:val="38"/>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14:paraId="0B523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6B7F9DF8">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1417" w:type="dxa"/>
            <w:noWrap w:val="0"/>
            <w:vAlign w:val="center"/>
          </w:tcPr>
          <w:p w14:paraId="7B9DB33C">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01" w:type="dxa"/>
            <w:noWrap w:val="0"/>
            <w:vAlign w:val="center"/>
          </w:tcPr>
          <w:p w14:paraId="1D11D8BD">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276" w:type="dxa"/>
            <w:noWrap w:val="0"/>
            <w:vAlign w:val="center"/>
          </w:tcPr>
          <w:p w14:paraId="1E8EF916">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01" w:type="dxa"/>
            <w:noWrap w:val="0"/>
            <w:vAlign w:val="center"/>
          </w:tcPr>
          <w:p w14:paraId="623B9421">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559" w:type="dxa"/>
            <w:noWrap w:val="0"/>
            <w:vAlign w:val="center"/>
          </w:tcPr>
          <w:p w14:paraId="01547972">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61" w:type="dxa"/>
            <w:shd w:val="clear" w:color="auto" w:fill="auto"/>
            <w:noWrap w:val="0"/>
            <w:vAlign w:val="center"/>
          </w:tcPr>
          <w:p w14:paraId="0E20AB45">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noWrap w:val="0"/>
            <w:vAlign w:val="center"/>
          </w:tcPr>
          <w:p w14:paraId="64A61806">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826" w:type="dxa"/>
            <w:noWrap w:val="0"/>
            <w:vAlign w:val="center"/>
          </w:tcPr>
          <w:p w14:paraId="598E30AA">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r>
      <w:tr w14:paraId="25E08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1CDEF9A7">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1417" w:type="dxa"/>
            <w:noWrap w:val="0"/>
            <w:vAlign w:val="center"/>
          </w:tcPr>
          <w:p w14:paraId="10541644">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pH</w:t>
            </w:r>
          </w:p>
        </w:tc>
        <w:tc>
          <w:tcPr>
            <w:tcW w:w="1701" w:type="dxa"/>
            <w:shd w:val="clear" w:color="auto" w:fill="auto"/>
            <w:noWrap w:val="0"/>
            <w:vAlign w:val="center"/>
          </w:tcPr>
          <w:p w14:paraId="53AD42F8">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41E02411">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22EF1C57">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15CFE18D">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6~9</w:t>
            </w:r>
          </w:p>
        </w:tc>
        <w:tc>
          <w:tcPr>
            <w:tcW w:w="1761" w:type="dxa"/>
            <w:shd w:val="clear" w:color="auto" w:fill="auto"/>
            <w:noWrap w:val="0"/>
            <w:vAlign w:val="center"/>
          </w:tcPr>
          <w:p w14:paraId="0A354572">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noWrap w:val="0"/>
            <w:vAlign w:val="center"/>
          </w:tcPr>
          <w:p w14:paraId="26021F3B">
            <w:pPr>
              <w:pStyle w:val="38"/>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lang w:val="en-US" w:eastAsia="zh-CN"/>
              </w:rPr>
              <w:t>6~9</w:t>
            </w:r>
          </w:p>
        </w:tc>
        <w:tc>
          <w:tcPr>
            <w:tcW w:w="826" w:type="dxa"/>
            <w:noWrap w:val="0"/>
            <w:vAlign w:val="center"/>
          </w:tcPr>
          <w:p w14:paraId="1CFBF949">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w:t>
            </w:r>
          </w:p>
        </w:tc>
      </w:tr>
      <w:tr w14:paraId="12999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588" w:type="dxa"/>
            <w:vMerge w:val="continue"/>
            <w:noWrap w:val="0"/>
            <w:vAlign w:val="center"/>
          </w:tcPr>
          <w:p w14:paraId="14EFC74E">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6A185D52">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COD</w:t>
            </w:r>
          </w:p>
        </w:tc>
        <w:tc>
          <w:tcPr>
            <w:tcW w:w="1701" w:type="dxa"/>
            <w:shd w:val="clear" w:color="auto" w:fill="auto"/>
            <w:noWrap w:val="0"/>
            <w:vAlign w:val="center"/>
          </w:tcPr>
          <w:p w14:paraId="75F67687">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5F143B68">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4BB6E5FB">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506D7E9E">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0.014t/a</w:t>
            </w:r>
          </w:p>
        </w:tc>
        <w:tc>
          <w:tcPr>
            <w:tcW w:w="1761" w:type="dxa"/>
            <w:shd w:val="clear" w:color="auto" w:fill="auto"/>
            <w:noWrap w:val="0"/>
            <w:vAlign w:val="center"/>
          </w:tcPr>
          <w:p w14:paraId="2385965F">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0CE7212A">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0.014t/a</w:t>
            </w:r>
          </w:p>
        </w:tc>
        <w:tc>
          <w:tcPr>
            <w:tcW w:w="826" w:type="dxa"/>
            <w:shd w:val="clear" w:color="auto" w:fill="auto"/>
            <w:noWrap w:val="0"/>
            <w:vAlign w:val="center"/>
          </w:tcPr>
          <w:p w14:paraId="38BCBCC0">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+0.014</w:t>
            </w:r>
          </w:p>
        </w:tc>
      </w:tr>
      <w:tr w14:paraId="3D2927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9769B4D">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5AD72CFE">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BOD</w:t>
            </w:r>
            <w:r>
              <w:rPr>
                <w:rFonts w:hint="eastAsia" w:hAnsi="宋体" w:cs="宋体"/>
                <w:snapToGrid w:val="0"/>
                <w:color w:val="000000"/>
                <w:kern w:val="21"/>
                <w:szCs w:val="21"/>
                <w:vertAlign w:val="subscript"/>
                <w:lang w:val="en-US" w:eastAsia="zh-CN"/>
              </w:rPr>
              <w:t>5</w:t>
            </w:r>
          </w:p>
        </w:tc>
        <w:tc>
          <w:tcPr>
            <w:tcW w:w="1701" w:type="dxa"/>
            <w:shd w:val="clear" w:color="auto" w:fill="auto"/>
            <w:noWrap w:val="0"/>
            <w:vAlign w:val="center"/>
          </w:tcPr>
          <w:p w14:paraId="5B586984">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4D6ED922">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30989F6F">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527EC0F6">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0.0028t/a</w:t>
            </w:r>
          </w:p>
        </w:tc>
        <w:tc>
          <w:tcPr>
            <w:tcW w:w="1761" w:type="dxa"/>
            <w:shd w:val="clear" w:color="auto" w:fill="auto"/>
            <w:noWrap w:val="0"/>
            <w:vAlign w:val="center"/>
          </w:tcPr>
          <w:p w14:paraId="6E25CE62">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58281A7F">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0.0028t/a</w:t>
            </w:r>
          </w:p>
        </w:tc>
        <w:tc>
          <w:tcPr>
            <w:tcW w:w="826" w:type="dxa"/>
            <w:shd w:val="clear" w:color="auto" w:fill="auto"/>
            <w:noWrap w:val="0"/>
            <w:vAlign w:val="center"/>
          </w:tcPr>
          <w:p w14:paraId="5502A906">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+0.0028</w:t>
            </w:r>
          </w:p>
        </w:tc>
      </w:tr>
      <w:tr w14:paraId="5E2C2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6F34B05">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0E3A5503">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氨氮</w:t>
            </w:r>
          </w:p>
        </w:tc>
        <w:tc>
          <w:tcPr>
            <w:tcW w:w="1701" w:type="dxa"/>
            <w:shd w:val="clear" w:color="auto" w:fill="auto"/>
            <w:noWrap w:val="0"/>
            <w:vAlign w:val="center"/>
          </w:tcPr>
          <w:p w14:paraId="25388904">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5D3236C3">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760BB634">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7588C2BD">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0.0007t/a</w:t>
            </w:r>
          </w:p>
        </w:tc>
        <w:tc>
          <w:tcPr>
            <w:tcW w:w="1761" w:type="dxa"/>
            <w:shd w:val="clear" w:color="auto" w:fill="auto"/>
            <w:noWrap w:val="0"/>
            <w:vAlign w:val="center"/>
          </w:tcPr>
          <w:p w14:paraId="3115C3FD">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136D2430">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0.0007t/a</w:t>
            </w:r>
          </w:p>
        </w:tc>
        <w:tc>
          <w:tcPr>
            <w:tcW w:w="826" w:type="dxa"/>
            <w:shd w:val="clear" w:color="auto" w:fill="auto"/>
            <w:noWrap w:val="0"/>
            <w:vAlign w:val="center"/>
          </w:tcPr>
          <w:p w14:paraId="468B5902">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+0.0007</w:t>
            </w:r>
          </w:p>
        </w:tc>
      </w:tr>
      <w:tr w14:paraId="722D3E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A6722E6">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086D4BCB">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SS</w:t>
            </w:r>
          </w:p>
        </w:tc>
        <w:tc>
          <w:tcPr>
            <w:tcW w:w="1701" w:type="dxa"/>
            <w:shd w:val="clear" w:color="auto" w:fill="auto"/>
            <w:noWrap w:val="0"/>
            <w:vAlign w:val="center"/>
          </w:tcPr>
          <w:p w14:paraId="1BFB9F4E">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66112B4F">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173F53C3">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7A6CAC0C">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0.0047t/a</w:t>
            </w:r>
          </w:p>
        </w:tc>
        <w:tc>
          <w:tcPr>
            <w:tcW w:w="1761" w:type="dxa"/>
            <w:shd w:val="clear" w:color="auto" w:fill="auto"/>
            <w:noWrap w:val="0"/>
            <w:vAlign w:val="center"/>
          </w:tcPr>
          <w:p w14:paraId="27D620AC">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582A9E86">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0.0047t/a</w:t>
            </w:r>
          </w:p>
        </w:tc>
        <w:tc>
          <w:tcPr>
            <w:tcW w:w="826" w:type="dxa"/>
            <w:shd w:val="clear" w:color="auto" w:fill="auto"/>
            <w:noWrap w:val="0"/>
            <w:vAlign w:val="center"/>
          </w:tcPr>
          <w:p w14:paraId="4F41F48F">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+0.0047</w:t>
            </w:r>
          </w:p>
        </w:tc>
      </w:tr>
      <w:tr w14:paraId="07B90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9908936">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470832E4">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TP</w:t>
            </w:r>
          </w:p>
        </w:tc>
        <w:tc>
          <w:tcPr>
            <w:tcW w:w="1701" w:type="dxa"/>
            <w:shd w:val="clear" w:color="auto" w:fill="auto"/>
            <w:noWrap w:val="0"/>
            <w:vAlign w:val="center"/>
          </w:tcPr>
          <w:p w14:paraId="307EB4FD">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0EF96428">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0242400A">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06BDD8A1">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0.00014t/a</w:t>
            </w:r>
          </w:p>
        </w:tc>
        <w:tc>
          <w:tcPr>
            <w:tcW w:w="1761" w:type="dxa"/>
            <w:shd w:val="clear" w:color="auto" w:fill="auto"/>
            <w:noWrap w:val="0"/>
            <w:vAlign w:val="center"/>
          </w:tcPr>
          <w:p w14:paraId="21EC9DF9">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1CA8F2F6">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0.00014t/a</w:t>
            </w:r>
          </w:p>
        </w:tc>
        <w:tc>
          <w:tcPr>
            <w:tcW w:w="826" w:type="dxa"/>
            <w:shd w:val="clear" w:color="auto" w:fill="auto"/>
            <w:noWrap w:val="0"/>
            <w:vAlign w:val="center"/>
          </w:tcPr>
          <w:p w14:paraId="79ECEF3F">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+0.00014</w:t>
            </w:r>
          </w:p>
        </w:tc>
      </w:tr>
      <w:tr w14:paraId="27D6F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910D3E1">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6821B483">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粪大肠菌群</w:t>
            </w:r>
          </w:p>
        </w:tc>
        <w:tc>
          <w:tcPr>
            <w:tcW w:w="1701" w:type="dxa"/>
            <w:shd w:val="clear" w:color="auto" w:fill="auto"/>
            <w:noWrap w:val="0"/>
            <w:vAlign w:val="center"/>
          </w:tcPr>
          <w:p w14:paraId="4B23012D">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1A1151ED">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7024FCE2">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2F1FC3FC">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4.75×10</w:t>
            </w:r>
            <w:r>
              <w:rPr>
                <w:rFonts w:hint="eastAsia" w:hAnsi="宋体" w:cs="宋体"/>
                <w:snapToGrid w:val="0"/>
                <w:color w:val="000000"/>
                <w:kern w:val="21"/>
                <w:szCs w:val="21"/>
                <w:vertAlign w:val="superscript"/>
                <w:lang w:val="en-US" w:eastAsia="zh-CN"/>
              </w:rPr>
              <w:t>8</w:t>
            </w:r>
            <w:r>
              <w:rPr>
                <w:rFonts w:hint="eastAsia" w:hAnsi="宋体" w:cs="宋体"/>
                <w:snapToGrid w:val="0"/>
                <w:color w:val="000000"/>
                <w:kern w:val="21"/>
                <w:szCs w:val="21"/>
                <w:lang w:val="en-US" w:eastAsia="zh-CN"/>
              </w:rPr>
              <w:t>个/L</w:t>
            </w:r>
          </w:p>
        </w:tc>
        <w:tc>
          <w:tcPr>
            <w:tcW w:w="1761" w:type="dxa"/>
            <w:shd w:val="clear" w:color="auto" w:fill="auto"/>
            <w:noWrap w:val="0"/>
            <w:vAlign w:val="center"/>
          </w:tcPr>
          <w:p w14:paraId="2AF3639B">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5B074A97">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4.75×10</w:t>
            </w:r>
            <w:r>
              <w:rPr>
                <w:rFonts w:hint="eastAsia" w:hAnsi="宋体" w:cs="宋体"/>
                <w:snapToGrid w:val="0"/>
                <w:color w:val="000000"/>
                <w:kern w:val="21"/>
                <w:szCs w:val="21"/>
                <w:vertAlign w:val="superscript"/>
                <w:lang w:val="en-US" w:eastAsia="zh-CN"/>
              </w:rPr>
              <w:t>8</w:t>
            </w:r>
            <w:r>
              <w:rPr>
                <w:rFonts w:hint="eastAsia" w:hAnsi="宋体" w:cs="宋体"/>
                <w:snapToGrid w:val="0"/>
                <w:color w:val="000000"/>
                <w:kern w:val="21"/>
                <w:szCs w:val="21"/>
                <w:lang w:val="en-US" w:eastAsia="zh-CN"/>
              </w:rPr>
              <w:t>个/L</w:t>
            </w:r>
          </w:p>
        </w:tc>
        <w:tc>
          <w:tcPr>
            <w:tcW w:w="826" w:type="dxa"/>
            <w:shd w:val="clear" w:color="auto" w:fill="auto"/>
            <w:noWrap w:val="0"/>
            <w:vAlign w:val="center"/>
          </w:tcPr>
          <w:p w14:paraId="72CAB0B5">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+4.75×10</w:t>
            </w:r>
            <w:r>
              <w:rPr>
                <w:rFonts w:hint="eastAsia" w:hAnsi="宋体" w:cs="宋体"/>
                <w:snapToGrid w:val="0"/>
                <w:color w:val="000000"/>
                <w:kern w:val="21"/>
                <w:szCs w:val="21"/>
                <w:vertAlign w:val="superscript"/>
                <w:lang w:val="en-US" w:eastAsia="zh-CN"/>
              </w:rPr>
              <w:t>8</w:t>
            </w:r>
            <w:r>
              <w:rPr>
                <w:rFonts w:hint="eastAsia" w:hAnsi="宋体" w:cs="宋体"/>
                <w:snapToGrid w:val="0"/>
                <w:color w:val="000000"/>
                <w:kern w:val="21"/>
                <w:szCs w:val="21"/>
                <w:lang w:val="en-US" w:eastAsia="zh-CN"/>
              </w:rPr>
              <w:t>个/L</w:t>
            </w:r>
          </w:p>
        </w:tc>
      </w:tr>
      <w:tr w14:paraId="36828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DD31E00">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3C8B1D96">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LAS</w:t>
            </w:r>
          </w:p>
        </w:tc>
        <w:tc>
          <w:tcPr>
            <w:tcW w:w="1701" w:type="dxa"/>
            <w:shd w:val="clear" w:color="auto" w:fill="auto"/>
            <w:noWrap w:val="0"/>
            <w:vAlign w:val="center"/>
          </w:tcPr>
          <w:p w14:paraId="39E2499D">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2E04C5A6">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35261BB4">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080EDD79">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0.00024t/a</w:t>
            </w:r>
          </w:p>
        </w:tc>
        <w:tc>
          <w:tcPr>
            <w:tcW w:w="1761" w:type="dxa"/>
            <w:shd w:val="clear" w:color="auto" w:fill="auto"/>
            <w:noWrap w:val="0"/>
            <w:vAlign w:val="center"/>
          </w:tcPr>
          <w:p w14:paraId="2EAC88DC">
            <w:pPr>
              <w:pStyle w:val="38"/>
              <w:spacing w:beforeLines="0" w:afterLines="0" w:line="240" w:lineRule="auto"/>
              <w:rPr>
                <w:rFonts w:hint="eastAsia" w:hAnsi="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5C288699">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0.00024t/a</w:t>
            </w:r>
          </w:p>
        </w:tc>
        <w:tc>
          <w:tcPr>
            <w:tcW w:w="826" w:type="dxa"/>
            <w:shd w:val="clear" w:color="auto" w:fill="auto"/>
            <w:noWrap w:val="0"/>
            <w:vAlign w:val="center"/>
          </w:tcPr>
          <w:p w14:paraId="34765902">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+0.00024</w:t>
            </w:r>
          </w:p>
        </w:tc>
      </w:tr>
      <w:tr w14:paraId="67027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A11EDD1">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1259D027">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总余氯</w:t>
            </w:r>
          </w:p>
        </w:tc>
        <w:tc>
          <w:tcPr>
            <w:tcW w:w="1701" w:type="dxa"/>
            <w:shd w:val="clear" w:color="auto" w:fill="auto"/>
            <w:noWrap w:val="0"/>
            <w:vAlign w:val="center"/>
          </w:tcPr>
          <w:p w14:paraId="6E62B26D">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439F122D">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18338CB2">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717AE811">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61" w:type="dxa"/>
            <w:shd w:val="clear" w:color="auto" w:fill="auto"/>
            <w:noWrap w:val="0"/>
            <w:vAlign w:val="center"/>
          </w:tcPr>
          <w:p w14:paraId="6A4F7964">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noWrap w:val="0"/>
            <w:vAlign w:val="center"/>
          </w:tcPr>
          <w:p w14:paraId="65C68C1C">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826" w:type="dxa"/>
            <w:noWrap w:val="0"/>
            <w:vAlign w:val="center"/>
          </w:tcPr>
          <w:p w14:paraId="1D21DB83">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r>
      <w:tr w14:paraId="22103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333DB244">
            <w:pPr>
              <w:pStyle w:val="38"/>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14:paraId="51BBC436">
            <w:pPr>
              <w:pStyle w:val="38"/>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1417" w:type="dxa"/>
            <w:noWrap w:val="0"/>
            <w:vAlign w:val="center"/>
          </w:tcPr>
          <w:p w14:paraId="787AA7BF">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宠物粪污</w:t>
            </w:r>
          </w:p>
        </w:tc>
        <w:tc>
          <w:tcPr>
            <w:tcW w:w="1701" w:type="dxa"/>
            <w:vMerge w:val="restart"/>
            <w:shd w:val="clear" w:color="auto" w:fill="auto"/>
            <w:noWrap w:val="0"/>
            <w:vAlign w:val="center"/>
          </w:tcPr>
          <w:p w14:paraId="477F494A">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vMerge w:val="restart"/>
            <w:shd w:val="clear" w:color="auto" w:fill="auto"/>
            <w:noWrap w:val="0"/>
            <w:vAlign w:val="center"/>
          </w:tcPr>
          <w:p w14:paraId="29521FA4">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vMerge w:val="restart"/>
            <w:shd w:val="clear" w:color="auto" w:fill="auto"/>
            <w:noWrap w:val="0"/>
            <w:vAlign w:val="center"/>
          </w:tcPr>
          <w:p w14:paraId="261FC61F">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vMerge w:val="restart"/>
            <w:noWrap w:val="0"/>
            <w:vAlign w:val="center"/>
          </w:tcPr>
          <w:p w14:paraId="572E3851">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7.3t/a</w:t>
            </w:r>
          </w:p>
        </w:tc>
        <w:tc>
          <w:tcPr>
            <w:tcW w:w="1761" w:type="dxa"/>
            <w:vMerge w:val="restart"/>
            <w:noWrap w:val="0"/>
            <w:vAlign w:val="center"/>
          </w:tcPr>
          <w:p w14:paraId="0184A678">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959" w:type="dxa"/>
            <w:vMerge w:val="restart"/>
            <w:shd w:val="clear" w:color="auto" w:fill="auto"/>
            <w:noWrap w:val="0"/>
            <w:vAlign w:val="center"/>
          </w:tcPr>
          <w:p w14:paraId="6FF97609">
            <w:pPr>
              <w:pStyle w:val="38"/>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lang w:val="en-US" w:eastAsia="zh-CN"/>
              </w:rPr>
              <w:t>7.3t/a</w:t>
            </w:r>
          </w:p>
        </w:tc>
        <w:tc>
          <w:tcPr>
            <w:tcW w:w="826" w:type="dxa"/>
            <w:vMerge w:val="restart"/>
            <w:shd w:val="clear" w:color="auto" w:fill="auto"/>
            <w:noWrap w:val="0"/>
            <w:vAlign w:val="center"/>
          </w:tcPr>
          <w:p w14:paraId="050A36DC">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+7.3</w:t>
            </w:r>
          </w:p>
        </w:tc>
      </w:tr>
      <w:tr w14:paraId="42C79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EEDF8B9">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30E8B651">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动物尸体</w:t>
            </w:r>
          </w:p>
        </w:tc>
        <w:tc>
          <w:tcPr>
            <w:tcW w:w="1701" w:type="dxa"/>
            <w:vMerge w:val="continue"/>
            <w:noWrap w:val="0"/>
            <w:vAlign w:val="center"/>
          </w:tcPr>
          <w:p w14:paraId="6C7E98E8">
            <w:pPr>
              <w:pStyle w:val="38"/>
              <w:spacing w:beforeLines="0" w:afterLines="0" w:line="240" w:lineRule="auto"/>
              <w:rPr>
                <w:rFonts w:hAnsi="宋体" w:cs="宋体"/>
                <w:snapToGrid w:val="0"/>
                <w:color w:val="000000"/>
                <w:kern w:val="21"/>
                <w:szCs w:val="21"/>
              </w:rPr>
            </w:pPr>
          </w:p>
        </w:tc>
        <w:tc>
          <w:tcPr>
            <w:tcW w:w="1276" w:type="dxa"/>
            <w:vMerge w:val="continue"/>
            <w:noWrap w:val="0"/>
            <w:vAlign w:val="center"/>
          </w:tcPr>
          <w:p w14:paraId="2038B062">
            <w:pPr>
              <w:pStyle w:val="38"/>
              <w:spacing w:beforeLines="0" w:afterLines="0" w:line="240" w:lineRule="auto"/>
              <w:rPr>
                <w:rFonts w:hAnsi="宋体" w:cs="宋体"/>
                <w:snapToGrid w:val="0"/>
                <w:color w:val="000000"/>
                <w:kern w:val="21"/>
                <w:szCs w:val="21"/>
              </w:rPr>
            </w:pPr>
          </w:p>
        </w:tc>
        <w:tc>
          <w:tcPr>
            <w:tcW w:w="1701" w:type="dxa"/>
            <w:vMerge w:val="continue"/>
            <w:noWrap w:val="0"/>
            <w:vAlign w:val="center"/>
          </w:tcPr>
          <w:p w14:paraId="46577023">
            <w:pPr>
              <w:pStyle w:val="38"/>
              <w:spacing w:beforeLines="0" w:afterLines="0" w:line="240" w:lineRule="auto"/>
              <w:rPr>
                <w:rFonts w:hAnsi="宋体" w:cs="宋体"/>
                <w:snapToGrid w:val="0"/>
                <w:color w:val="000000"/>
                <w:kern w:val="21"/>
                <w:szCs w:val="21"/>
              </w:rPr>
            </w:pPr>
          </w:p>
        </w:tc>
        <w:tc>
          <w:tcPr>
            <w:tcW w:w="1559" w:type="dxa"/>
            <w:vMerge w:val="continue"/>
            <w:noWrap w:val="0"/>
            <w:vAlign w:val="center"/>
          </w:tcPr>
          <w:p w14:paraId="71672B3D">
            <w:pPr>
              <w:pStyle w:val="38"/>
              <w:spacing w:beforeLines="0" w:afterLines="0" w:line="240" w:lineRule="auto"/>
              <w:rPr>
                <w:rFonts w:hAnsi="宋体" w:cs="宋体"/>
                <w:snapToGrid w:val="0"/>
                <w:color w:val="000000"/>
                <w:kern w:val="21"/>
                <w:szCs w:val="21"/>
              </w:rPr>
            </w:pPr>
          </w:p>
        </w:tc>
        <w:tc>
          <w:tcPr>
            <w:tcW w:w="1761" w:type="dxa"/>
            <w:vMerge w:val="continue"/>
            <w:noWrap w:val="0"/>
            <w:vAlign w:val="center"/>
          </w:tcPr>
          <w:p w14:paraId="7341FCC6">
            <w:pPr>
              <w:pStyle w:val="38"/>
              <w:spacing w:beforeLines="0" w:afterLines="0" w:line="240" w:lineRule="auto"/>
              <w:rPr>
                <w:rFonts w:hAnsi="宋体" w:cs="宋体"/>
                <w:snapToGrid w:val="0"/>
                <w:color w:val="000000"/>
                <w:kern w:val="21"/>
                <w:szCs w:val="21"/>
              </w:rPr>
            </w:pPr>
          </w:p>
        </w:tc>
        <w:tc>
          <w:tcPr>
            <w:tcW w:w="1959" w:type="dxa"/>
            <w:vMerge w:val="continue"/>
            <w:noWrap w:val="0"/>
            <w:vAlign w:val="center"/>
          </w:tcPr>
          <w:p w14:paraId="16EA5842">
            <w:pPr>
              <w:pStyle w:val="38"/>
              <w:spacing w:beforeLines="0" w:afterLines="0" w:line="240" w:lineRule="auto"/>
              <w:rPr>
                <w:rFonts w:hAnsi="宋体" w:cs="宋体"/>
                <w:snapToGrid w:val="0"/>
                <w:color w:val="000000"/>
                <w:kern w:val="21"/>
                <w:szCs w:val="21"/>
              </w:rPr>
            </w:pPr>
          </w:p>
        </w:tc>
        <w:tc>
          <w:tcPr>
            <w:tcW w:w="826" w:type="dxa"/>
            <w:vMerge w:val="continue"/>
            <w:noWrap w:val="0"/>
            <w:vAlign w:val="center"/>
          </w:tcPr>
          <w:p w14:paraId="440702CF">
            <w:pPr>
              <w:pStyle w:val="38"/>
              <w:spacing w:beforeLines="0" w:afterLines="0" w:line="240" w:lineRule="auto"/>
              <w:rPr>
                <w:rFonts w:hAnsi="宋体" w:cs="宋体"/>
                <w:snapToGrid w:val="0"/>
                <w:color w:val="000000"/>
                <w:kern w:val="21"/>
                <w:szCs w:val="21"/>
              </w:rPr>
            </w:pPr>
          </w:p>
        </w:tc>
      </w:tr>
      <w:tr w14:paraId="2BC9B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13F60C8">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7BA8B41F">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制氧机废分子筛</w:t>
            </w:r>
          </w:p>
        </w:tc>
        <w:tc>
          <w:tcPr>
            <w:tcW w:w="1701" w:type="dxa"/>
            <w:noWrap w:val="0"/>
            <w:vAlign w:val="center"/>
          </w:tcPr>
          <w:p w14:paraId="277E5178">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276" w:type="dxa"/>
            <w:noWrap w:val="0"/>
            <w:vAlign w:val="center"/>
          </w:tcPr>
          <w:p w14:paraId="41766E57">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01" w:type="dxa"/>
            <w:noWrap w:val="0"/>
            <w:vAlign w:val="center"/>
          </w:tcPr>
          <w:p w14:paraId="350154F8">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559" w:type="dxa"/>
            <w:shd w:val="clear" w:color="auto" w:fill="auto"/>
            <w:noWrap w:val="0"/>
            <w:vAlign w:val="center"/>
          </w:tcPr>
          <w:p w14:paraId="11D1C7A6">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0.002t/a</w:t>
            </w:r>
          </w:p>
        </w:tc>
        <w:tc>
          <w:tcPr>
            <w:tcW w:w="1761" w:type="dxa"/>
            <w:shd w:val="clear" w:color="auto" w:fill="auto"/>
            <w:noWrap w:val="0"/>
            <w:vAlign w:val="center"/>
          </w:tcPr>
          <w:p w14:paraId="5085B8C9">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07B0DC2A">
            <w:pPr>
              <w:pStyle w:val="38"/>
              <w:spacing w:beforeLines="0" w:afterLines="0" w:line="240" w:lineRule="auto"/>
              <w:rPr>
                <w:rFonts w:hint="eastAsia" w:hAnsi="宋体" w:cs="宋体"/>
                <w:snapToGrid w:val="0"/>
                <w:color w:val="000000"/>
                <w:kern w:val="21"/>
                <w:szCs w:val="21"/>
                <w:lang w:val="en-US" w:eastAsia="zh-CN"/>
              </w:rPr>
            </w:pPr>
            <w:r>
              <w:rPr>
                <w:rFonts w:hint="eastAsia" w:hAnsi="宋体" w:cs="宋体"/>
                <w:snapToGrid w:val="0"/>
                <w:color w:val="000000"/>
                <w:kern w:val="21"/>
                <w:szCs w:val="21"/>
                <w:lang w:val="en-US" w:eastAsia="zh-CN"/>
              </w:rPr>
              <w:t>0.002t/a</w:t>
            </w:r>
          </w:p>
        </w:tc>
        <w:tc>
          <w:tcPr>
            <w:tcW w:w="826" w:type="dxa"/>
            <w:shd w:val="clear" w:color="auto" w:fill="auto"/>
            <w:noWrap w:val="0"/>
            <w:vAlign w:val="center"/>
          </w:tcPr>
          <w:p w14:paraId="195B5D4B">
            <w:pPr>
              <w:pStyle w:val="38"/>
              <w:spacing w:beforeLines="0" w:afterLines="0" w:line="240" w:lineRule="auto"/>
              <w:rPr>
                <w:rFonts w:hint="eastAsia" w:hAnsi="宋体" w:cs="宋体"/>
                <w:snapToGrid w:val="0"/>
                <w:color w:val="000000"/>
                <w:kern w:val="21"/>
                <w:szCs w:val="21"/>
                <w:lang w:val="en-US" w:eastAsia="zh-CN"/>
              </w:rPr>
            </w:pPr>
            <w:r>
              <w:rPr>
                <w:rFonts w:hint="eastAsia" w:hAnsi="宋体" w:cs="宋体"/>
                <w:snapToGrid w:val="0"/>
                <w:color w:val="000000"/>
                <w:kern w:val="21"/>
                <w:szCs w:val="21"/>
                <w:lang w:val="en-US" w:eastAsia="zh-CN"/>
              </w:rPr>
              <w:t>+0.002</w:t>
            </w:r>
          </w:p>
        </w:tc>
      </w:tr>
      <w:tr w14:paraId="1D96F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D27E38D">
            <w:pPr>
              <w:pStyle w:val="38"/>
              <w:spacing w:beforeLines="0" w:afterLines="0" w:line="240" w:lineRule="auto"/>
              <w:rPr>
                <w:rFonts w:hint="eastAsia" w:hAnsi="宋体" w:cs="宋体"/>
                <w:snapToGrid w:val="0"/>
                <w:color w:val="000000"/>
                <w:kern w:val="21"/>
                <w:szCs w:val="21"/>
              </w:rPr>
            </w:pPr>
          </w:p>
        </w:tc>
        <w:tc>
          <w:tcPr>
            <w:tcW w:w="1417" w:type="dxa"/>
            <w:noWrap w:val="0"/>
            <w:vAlign w:val="center"/>
          </w:tcPr>
          <w:p w14:paraId="20194C9A">
            <w:pPr>
              <w:pStyle w:val="38"/>
              <w:spacing w:beforeLines="0" w:afterLines="0" w:line="240" w:lineRule="auto"/>
              <w:rPr>
                <w:rFonts w:hint="default" w:hAnsi="宋体" w:cs="宋体"/>
                <w:snapToGrid w:val="0"/>
                <w:color w:val="000000"/>
                <w:kern w:val="21"/>
                <w:szCs w:val="21"/>
                <w:lang w:val="en-US" w:eastAsia="zh-CN"/>
              </w:rPr>
            </w:pPr>
            <w:r>
              <w:rPr>
                <w:rFonts w:hint="eastAsia" w:hAnsi="宋体" w:cs="宋体"/>
                <w:snapToGrid w:val="0"/>
                <w:color w:val="000000"/>
                <w:kern w:val="21"/>
                <w:szCs w:val="21"/>
                <w:lang w:val="en-US" w:eastAsia="zh-CN"/>
              </w:rPr>
              <w:t>废包装材料</w:t>
            </w:r>
          </w:p>
        </w:tc>
        <w:tc>
          <w:tcPr>
            <w:tcW w:w="1701" w:type="dxa"/>
            <w:noWrap w:val="0"/>
            <w:vAlign w:val="center"/>
          </w:tcPr>
          <w:p w14:paraId="160CB2A6">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276" w:type="dxa"/>
            <w:noWrap w:val="0"/>
            <w:vAlign w:val="center"/>
          </w:tcPr>
          <w:p w14:paraId="6B024FE2">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701" w:type="dxa"/>
            <w:noWrap w:val="0"/>
            <w:vAlign w:val="center"/>
          </w:tcPr>
          <w:p w14:paraId="1E5C8F5E">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559" w:type="dxa"/>
            <w:shd w:val="clear" w:color="auto" w:fill="auto"/>
            <w:noWrap w:val="0"/>
            <w:vAlign w:val="center"/>
          </w:tcPr>
          <w:p w14:paraId="0791D7E3">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0.2t/a</w:t>
            </w:r>
          </w:p>
        </w:tc>
        <w:tc>
          <w:tcPr>
            <w:tcW w:w="1761" w:type="dxa"/>
            <w:shd w:val="clear" w:color="auto" w:fill="auto"/>
            <w:noWrap w:val="0"/>
            <w:vAlign w:val="center"/>
          </w:tcPr>
          <w:p w14:paraId="1F5DD8D1">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66173DD6">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0.2t/a</w:t>
            </w:r>
          </w:p>
        </w:tc>
        <w:tc>
          <w:tcPr>
            <w:tcW w:w="826" w:type="dxa"/>
            <w:shd w:val="clear" w:color="auto" w:fill="auto"/>
            <w:noWrap w:val="0"/>
            <w:vAlign w:val="center"/>
          </w:tcPr>
          <w:p w14:paraId="2A7FE722">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+0.2</w:t>
            </w:r>
          </w:p>
        </w:tc>
      </w:tr>
      <w:tr w14:paraId="185D93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3005" w:type="dxa"/>
            <w:gridSpan w:val="2"/>
            <w:noWrap w:val="0"/>
            <w:vAlign w:val="center"/>
          </w:tcPr>
          <w:p w14:paraId="76F9C328">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医疗废物</w:t>
            </w:r>
          </w:p>
        </w:tc>
        <w:tc>
          <w:tcPr>
            <w:tcW w:w="1701" w:type="dxa"/>
            <w:shd w:val="clear" w:color="auto" w:fill="auto"/>
            <w:noWrap w:val="0"/>
            <w:vAlign w:val="center"/>
          </w:tcPr>
          <w:p w14:paraId="59E4801D">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3ACC7C8E">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021DA1C7">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noWrap w:val="0"/>
            <w:vAlign w:val="center"/>
          </w:tcPr>
          <w:p w14:paraId="1A860BA2">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2.92t/a</w:t>
            </w:r>
          </w:p>
        </w:tc>
        <w:tc>
          <w:tcPr>
            <w:tcW w:w="1761" w:type="dxa"/>
            <w:noWrap w:val="0"/>
            <w:vAlign w:val="center"/>
          </w:tcPr>
          <w:p w14:paraId="279BE32B">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959" w:type="dxa"/>
            <w:shd w:val="clear" w:color="auto" w:fill="auto"/>
            <w:noWrap w:val="0"/>
            <w:vAlign w:val="center"/>
          </w:tcPr>
          <w:p w14:paraId="6F266124">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2.92t/a</w:t>
            </w:r>
          </w:p>
        </w:tc>
        <w:tc>
          <w:tcPr>
            <w:tcW w:w="826" w:type="dxa"/>
            <w:shd w:val="clear" w:color="auto" w:fill="auto"/>
            <w:noWrap w:val="0"/>
            <w:vAlign w:val="center"/>
          </w:tcPr>
          <w:p w14:paraId="0103E8B5">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+2.92</w:t>
            </w:r>
          </w:p>
        </w:tc>
      </w:tr>
      <w:tr w14:paraId="7DDF92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2"/>
            <w:noWrap w:val="0"/>
            <w:vAlign w:val="center"/>
          </w:tcPr>
          <w:p w14:paraId="4FD863FC">
            <w:pPr>
              <w:pStyle w:val="38"/>
              <w:spacing w:beforeLines="0" w:afterLines="0" w:line="240" w:lineRule="auto"/>
              <w:rPr>
                <w:rFonts w:hint="default"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危险废物</w:t>
            </w:r>
          </w:p>
        </w:tc>
        <w:tc>
          <w:tcPr>
            <w:tcW w:w="1701" w:type="dxa"/>
            <w:shd w:val="clear" w:color="auto" w:fill="auto"/>
            <w:noWrap w:val="0"/>
            <w:vAlign w:val="center"/>
          </w:tcPr>
          <w:p w14:paraId="07CBF5CB">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53945B00">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60C567F1">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shd w:val="clear" w:color="auto" w:fill="auto"/>
            <w:noWrap w:val="0"/>
            <w:vAlign w:val="center"/>
          </w:tcPr>
          <w:p w14:paraId="56AE98A4">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0.02t/a</w:t>
            </w:r>
          </w:p>
        </w:tc>
        <w:tc>
          <w:tcPr>
            <w:tcW w:w="1761" w:type="dxa"/>
            <w:shd w:val="clear" w:color="auto" w:fill="auto"/>
            <w:noWrap w:val="0"/>
            <w:vAlign w:val="center"/>
          </w:tcPr>
          <w:p w14:paraId="2245F39E">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 w:val="21"/>
                <w:szCs w:val="21"/>
                <w:lang w:val="en-US" w:eastAsia="zh-CN" w:bidi="ar-SA"/>
              </w:rPr>
              <w:t>/</w:t>
            </w:r>
          </w:p>
        </w:tc>
        <w:tc>
          <w:tcPr>
            <w:tcW w:w="1959" w:type="dxa"/>
            <w:shd w:val="clear" w:color="auto" w:fill="auto"/>
            <w:noWrap w:val="0"/>
            <w:vAlign w:val="center"/>
          </w:tcPr>
          <w:p w14:paraId="7D0F7DAD">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0.02t/a</w:t>
            </w:r>
          </w:p>
        </w:tc>
        <w:tc>
          <w:tcPr>
            <w:tcW w:w="826" w:type="dxa"/>
            <w:shd w:val="clear" w:color="auto" w:fill="auto"/>
            <w:noWrap w:val="0"/>
            <w:vAlign w:val="center"/>
          </w:tcPr>
          <w:p w14:paraId="7B44FFA9">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+0.02</w:t>
            </w:r>
          </w:p>
        </w:tc>
      </w:tr>
      <w:tr w14:paraId="7AD96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005" w:type="dxa"/>
            <w:gridSpan w:val="2"/>
            <w:noWrap w:val="0"/>
            <w:vAlign w:val="center"/>
          </w:tcPr>
          <w:p w14:paraId="2BC41024">
            <w:pPr>
              <w:pStyle w:val="38"/>
              <w:spacing w:beforeLines="0" w:afterLines="0" w:line="240" w:lineRule="auto"/>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生活垃圾</w:t>
            </w:r>
          </w:p>
        </w:tc>
        <w:tc>
          <w:tcPr>
            <w:tcW w:w="1701" w:type="dxa"/>
            <w:shd w:val="clear" w:color="auto" w:fill="auto"/>
            <w:noWrap w:val="0"/>
            <w:vAlign w:val="center"/>
          </w:tcPr>
          <w:p w14:paraId="5B5CF0D5">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276" w:type="dxa"/>
            <w:shd w:val="clear" w:color="auto" w:fill="auto"/>
            <w:noWrap w:val="0"/>
            <w:vAlign w:val="center"/>
          </w:tcPr>
          <w:p w14:paraId="6E42A4BD">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701" w:type="dxa"/>
            <w:shd w:val="clear" w:color="auto" w:fill="auto"/>
            <w:noWrap w:val="0"/>
            <w:vAlign w:val="center"/>
          </w:tcPr>
          <w:p w14:paraId="5789461F">
            <w:pPr>
              <w:pStyle w:val="38"/>
              <w:spacing w:beforeLines="0" w:afterLines="0" w:line="240" w:lineRule="auto"/>
              <w:rPr>
                <w:rFonts w:hint="eastAsia"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w:t>
            </w:r>
          </w:p>
        </w:tc>
        <w:tc>
          <w:tcPr>
            <w:tcW w:w="1559" w:type="dxa"/>
            <w:shd w:val="clear" w:color="auto" w:fill="auto"/>
            <w:noWrap w:val="0"/>
            <w:vAlign w:val="center"/>
          </w:tcPr>
          <w:p w14:paraId="385C1EA1">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3.65t/a</w:t>
            </w:r>
          </w:p>
        </w:tc>
        <w:tc>
          <w:tcPr>
            <w:tcW w:w="1761" w:type="dxa"/>
            <w:shd w:val="clear" w:color="auto" w:fill="auto"/>
            <w:noWrap w:val="0"/>
            <w:vAlign w:val="center"/>
          </w:tcPr>
          <w:p w14:paraId="70BFADC1">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 w:val="21"/>
                <w:szCs w:val="21"/>
                <w:lang w:val="en-US" w:eastAsia="zh-CN" w:bidi="ar-SA"/>
              </w:rPr>
              <w:t>/</w:t>
            </w:r>
          </w:p>
        </w:tc>
        <w:tc>
          <w:tcPr>
            <w:tcW w:w="1959" w:type="dxa"/>
            <w:shd w:val="clear" w:color="auto" w:fill="auto"/>
            <w:noWrap w:val="0"/>
            <w:vAlign w:val="center"/>
          </w:tcPr>
          <w:p w14:paraId="5D68EFAD">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3.65t/a</w:t>
            </w:r>
          </w:p>
        </w:tc>
        <w:tc>
          <w:tcPr>
            <w:tcW w:w="826" w:type="dxa"/>
            <w:shd w:val="clear" w:color="auto" w:fill="auto"/>
            <w:noWrap w:val="0"/>
            <w:vAlign w:val="center"/>
          </w:tcPr>
          <w:p w14:paraId="5D65D760">
            <w:pPr>
              <w:pStyle w:val="38"/>
              <w:spacing w:beforeLines="0" w:afterLines="0" w:line="240" w:lineRule="auto"/>
              <w:rPr>
                <w:rFonts w:hint="default" w:ascii="宋体" w:hAnsi="宋体" w:eastAsia="宋体" w:cs="宋体"/>
                <w:snapToGrid w:val="0"/>
                <w:color w:val="000000"/>
                <w:kern w:val="21"/>
                <w:sz w:val="21"/>
                <w:szCs w:val="21"/>
                <w:lang w:val="en-US" w:eastAsia="zh-CN" w:bidi="ar-SA"/>
              </w:rPr>
            </w:pPr>
            <w:r>
              <w:rPr>
                <w:rFonts w:hint="eastAsia" w:hAnsi="宋体" w:cs="宋体"/>
                <w:snapToGrid w:val="0"/>
                <w:color w:val="000000"/>
                <w:kern w:val="21"/>
                <w:szCs w:val="21"/>
                <w:lang w:val="en-US" w:eastAsia="zh-CN"/>
              </w:rPr>
              <w:t>+3.65</w:t>
            </w:r>
          </w:p>
        </w:tc>
      </w:tr>
    </w:tbl>
    <w:p w14:paraId="58D62B4E">
      <w:pPr>
        <w:pStyle w:val="38"/>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5AFE0CEC">
      <w:pPr>
        <w:rPr>
          <w:rFonts w:hint="eastAsia"/>
        </w:rPr>
      </w:pPr>
    </w:p>
    <w:p w14:paraId="0D3D0285">
      <w:pPr>
        <w:rPr>
          <w:rFonts w:hint="eastAsia"/>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D6CDC50">
      <w:pPr>
        <w:rPr>
          <w:rFonts w:hint="eastAsia" w:ascii="宋体" w:hAnsi="宋体" w:eastAsia="黑体"/>
          <w:lang w:eastAsia="zh-CN"/>
        </w:rPr>
      </w:pPr>
      <w:r>
        <w:rPr>
          <w:rFonts w:hint="eastAsia" w:ascii="宋体" w:hAnsi="宋体" w:eastAsia="黑体"/>
          <w:lang w:eastAsia="zh-CN"/>
        </w:rPr>
        <w:drawing>
          <wp:inline distT="0" distB="0" distL="114300" distR="114300">
            <wp:extent cx="4591050" cy="5667375"/>
            <wp:effectExtent l="0" t="0" r="0" b="9525"/>
            <wp:docPr id="22" name="图片 22" descr="489f8af5f36d9a05af756806310c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89f8af5f36d9a05af756806310c76e"/>
                    <pic:cNvPicPr>
                      <a:picLocks noChangeAspect="1"/>
                    </pic:cNvPicPr>
                  </pic:nvPicPr>
                  <pic:blipFill>
                    <a:blip r:embed="rId28"/>
                    <a:stretch>
                      <a:fillRect/>
                    </a:stretch>
                  </pic:blipFill>
                  <pic:spPr>
                    <a:xfrm>
                      <a:off x="0" y="0"/>
                      <a:ext cx="4591050" cy="5667375"/>
                    </a:xfrm>
                    <a:prstGeom prst="rect">
                      <a:avLst/>
                    </a:prstGeom>
                  </pic:spPr>
                </pic:pic>
              </a:graphicData>
            </a:graphic>
          </wp:inline>
        </w:drawing>
      </w: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7FFAEFF" w:usb1="F9DFFFFF" w:usb2="0000007F" w:usb3="00000000" w:csb0="203F01FF" w:csb1="DFFF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EA480">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3A7FB9">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V1BZl4QEAAMEDAAAOAAAA&#10;AAAAAAEAIAAAAB4BAABkcnMvZTJvRG9jLnhtbFBLBQYAAAAABgAGAFkBAABxBQAAAAA=&#10;">
              <v:fill on="f" focussize="0,0"/>
              <v:stroke on="f"/>
              <v:imagedata o:title=""/>
              <o:lock v:ext="edit" aspectratio="f"/>
              <v:textbox inset="0mm,0mm,0mm,0mm" style="mso-fit-shape-to-text:t;">
                <w:txbxContent>
                  <w:p w14:paraId="623A7FB9">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DFF7F">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C5F033">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En11s4QEAAMEDAAAOAAAA&#10;AAAAAAEAIAAAAB4BAABkcnMvZTJvRG9jLnhtbFBLBQYAAAAABgAGAFkBAABxBQAAAAA=&#10;">
              <v:fill on="f" focussize="0,0"/>
              <v:stroke on="f"/>
              <v:imagedata o:title=""/>
              <o:lock v:ext="edit" aspectratio="f"/>
              <v:textbox inset="0mm,0mm,0mm,0mm" style="mso-fit-shape-to-text:t;">
                <w:txbxContent>
                  <w:p w14:paraId="65C5F033">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DF998">
    <w:pPr>
      <w:pStyle w:val="13"/>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F22685">
                          <w:pPr>
                            <w:pStyle w:val="13"/>
                          </w:pPr>
                          <w:r>
                            <w:fldChar w:fldCharType="begin"/>
                          </w:r>
                          <w:r>
                            <w:instrText xml:space="preserve"> PAGE  \* MERGEFORMAT </w:instrText>
                          </w:r>
                          <w:r>
                            <w:fldChar w:fldCharType="separate"/>
                          </w:r>
                          <w:r>
                            <w:t>7</w:t>
                          </w:r>
                          <w:r>
                            <w:fldChar w:fldCharType="end"/>
                          </w:r>
                        </w:p>
                      </w:txbxContent>
                    </wps:txbx>
                    <wps:bodyPr vert="horz" wrap="none" lIns="0" tIns="0" rIns="0" bIns="0" anchor="t" anchorCtr="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gNE2e4QEAAMEDAAAOAAAA&#10;AAAAAAEAIAAAAB4BAABkcnMvZTJvRG9jLnhtbFBLBQYAAAAABgAGAFkBAABxBQAAAAA=&#10;">
              <v:fill on="f" focussize="0,0"/>
              <v:stroke on="f"/>
              <v:imagedata o:title=""/>
              <o:lock v:ext="edit" aspectratio="f"/>
              <v:textbox inset="0mm,0mm,0mm,0mm" style="mso-fit-shape-to-text:t;">
                <w:txbxContent>
                  <w:p w14:paraId="1DF22685">
                    <w:pPr>
                      <w:pStyle w:val="1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1F6EE">
    <w:pPr>
      <w:pStyle w:val="13"/>
      <w:ind w:right="360"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2F580">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LbIPG4QEAAMEDAAAOAAAA&#10;AAAAAAEAIAAAAB4BAABkcnMvZTJvRG9jLnhtbFBLBQYAAAAABgAGAFkBAABxBQAAAAA=&#10;">
              <v:fill on="f" focussize="0,0"/>
              <v:stroke on="f"/>
              <v:imagedata o:title=""/>
              <o:lock v:ext="edit" aspectratio="f"/>
              <v:textbox inset="0mm,0mm,0mm,0mm" style="mso-fit-shape-to-text:t;">
                <w:txbxContent>
                  <w:p w14:paraId="2812F580">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3883B">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15AA3"/>
    <w:multiLevelType w:val="singleLevel"/>
    <w:tmpl w:val="80E15AA3"/>
    <w:lvl w:ilvl="0" w:tentative="0">
      <w:start w:val="1"/>
      <w:numFmt w:val="decimal"/>
      <w:suff w:val="nothing"/>
      <w:lvlText w:val="%1、"/>
      <w:lvlJc w:val="left"/>
    </w:lvl>
  </w:abstractNum>
  <w:abstractNum w:abstractNumId="1">
    <w:nsid w:val="A0547C94"/>
    <w:multiLevelType w:val="singleLevel"/>
    <w:tmpl w:val="A0547C94"/>
    <w:lvl w:ilvl="0" w:tentative="0">
      <w:start w:val="1"/>
      <w:numFmt w:val="decimal"/>
      <w:suff w:val="nothing"/>
      <w:lvlText w:val="%1、"/>
      <w:lvlJc w:val="left"/>
    </w:lvl>
  </w:abstractNum>
  <w:abstractNum w:abstractNumId="2">
    <w:nsid w:val="C516D637"/>
    <w:multiLevelType w:val="multilevel"/>
    <w:tmpl w:val="C516D637"/>
    <w:lvl w:ilvl="0" w:tentative="0">
      <w:start w:val="1"/>
      <w:numFmt w:val="decimal"/>
      <w:lvlText w:val="%1"/>
      <w:lvlJc w:val="left"/>
      <w:pPr>
        <w:ind w:left="432" w:hanging="432"/>
      </w:pPr>
      <w:rPr>
        <w:rFonts w:hint="default" w:ascii="Times New Roman" w:hAnsi="Times New Roman" w:eastAsia="宋体" w:cs="宋体"/>
        <w:b/>
        <w:bCs/>
        <w:color w:val="FFFFFF" w:themeColor="background1"/>
        <w:sz w:val="24"/>
        <w:szCs w:val="24"/>
        <w14:textFill>
          <w14:solidFill>
            <w14:schemeClr w14:val="bg1"/>
          </w14:solidFill>
        </w14:textFill>
      </w:rPr>
    </w:lvl>
    <w:lvl w:ilvl="1" w:tentative="0">
      <w:start w:val="1"/>
      <w:numFmt w:val="decimal"/>
      <w:pStyle w:val="3"/>
      <w:lvlText w:val="%1.%2"/>
      <w:lvlJc w:val="left"/>
      <w:pPr>
        <w:ind w:left="575" w:hanging="575"/>
      </w:pPr>
      <w:rPr>
        <w:rFonts w:hint="default" w:ascii="Times New Roman" w:hAnsi="Times New Roman" w:eastAsia="宋体" w:cs="宋体"/>
        <w:b/>
        <w:sz w:val="24"/>
        <w:szCs w:val="24"/>
      </w:rPr>
    </w:lvl>
    <w:lvl w:ilvl="2" w:tentative="0">
      <w:start w:val="1"/>
      <w:numFmt w:val="decimal"/>
      <w:lvlText w:val="%1.%2.%3"/>
      <w:lvlJc w:val="left"/>
      <w:pPr>
        <w:ind w:left="720" w:hanging="720"/>
      </w:pPr>
      <w:rPr>
        <w:rFonts w:hint="default" w:ascii="Times New Roman" w:hAnsi="Times New Roman" w:eastAsia="宋体" w:cs="宋体"/>
        <w:b/>
        <w:sz w:val="24"/>
        <w:szCs w:val="24"/>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E2885441"/>
    <w:multiLevelType w:val="multilevel"/>
    <w:tmpl w:val="E2885441"/>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EDF02EE6"/>
    <w:multiLevelType w:val="singleLevel"/>
    <w:tmpl w:val="EDF02EE6"/>
    <w:lvl w:ilvl="0" w:tentative="0">
      <w:start w:val="2"/>
      <w:numFmt w:val="decimal"/>
      <w:suff w:val="nothing"/>
      <w:lvlText w:val="（%1）"/>
      <w:lvlJc w:val="left"/>
    </w:lvl>
  </w:abstractNum>
  <w:abstractNum w:abstractNumId="5">
    <w:nsid w:val="031ABBBE"/>
    <w:multiLevelType w:val="singleLevel"/>
    <w:tmpl w:val="031ABBBE"/>
    <w:lvl w:ilvl="0" w:tentative="0">
      <w:start w:val="1"/>
      <w:numFmt w:val="chineseCounting"/>
      <w:suff w:val="nothing"/>
      <w:lvlText w:val="（%1）"/>
      <w:lvlJc w:val="left"/>
      <w:rPr>
        <w:rFonts w:hint="eastAsia"/>
      </w:rPr>
    </w:lvl>
  </w:abstractNum>
  <w:abstractNum w:abstractNumId="6">
    <w:nsid w:val="3497F996"/>
    <w:multiLevelType w:val="singleLevel"/>
    <w:tmpl w:val="3497F996"/>
    <w:lvl w:ilvl="0" w:tentative="0">
      <w:start w:val="2"/>
      <w:numFmt w:val="decimal"/>
      <w:suff w:val="nothing"/>
      <w:lvlText w:val="（%1）"/>
      <w:lvlJc w:val="left"/>
    </w:lvl>
  </w:abstractNum>
  <w:abstractNum w:abstractNumId="7">
    <w:nsid w:val="67F56FF3"/>
    <w:multiLevelType w:val="singleLevel"/>
    <w:tmpl w:val="67F56FF3"/>
    <w:lvl w:ilvl="0" w:tentative="0">
      <w:start w:val="1"/>
      <w:numFmt w:val="decimal"/>
      <w:suff w:val="nothing"/>
      <w:lvlText w:val="（%1）"/>
      <w:lvlJc w:val="left"/>
    </w:lvl>
  </w:abstractNum>
  <w:abstractNum w:abstractNumId="8">
    <w:nsid w:val="74F274D6"/>
    <w:multiLevelType w:val="singleLevel"/>
    <w:tmpl w:val="74F274D6"/>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 w:numId="5">
    <w:abstractNumId w:val="5"/>
  </w:num>
  <w:num w:numId="6">
    <w:abstractNumId w:val="7"/>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2F7B3D"/>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5FD9"/>
    <w:rsid w:val="0069775A"/>
    <w:rsid w:val="00697813"/>
    <w:rsid w:val="006A3EE8"/>
    <w:rsid w:val="006A72BF"/>
    <w:rsid w:val="006B03F2"/>
    <w:rsid w:val="006B37DC"/>
    <w:rsid w:val="006B4F68"/>
    <w:rsid w:val="006C0592"/>
    <w:rsid w:val="006C272E"/>
    <w:rsid w:val="006C5479"/>
    <w:rsid w:val="006D13B5"/>
    <w:rsid w:val="006E12FF"/>
    <w:rsid w:val="006E607E"/>
    <w:rsid w:val="006F42B4"/>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15887"/>
    <w:rsid w:val="00A32A83"/>
    <w:rsid w:val="00A368DB"/>
    <w:rsid w:val="00A423AA"/>
    <w:rsid w:val="00A53EC6"/>
    <w:rsid w:val="00A55C0F"/>
    <w:rsid w:val="00A8713F"/>
    <w:rsid w:val="00A90BA1"/>
    <w:rsid w:val="00A97A9A"/>
    <w:rsid w:val="00A97A9C"/>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1788"/>
    <w:rsid w:val="00B1295A"/>
    <w:rsid w:val="00B20A45"/>
    <w:rsid w:val="00B22C5C"/>
    <w:rsid w:val="00B24F30"/>
    <w:rsid w:val="00B31ABF"/>
    <w:rsid w:val="00B33BE3"/>
    <w:rsid w:val="00B53B5D"/>
    <w:rsid w:val="00B6055E"/>
    <w:rsid w:val="00B6317D"/>
    <w:rsid w:val="00B65F0E"/>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1EB3"/>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406DB6"/>
    <w:rsid w:val="015D1E09"/>
    <w:rsid w:val="01720663"/>
    <w:rsid w:val="01C205FE"/>
    <w:rsid w:val="01D04446"/>
    <w:rsid w:val="022A69A2"/>
    <w:rsid w:val="02697903"/>
    <w:rsid w:val="026F75D4"/>
    <w:rsid w:val="028C2732"/>
    <w:rsid w:val="02921238"/>
    <w:rsid w:val="02C60B85"/>
    <w:rsid w:val="02F96569"/>
    <w:rsid w:val="03372BF7"/>
    <w:rsid w:val="03C04D24"/>
    <w:rsid w:val="03D251BA"/>
    <w:rsid w:val="03D4001E"/>
    <w:rsid w:val="03D65079"/>
    <w:rsid w:val="03EA7B21"/>
    <w:rsid w:val="040F09E7"/>
    <w:rsid w:val="041A70FC"/>
    <w:rsid w:val="04563C51"/>
    <w:rsid w:val="045D1075"/>
    <w:rsid w:val="047A1404"/>
    <w:rsid w:val="04A14CA8"/>
    <w:rsid w:val="04B340AD"/>
    <w:rsid w:val="05535A7D"/>
    <w:rsid w:val="056035E3"/>
    <w:rsid w:val="05AD779D"/>
    <w:rsid w:val="05C869C2"/>
    <w:rsid w:val="05F83EAE"/>
    <w:rsid w:val="06135229"/>
    <w:rsid w:val="063E7D85"/>
    <w:rsid w:val="06503896"/>
    <w:rsid w:val="068C5401"/>
    <w:rsid w:val="069F300E"/>
    <w:rsid w:val="06B11926"/>
    <w:rsid w:val="06CA13C3"/>
    <w:rsid w:val="06F21F49"/>
    <w:rsid w:val="06FB65BE"/>
    <w:rsid w:val="0708351A"/>
    <w:rsid w:val="070933B5"/>
    <w:rsid w:val="07293586"/>
    <w:rsid w:val="07295285"/>
    <w:rsid w:val="07435535"/>
    <w:rsid w:val="07636392"/>
    <w:rsid w:val="076E3F95"/>
    <w:rsid w:val="07761A22"/>
    <w:rsid w:val="07770C56"/>
    <w:rsid w:val="078905B9"/>
    <w:rsid w:val="07DC1B74"/>
    <w:rsid w:val="0820446F"/>
    <w:rsid w:val="082D048F"/>
    <w:rsid w:val="08326D27"/>
    <w:rsid w:val="08BA6A96"/>
    <w:rsid w:val="08C5277A"/>
    <w:rsid w:val="08F9409D"/>
    <w:rsid w:val="092217DD"/>
    <w:rsid w:val="093A7294"/>
    <w:rsid w:val="093E76C7"/>
    <w:rsid w:val="09903C9B"/>
    <w:rsid w:val="09D81779"/>
    <w:rsid w:val="09EB1EBC"/>
    <w:rsid w:val="09F12E6F"/>
    <w:rsid w:val="0A263993"/>
    <w:rsid w:val="0A2D3AC2"/>
    <w:rsid w:val="0A4D02DC"/>
    <w:rsid w:val="0A707BA3"/>
    <w:rsid w:val="0A7E1B63"/>
    <w:rsid w:val="0A8D2B92"/>
    <w:rsid w:val="0AA40BA3"/>
    <w:rsid w:val="0AA755DF"/>
    <w:rsid w:val="0AB932C7"/>
    <w:rsid w:val="0ADC15A3"/>
    <w:rsid w:val="0AF777A4"/>
    <w:rsid w:val="0AFB505B"/>
    <w:rsid w:val="0B120D44"/>
    <w:rsid w:val="0B1E7A98"/>
    <w:rsid w:val="0B6E5916"/>
    <w:rsid w:val="0B882E7B"/>
    <w:rsid w:val="0BA55020"/>
    <w:rsid w:val="0BD27BF6"/>
    <w:rsid w:val="0BE8478B"/>
    <w:rsid w:val="0BEF4B8C"/>
    <w:rsid w:val="0C0D3381"/>
    <w:rsid w:val="0C3B3C7D"/>
    <w:rsid w:val="0C3F70ED"/>
    <w:rsid w:val="0C6042C9"/>
    <w:rsid w:val="0CAB2EAE"/>
    <w:rsid w:val="0CB07099"/>
    <w:rsid w:val="0CB41347"/>
    <w:rsid w:val="0D621C7D"/>
    <w:rsid w:val="0DA02CE9"/>
    <w:rsid w:val="0DFC4E02"/>
    <w:rsid w:val="0E15280E"/>
    <w:rsid w:val="0E16743D"/>
    <w:rsid w:val="0E725C51"/>
    <w:rsid w:val="0E73034D"/>
    <w:rsid w:val="0E8F7915"/>
    <w:rsid w:val="0EA31D7A"/>
    <w:rsid w:val="0EBC29BB"/>
    <w:rsid w:val="0F13775A"/>
    <w:rsid w:val="0F576B0E"/>
    <w:rsid w:val="0F5F04B7"/>
    <w:rsid w:val="0F5F45FE"/>
    <w:rsid w:val="0F9A112B"/>
    <w:rsid w:val="0FA36244"/>
    <w:rsid w:val="0FA46ADE"/>
    <w:rsid w:val="0FA665E4"/>
    <w:rsid w:val="0FAE6460"/>
    <w:rsid w:val="0FED7751"/>
    <w:rsid w:val="10380A58"/>
    <w:rsid w:val="103F1D61"/>
    <w:rsid w:val="10676AB0"/>
    <w:rsid w:val="106D2F64"/>
    <w:rsid w:val="10B63710"/>
    <w:rsid w:val="10F10820"/>
    <w:rsid w:val="111C2F7A"/>
    <w:rsid w:val="11665CA1"/>
    <w:rsid w:val="116C3197"/>
    <w:rsid w:val="11AB1006"/>
    <w:rsid w:val="11F56C64"/>
    <w:rsid w:val="1223515E"/>
    <w:rsid w:val="127C3F7B"/>
    <w:rsid w:val="1297339E"/>
    <w:rsid w:val="12A83E03"/>
    <w:rsid w:val="12EE7261"/>
    <w:rsid w:val="12FB66B3"/>
    <w:rsid w:val="13120A5E"/>
    <w:rsid w:val="131A3334"/>
    <w:rsid w:val="1351580C"/>
    <w:rsid w:val="13715D31"/>
    <w:rsid w:val="13900034"/>
    <w:rsid w:val="13951726"/>
    <w:rsid w:val="13C67999"/>
    <w:rsid w:val="14396509"/>
    <w:rsid w:val="144E60BD"/>
    <w:rsid w:val="146E09ED"/>
    <w:rsid w:val="14855BB7"/>
    <w:rsid w:val="14CB553A"/>
    <w:rsid w:val="14DD2C3C"/>
    <w:rsid w:val="14DE7BF2"/>
    <w:rsid w:val="15270BBD"/>
    <w:rsid w:val="153D6625"/>
    <w:rsid w:val="158E4113"/>
    <w:rsid w:val="15F93693"/>
    <w:rsid w:val="160475A2"/>
    <w:rsid w:val="16083F5C"/>
    <w:rsid w:val="16087E1D"/>
    <w:rsid w:val="16247E31"/>
    <w:rsid w:val="16344554"/>
    <w:rsid w:val="16821E79"/>
    <w:rsid w:val="16941972"/>
    <w:rsid w:val="16B23F8B"/>
    <w:rsid w:val="16C93B74"/>
    <w:rsid w:val="16CE049D"/>
    <w:rsid w:val="16FC32C7"/>
    <w:rsid w:val="171D7580"/>
    <w:rsid w:val="17334BAB"/>
    <w:rsid w:val="17701D14"/>
    <w:rsid w:val="17735226"/>
    <w:rsid w:val="17F70938"/>
    <w:rsid w:val="181E4D3A"/>
    <w:rsid w:val="183C12AE"/>
    <w:rsid w:val="189F4747"/>
    <w:rsid w:val="189F624C"/>
    <w:rsid w:val="18EE27AB"/>
    <w:rsid w:val="195072BE"/>
    <w:rsid w:val="1959240B"/>
    <w:rsid w:val="1994200B"/>
    <w:rsid w:val="19AF3CC9"/>
    <w:rsid w:val="19CD7D93"/>
    <w:rsid w:val="19E249C5"/>
    <w:rsid w:val="1A17584D"/>
    <w:rsid w:val="1A1C66C0"/>
    <w:rsid w:val="1A42393B"/>
    <w:rsid w:val="1A6E23B6"/>
    <w:rsid w:val="1A7C3DE2"/>
    <w:rsid w:val="1A9942B1"/>
    <w:rsid w:val="1AAD45DE"/>
    <w:rsid w:val="1ABD21F4"/>
    <w:rsid w:val="1ADB110B"/>
    <w:rsid w:val="1B046F80"/>
    <w:rsid w:val="1B3267B5"/>
    <w:rsid w:val="1B3A2DE8"/>
    <w:rsid w:val="1B40161D"/>
    <w:rsid w:val="1B441859"/>
    <w:rsid w:val="1B6606B1"/>
    <w:rsid w:val="1B8A3CD9"/>
    <w:rsid w:val="1B9857AF"/>
    <w:rsid w:val="1BA53A94"/>
    <w:rsid w:val="1BA85692"/>
    <w:rsid w:val="1BF71070"/>
    <w:rsid w:val="1C24719B"/>
    <w:rsid w:val="1C5E7925"/>
    <w:rsid w:val="1C6B4BCD"/>
    <w:rsid w:val="1C732734"/>
    <w:rsid w:val="1C8C3788"/>
    <w:rsid w:val="1CD619DC"/>
    <w:rsid w:val="1CFD070F"/>
    <w:rsid w:val="1D360481"/>
    <w:rsid w:val="1D5F6196"/>
    <w:rsid w:val="1D6132A5"/>
    <w:rsid w:val="1D6A4078"/>
    <w:rsid w:val="1D894E19"/>
    <w:rsid w:val="1D8E56D5"/>
    <w:rsid w:val="1D954F44"/>
    <w:rsid w:val="1DCD4B43"/>
    <w:rsid w:val="1E6F75B3"/>
    <w:rsid w:val="1E7A43DA"/>
    <w:rsid w:val="1EAC7660"/>
    <w:rsid w:val="1EB81009"/>
    <w:rsid w:val="1F2F1242"/>
    <w:rsid w:val="1F4D6095"/>
    <w:rsid w:val="1F6F6EAE"/>
    <w:rsid w:val="1F8D3D32"/>
    <w:rsid w:val="1FCC2544"/>
    <w:rsid w:val="1FE7539E"/>
    <w:rsid w:val="20671BE0"/>
    <w:rsid w:val="20963CB8"/>
    <w:rsid w:val="20A81A1B"/>
    <w:rsid w:val="20B07FB6"/>
    <w:rsid w:val="20B646FB"/>
    <w:rsid w:val="20FC3C98"/>
    <w:rsid w:val="21015D69"/>
    <w:rsid w:val="211F0C9C"/>
    <w:rsid w:val="21260DF6"/>
    <w:rsid w:val="213B6136"/>
    <w:rsid w:val="213B74B1"/>
    <w:rsid w:val="214C5406"/>
    <w:rsid w:val="215A2310"/>
    <w:rsid w:val="21985C87"/>
    <w:rsid w:val="21DE318A"/>
    <w:rsid w:val="21EF5B80"/>
    <w:rsid w:val="21F4757B"/>
    <w:rsid w:val="21F8472D"/>
    <w:rsid w:val="222D75F2"/>
    <w:rsid w:val="224376A4"/>
    <w:rsid w:val="2245482A"/>
    <w:rsid w:val="22482423"/>
    <w:rsid w:val="224F2B85"/>
    <w:rsid w:val="22576990"/>
    <w:rsid w:val="225E50EE"/>
    <w:rsid w:val="226A2F46"/>
    <w:rsid w:val="228713B7"/>
    <w:rsid w:val="22903925"/>
    <w:rsid w:val="22CE4F8B"/>
    <w:rsid w:val="22F414A7"/>
    <w:rsid w:val="22F47480"/>
    <w:rsid w:val="22F94D29"/>
    <w:rsid w:val="230B49BF"/>
    <w:rsid w:val="23336A07"/>
    <w:rsid w:val="23363A04"/>
    <w:rsid w:val="233A4603"/>
    <w:rsid w:val="237262F1"/>
    <w:rsid w:val="238564FF"/>
    <w:rsid w:val="23A87507"/>
    <w:rsid w:val="23B13923"/>
    <w:rsid w:val="23C803B5"/>
    <w:rsid w:val="23DC2385"/>
    <w:rsid w:val="23DE1C48"/>
    <w:rsid w:val="23E66901"/>
    <w:rsid w:val="240210CD"/>
    <w:rsid w:val="24283C78"/>
    <w:rsid w:val="242B23E7"/>
    <w:rsid w:val="24B42F7A"/>
    <w:rsid w:val="24BF09F7"/>
    <w:rsid w:val="24DA1A42"/>
    <w:rsid w:val="252D53FE"/>
    <w:rsid w:val="256B24DE"/>
    <w:rsid w:val="258215E2"/>
    <w:rsid w:val="25EC2D81"/>
    <w:rsid w:val="264C3CB0"/>
    <w:rsid w:val="26584F46"/>
    <w:rsid w:val="26801679"/>
    <w:rsid w:val="26B001E6"/>
    <w:rsid w:val="270E195B"/>
    <w:rsid w:val="270E3873"/>
    <w:rsid w:val="27126863"/>
    <w:rsid w:val="274971B8"/>
    <w:rsid w:val="2758175F"/>
    <w:rsid w:val="277057A2"/>
    <w:rsid w:val="278F1101"/>
    <w:rsid w:val="27CC1E5A"/>
    <w:rsid w:val="28352CBC"/>
    <w:rsid w:val="284101AE"/>
    <w:rsid w:val="28A26F93"/>
    <w:rsid w:val="28B801C6"/>
    <w:rsid w:val="28E026ED"/>
    <w:rsid w:val="28FD61B2"/>
    <w:rsid w:val="29206EB8"/>
    <w:rsid w:val="293C04FE"/>
    <w:rsid w:val="293C7726"/>
    <w:rsid w:val="29476031"/>
    <w:rsid w:val="295705D9"/>
    <w:rsid w:val="29595666"/>
    <w:rsid w:val="29874881"/>
    <w:rsid w:val="299C6D5D"/>
    <w:rsid w:val="29B175E9"/>
    <w:rsid w:val="29C71E49"/>
    <w:rsid w:val="29E325E0"/>
    <w:rsid w:val="2A201322"/>
    <w:rsid w:val="2A452503"/>
    <w:rsid w:val="2A813992"/>
    <w:rsid w:val="2A872E46"/>
    <w:rsid w:val="2A9F7245"/>
    <w:rsid w:val="2AA36299"/>
    <w:rsid w:val="2AEC6A9F"/>
    <w:rsid w:val="2B41357D"/>
    <w:rsid w:val="2B4D09E1"/>
    <w:rsid w:val="2B550254"/>
    <w:rsid w:val="2B8361C0"/>
    <w:rsid w:val="2BA15277"/>
    <w:rsid w:val="2BA936A8"/>
    <w:rsid w:val="2BEF4671"/>
    <w:rsid w:val="2C261656"/>
    <w:rsid w:val="2C315A5A"/>
    <w:rsid w:val="2C3F2300"/>
    <w:rsid w:val="2C4B1C25"/>
    <w:rsid w:val="2C5A1EE9"/>
    <w:rsid w:val="2C5F0F16"/>
    <w:rsid w:val="2C961728"/>
    <w:rsid w:val="2CA353AB"/>
    <w:rsid w:val="2CAB3828"/>
    <w:rsid w:val="2CDE7773"/>
    <w:rsid w:val="2D07221A"/>
    <w:rsid w:val="2D0B5263"/>
    <w:rsid w:val="2D2D611B"/>
    <w:rsid w:val="2D317178"/>
    <w:rsid w:val="2D8D4307"/>
    <w:rsid w:val="2D9B2A8B"/>
    <w:rsid w:val="2D9E56F5"/>
    <w:rsid w:val="2DF14C15"/>
    <w:rsid w:val="2E345B92"/>
    <w:rsid w:val="2E544B59"/>
    <w:rsid w:val="2E667F96"/>
    <w:rsid w:val="2E6800CC"/>
    <w:rsid w:val="2E8226AB"/>
    <w:rsid w:val="2E8F57CF"/>
    <w:rsid w:val="2E9115A6"/>
    <w:rsid w:val="2E9C76AA"/>
    <w:rsid w:val="2E9E0949"/>
    <w:rsid w:val="2EC01E1F"/>
    <w:rsid w:val="2ECF0685"/>
    <w:rsid w:val="2EFC0F89"/>
    <w:rsid w:val="2F1F2BA8"/>
    <w:rsid w:val="2F827385"/>
    <w:rsid w:val="2FAC6E5D"/>
    <w:rsid w:val="2FD065E6"/>
    <w:rsid w:val="2FD96870"/>
    <w:rsid w:val="2FFF4430"/>
    <w:rsid w:val="30435E10"/>
    <w:rsid w:val="30580BC9"/>
    <w:rsid w:val="30A149D9"/>
    <w:rsid w:val="311E2ED7"/>
    <w:rsid w:val="313D3856"/>
    <w:rsid w:val="314B6E43"/>
    <w:rsid w:val="315619EE"/>
    <w:rsid w:val="315C449C"/>
    <w:rsid w:val="317F6A63"/>
    <w:rsid w:val="31B82709"/>
    <w:rsid w:val="31BC4D7D"/>
    <w:rsid w:val="31C02226"/>
    <w:rsid w:val="31D05482"/>
    <w:rsid w:val="31F44396"/>
    <w:rsid w:val="31F86948"/>
    <w:rsid w:val="32400B34"/>
    <w:rsid w:val="328879D7"/>
    <w:rsid w:val="329A0AD5"/>
    <w:rsid w:val="329E6876"/>
    <w:rsid w:val="333015F2"/>
    <w:rsid w:val="3348697C"/>
    <w:rsid w:val="334B6320"/>
    <w:rsid w:val="338B608A"/>
    <w:rsid w:val="33BC3652"/>
    <w:rsid w:val="33D934D4"/>
    <w:rsid w:val="33FE2F6A"/>
    <w:rsid w:val="340622E0"/>
    <w:rsid w:val="340E07E5"/>
    <w:rsid w:val="34235BF7"/>
    <w:rsid w:val="3485637E"/>
    <w:rsid w:val="34932408"/>
    <w:rsid w:val="34A27308"/>
    <w:rsid w:val="351975ED"/>
    <w:rsid w:val="35412C38"/>
    <w:rsid w:val="356B3BE9"/>
    <w:rsid w:val="358C5FA8"/>
    <w:rsid w:val="35AD2682"/>
    <w:rsid w:val="35B177D3"/>
    <w:rsid w:val="35C15DF1"/>
    <w:rsid w:val="35C34B24"/>
    <w:rsid w:val="35C46195"/>
    <w:rsid w:val="36074A7F"/>
    <w:rsid w:val="36697EFE"/>
    <w:rsid w:val="36923549"/>
    <w:rsid w:val="36B75FBF"/>
    <w:rsid w:val="36BD0C45"/>
    <w:rsid w:val="36C174CE"/>
    <w:rsid w:val="36C6088D"/>
    <w:rsid w:val="36CA58A6"/>
    <w:rsid w:val="36D21A3D"/>
    <w:rsid w:val="36D669D0"/>
    <w:rsid w:val="36FB29CE"/>
    <w:rsid w:val="37147DA6"/>
    <w:rsid w:val="372A0CFD"/>
    <w:rsid w:val="37346645"/>
    <w:rsid w:val="37441A9D"/>
    <w:rsid w:val="3755582B"/>
    <w:rsid w:val="37B87595"/>
    <w:rsid w:val="37B902E9"/>
    <w:rsid w:val="37C25749"/>
    <w:rsid w:val="37E00298"/>
    <w:rsid w:val="38002E3B"/>
    <w:rsid w:val="38116693"/>
    <w:rsid w:val="382764BA"/>
    <w:rsid w:val="38A2244C"/>
    <w:rsid w:val="38B302F9"/>
    <w:rsid w:val="38C2711D"/>
    <w:rsid w:val="38E57A4C"/>
    <w:rsid w:val="38E96465"/>
    <w:rsid w:val="38F12CD3"/>
    <w:rsid w:val="38F94775"/>
    <w:rsid w:val="39092C43"/>
    <w:rsid w:val="390C05E9"/>
    <w:rsid w:val="391571AD"/>
    <w:rsid w:val="392971ED"/>
    <w:rsid w:val="392B2AB6"/>
    <w:rsid w:val="39325651"/>
    <w:rsid w:val="39630075"/>
    <w:rsid w:val="39863B36"/>
    <w:rsid w:val="39896262"/>
    <w:rsid w:val="39C43FCF"/>
    <w:rsid w:val="39EF3449"/>
    <w:rsid w:val="3A2C3A99"/>
    <w:rsid w:val="3A320BEF"/>
    <w:rsid w:val="3A872856"/>
    <w:rsid w:val="3A9A3BC1"/>
    <w:rsid w:val="3ABC218A"/>
    <w:rsid w:val="3AE9337B"/>
    <w:rsid w:val="3AEB5DB0"/>
    <w:rsid w:val="3AFD1D2B"/>
    <w:rsid w:val="3B072223"/>
    <w:rsid w:val="3B3763D1"/>
    <w:rsid w:val="3B7E75F5"/>
    <w:rsid w:val="3BAB2581"/>
    <w:rsid w:val="3BEE647B"/>
    <w:rsid w:val="3BFC07A0"/>
    <w:rsid w:val="3C1910CB"/>
    <w:rsid w:val="3C2F6E1E"/>
    <w:rsid w:val="3C4E4D6E"/>
    <w:rsid w:val="3C4F64BA"/>
    <w:rsid w:val="3C90125E"/>
    <w:rsid w:val="3CCC6AD4"/>
    <w:rsid w:val="3CD456A7"/>
    <w:rsid w:val="3CDA245A"/>
    <w:rsid w:val="3D1E06B7"/>
    <w:rsid w:val="3D744F0E"/>
    <w:rsid w:val="3D874491"/>
    <w:rsid w:val="3D8C1D61"/>
    <w:rsid w:val="3D986853"/>
    <w:rsid w:val="3DAA0180"/>
    <w:rsid w:val="3DC553AA"/>
    <w:rsid w:val="3E1F41C5"/>
    <w:rsid w:val="3E225FB0"/>
    <w:rsid w:val="3E250500"/>
    <w:rsid w:val="3E2C6DE7"/>
    <w:rsid w:val="3E8135F9"/>
    <w:rsid w:val="3EDA0523"/>
    <w:rsid w:val="3EEE0B7F"/>
    <w:rsid w:val="3F1119D1"/>
    <w:rsid w:val="3F742888"/>
    <w:rsid w:val="3F8C2BFA"/>
    <w:rsid w:val="3FA30338"/>
    <w:rsid w:val="3FC00E7F"/>
    <w:rsid w:val="3FFA6F2B"/>
    <w:rsid w:val="407A6407"/>
    <w:rsid w:val="407C05D6"/>
    <w:rsid w:val="409714B8"/>
    <w:rsid w:val="409D5991"/>
    <w:rsid w:val="40CE4185"/>
    <w:rsid w:val="40ED4A58"/>
    <w:rsid w:val="40EE30C6"/>
    <w:rsid w:val="4104667F"/>
    <w:rsid w:val="415B3DB3"/>
    <w:rsid w:val="416901DD"/>
    <w:rsid w:val="41AD6308"/>
    <w:rsid w:val="41B830B4"/>
    <w:rsid w:val="41C175E2"/>
    <w:rsid w:val="4200449D"/>
    <w:rsid w:val="4202071A"/>
    <w:rsid w:val="422B3A43"/>
    <w:rsid w:val="423A3BCC"/>
    <w:rsid w:val="424E57D2"/>
    <w:rsid w:val="425C15D2"/>
    <w:rsid w:val="428C57DC"/>
    <w:rsid w:val="42975216"/>
    <w:rsid w:val="42B26C49"/>
    <w:rsid w:val="42C745C1"/>
    <w:rsid w:val="433A6FE6"/>
    <w:rsid w:val="43480868"/>
    <w:rsid w:val="434B3125"/>
    <w:rsid w:val="4350713C"/>
    <w:rsid w:val="435527BA"/>
    <w:rsid w:val="436653E0"/>
    <w:rsid w:val="43C4431A"/>
    <w:rsid w:val="43F403A7"/>
    <w:rsid w:val="44636B1E"/>
    <w:rsid w:val="44B951CC"/>
    <w:rsid w:val="44CA2045"/>
    <w:rsid w:val="44CD14E0"/>
    <w:rsid w:val="44D61E4E"/>
    <w:rsid w:val="44EF319E"/>
    <w:rsid w:val="44F20B0B"/>
    <w:rsid w:val="44F25B43"/>
    <w:rsid w:val="450D1720"/>
    <w:rsid w:val="45177F78"/>
    <w:rsid w:val="452E5F4C"/>
    <w:rsid w:val="45505625"/>
    <w:rsid w:val="45612018"/>
    <w:rsid w:val="458946E9"/>
    <w:rsid w:val="45A47C0E"/>
    <w:rsid w:val="45C5629E"/>
    <w:rsid w:val="45D705BA"/>
    <w:rsid w:val="462442CB"/>
    <w:rsid w:val="46317690"/>
    <w:rsid w:val="46577FD6"/>
    <w:rsid w:val="46B9051E"/>
    <w:rsid w:val="46BA153F"/>
    <w:rsid w:val="46CD00CF"/>
    <w:rsid w:val="46D955A7"/>
    <w:rsid w:val="46E4548C"/>
    <w:rsid w:val="46EA6DBC"/>
    <w:rsid w:val="46EA727F"/>
    <w:rsid w:val="470D0F13"/>
    <w:rsid w:val="47133957"/>
    <w:rsid w:val="47747B1C"/>
    <w:rsid w:val="47782091"/>
    <w:rsid w:val="47A07E0C"/>
    <w:rsid w:val="47F82E14"/>
    <w:rsid w:val="48047AEC"/>
    <w:rsid w:val="480C3489"/>
    <w:rsid w:val="481E308C"/>
    <w:rsid w:val="4840753B"/>
    <w:rsid w:val="48422F87"/>
    <w:rsid w:val="48491B87"/>
    <w:rsid w:val="48515B5F"/>
    <w:rsid w:val="48551AD8"/>
    <w:rsid w:val="486904DC"/>
    <w:rsid w:val="486A1B93"/>
    <w:rsid w:val="4870272E"/>
    <w:rsid w:val="48A4785C"/>
    <w:rsid w:val="48C14CD9"/>
    <w:rsid w:val="48CD40B7"/>
    <w:rsid w:val="48D4417B"/>
    <w:rsid w:val="48F57338"/>
    <w:rsid w:val="49520049"/>
    <w:rsid w:val="497E4ECD"/>
    <w:rsid w:val="49851756"/>
    <w:rsid w:val="499F5D2D"/>
    <w:rsid w:val="49DC7715"/>
    <w:rsid w:val="49F8749D"/>
    <w:rsid w:val="4A023139"/>
    <w:rsid w:val="4A2A53BA"/>
    <w:rsid w:val="4A2B6EBA"/>
    <w:rsid w:val="4A7B576F"/>
    <w:rsid w:val="4A8144F8"/>
    <w:rsid w:val="4A8E2340"/>
    <w:rsid w:val="4AB24B88"/>
    <w:rsid w:val="4AF561A9"/>
    <w:rsid w:val="4AF905D0"/>
    <w:rsid w:val="4B06571F"/>
    <w:rsid w:val="4B4930A7"/>
    <w:rsid w:val="4B54136E"/>
    <w:rsid w:val="4B616A27"/>
    <w:rsid w:val="4BD632CD"/>
    <w:rsid w:val="4C064D95"/>
    <w:rsid w:val="4C0A1CAF"/>
    <w:rsid w:val="4C4A0649"/>
    <w:rsid w:val="4C6439A0"/>
    <w:rsid w:val="4C7E5ECA"/>
    <w:rsid w:val="4C876AA5"/>
    <w:rsid w:val="4C9040C2"/>
    <w:rsid w:val="4C910E89"/>
    <w:rsid w:val="4CB907C5"/>
    <w:rsid w:val="4CDD3213"/>
    <w:rsid w:val="4CE87706"/>
    <w:rsid w:val="4CF52AE5"/>
    <w:rsid w:val="4D0E00FB"/>
    <w:rsid w:val="4D176606"/>
    <w:rsid w:val="4D2C28F2"/>
    <w:rsid w:val="4D2C4E0F"/>
    <w:rsid w:val="4DA66C6D"/>
    <w:rsid w:val="4DAB2BFA"/>
    <w:rsid w:val="4DB32B4C"/>
    <w:rsid w:val="4DBB14B3"/>
    <w:rsid w:val="4DD70949"/>
    <w:rsid w:val="4DEC4FB0"/>
    <w:rsid w:val="4E075D8A"/>
    <w:rsid w:val="4E410536"/>
    <w:rsid w:val="4E674922"/>
    <w:rsid w:val="4E6C2628"/>
    <w:rsid w:val="4EA16065"/>
    <w:rsid w:val="4EC00FAD"/>
    <w:rsid w:val="4EE5530E"/>
    <w:rsid w:val="4F817C52"/>
    <w:rsid w:val="4F825B9A"/>
    <w:rsid w:val="4F9843DC"/>
    <w:rsid w:val="4FC62A8C"/>
    <w:rsid w:val="4FE20F0D"/>
    <w:rsid w:val="4FE51552"/>
    <w:rsid w:val="50504C4B"/>
    <w:rsid w:val="50732509"/>
    <w:rsid w:val="509C6E7C"/>
    <w:rsid w:val="514B01D2"/>
    <w:rsid w:val="51595081"/>
    <w:rsid w:val="5162104E"/>
    <w:rsid w:val="517C7BE7"/>
    <w:rsid w:val="517E08C1"/>
    <w:rsid w:val="51902FDD"/>
    <w:rsid w:val="51A93061"/>
    <w:rsid w:val="51CE06B5"/>
    <w:rsid w:val="51EC0CE5"/>
    <w:rsid w:val="52086FB4"/>
    <w:rsid w:val="520F555A"/>
    <w:rsid w:val="525D116D"/>
    <w:rsid w:val="52733F35"/>
    <w:rsid w:val="52A8013D"/>
    <w:rsid w:val="52D5688E"/>
    <w:rsid w:val="5361671E"/>
    <w:rsid w:val="53A039CC"/>
    <w:rsid w:val="53A1505A"/>
    <w:rsid w:val="53CA2447"/>
    <w:rsid w:val="53E11116"/>
    <w:rsid w:val="54063E08"/>
    <w:rsid w:val="543437E8"/>
    <w:rsid w:val="54511757"/>
    <w:rsid w:val="54617590"/>
    <w:rsid w:val="54897FCD"/>
    <w:rsid w:val="54DE38C1"/>
    <w:rsid w:val="54E279C0"/>
    <w:rsid w:val="54F73313"/>
    <w:rsid w:val="54F80955"/>
    <w:rsid w:val="552029B2"/>
    <w:rsid w:val="552A50B9"/>
    <w:rsid w:val="555170A7"/>
    <w:rsid w:val="5587536D"/>
    <w:rsid w:val="559246F5"/>
    <w:rsid w:val="559B174B"/>
    <w:rsid w:val="55A778FE"/>
    <w:rsid w:val="55B0294C"/>
    <w:rsid w:val="55B6184F"/>
    <w:rsid w:val="55CE0CF4"/>
    <w:rsid w:val="5626608C"/>
    <w:rsid w:val="5661402A"/>
    <w:rsid w:val="56721665"/>
    <w:rsid w:val="56B22A9C"/>
    <w:rsid w:val="56B44CDC"/>
    <w:rsid w:val="56F1415C"/>
    <w:rsid w:val="56FA789F"/>
    <w:rsid w:val="570D30E0"/>
    <w:rsid w:val="572308CF"/>
    <w:rsid w:val="57404C60"/>
    <w:rsid w:val="57510371"/>
    <w:rsid w:val="57514A73"/>
    <w:rsid w:val="57A37CC2"/>
    <w:rsid w:val="57B72A76"/>
    <w:rsid w:val="57C3426C"/>
    <w:rsid w:val="57CC546B"/>
    <w:rsid w:val="57CE1F93"/>
    <w:rsid w:val="57D852CA"/>
    <w:rsid w:val="57E84919"/>
    <w:rsid w:val="57F140EA"/>
    <w:rsid w:val="58073DB0"/>
    <w:rsid w:val="580A5EAB"/>
    <w:rsid w:val="585F0523"/>
    <w:rsid w:val="588743D1"/>
    <w:rsid w:val="5887701A"/>
    <w:rsid w:val="58D96845"/>
    <w:rsid w:val="58F067EA"/>
    <w:rsid w:val="58F369F3"/>
    <w:rsid w:val="590B401A"/>
    <w:rsid w:val="592667E9"/>
    <w:rsid w:val="598748D5"/>
    <w:rsid w:val="59AF6114"/>
    <w:rsid w:val="59B06FA2"/>
    <w:rsid w:val="59C0439F"/>
    <w:rsid w:val="5A1976E0"/>
    <w:rsid w:val="5A993A03"/>
    <w:rsid w:val="5A9E44D6"/>
    <w:rsid w:val="5ABE2233"/>
    <w:rsid w:val="5ABF1CBB"/>
    <w:rsid w:val="5ACD64B2"/>
    <w:rsid w:val="5ADE07DC"/>
    <w:rsid w:val="5B00144F"/>
    <w:rsid w:val="5B030490"/>
    <w:rsid w:val="5B2568B5"/>
    <w:rsid w:val="5B9E5DCF"/>
    <w:rsid w:val="5BCF4220"/>
    <w:rsid w:val="5BDF5D95"/>
    <w:rsid w:val="5BFE7528"/>
    <w:rsid w:val="5C75356A"/>
    <w:rsid w:val="5CA00E74"/>
    <w:rsid w:val="5CDF15D7"/>
    <w:rsid w:val="5CF045ED"/>
    <w:rsid w:val="5D7D0FB9"/>
    <w:rsid w:val="5DBA055C"/>
    <w:rsid w:val="5DEC149F"/>
    <w:rsid w:val="5DFC4F2D"/>
    <w:rsid w:val="5E170BA5"/>
    <w:rsid w:val="5E2467F1"/>
    <w:rsid w:val="5E722CB4"/>
    <w:rsid w:val="5F1A2B43"/>
    <w:rsid w:val="5F3160F0"/>
    <w:rsid w:val="5F5737A7"/>
    <w:rsid w:val="5F5C5FB8"/>
    <w:rsid w:val="5FB837BB"/>
    <w:rsid w:val="5FBE2D07"/>
    <w:rsid w:val="5FD70BC3"/>
    <w:rsid w:val="5FE20DFC"/>
    <w:rsid w:val="60911000"/>
    <w:rsid w:val="60C665C1"/>
    <w:rsid w:val="60CC405A"/>
    <w:rsid w:val="60D627AF"/>
    <w:rsid w:val="60F81C60"/>
    <w:rsid w:val="610604C2"/>
    <w:rsid w:val="610807BB"/>
    <w:rsid w:val="6137075E"/>
    <w:rsid w:val="613F1A6F"/>
    <w:rsid w:val="614F7FAE"/>
    <w:rsid w:val="6177551E"/>
    <w:rsid w:val="61A736CB"/>
    <w:rsid w:val="61B17569"/>
    <w:rsid w:val="61DC1CD3"/>
    <w:rsid w:val="61E215D8"/>
    <w:rsid w:val="61F823FB"/>
    <w:rsid w:val="620D579D"/>
    <w:rsid w:val="6217478F"/>
    <w:rsid w:val="621B3775"/>
    <w:rsid w:val="6220557A"/>
    <w:rsid w:val="62214B27"/>
    <w:rsid w:val="62364782"/>
    <w:rsid w:val="6257279B"/>
    <w:rsid w:val="629C6BB2"/>
    <w:rsid w:val="62DD3137"/>
    <w:rsid w:val="6308508D"/>
    <w:rsid w:val="631B2E02"/>
    <w:rsid w:val="631B6F9D"/>
    <w:rsid w:val="633B3875"/>
    <w:rsid w:val="63442BE9"/>
    <w:rsid w:val="6382593C"/>
    <w:rsid w:val="6394356A"/>
    <w:rsid w:val="63954BB2"/>
    <w:rsid w:val="6396578F"/>
    <w:rsid w:val="63C61B2C"/>
    <w:rsid w:val="63D40BE9"/>
    <w:rsid w:val="63FC03D1"/>
    <w:rsid w:val="64102431"/>
    <w:rsid w:val="642F0604"/>
    <w:rsid w:val="64654C7D"/>
    <w:rsid w:val="646D497B"/>
    <w:rsid w:val="64A5243A"/>
    <w:rsid w:val="64AF29A7"/>
    <w:rsid w:val="64B052D4"/>
    <w:rsid w:val="64BC487F"/>
    <w:rsid w:val="64C01EB3"/>
    <w:rsid w:val="64DB6CED"/>
    <w:rsid w:val="64F531DE"/>
    <w:rsid w:val="65035672"/>
    <w:rsid w:val="65373578"/>
    <w:rsid w:val="65413F53"/>
    <w:rsid w:val="65664300"/>
    <w:rsid w:val="663D41B3"/>
    <w:rsid w:val="66AD30A8"/>
    <w:rsid w:val="66E42847"/>
    <w:rsid w:val="66EC1888"/>
    <w:rsid w:val="66F5053F"/>
    <w:rsid w:val="671F124A"/>
    <w:rsid w:val="672F3E69"/>
    <w:rsid w:val="674C1365"/>
    <w:rsid w:val="677A33C6"/>
    <w:rsid w:val="67E06C78"/>
    <w:rsid w:val="67EA0E8E"/>
    <w:rsid w:val="67EE0E11"/>
    <w:rsid w:val="67F137FC"/>
    <w:rsid w:val="68187AAB"/>
    <w:rsid w:val="681D4C56"/>
    <w:rsid w:val="681F6961"/>
    <w:rsid w:val="68304CBC"/>
    <w:rsid w:val="683D085A"/>
    <w:rsid w:val="685968A7"/>
    <w:rsid w:val="68610A2F"/>
    <w:rsid w:val="68805514"/>
    <w:rsid w:val="689231B0"/>
    <w:rsid w:val="68EF7F35"/>
    <w:rsid w:val="691B2548"/>
    <w:rsid w:val="69297796"/>
    <w:rsid w:val="69316E2F"/>
    <w:rsid w:val="694E2071"/>
    <w:rsid w:val="69503064"/>
    <w:rsid w:val="696B5954"/>
    <w:rsid w:val="69766163"/>
    <w:rsid w:val="697A3B33"/>
    <w:rsid w:val="698373FC"/>
    <w:rsid w:val="698C6574"/>
    <w:rsid w:val="69BA3505"/>
    <w:rsid w:val="69C15EAB"/>
    <w:rsid w:val="69D35791"/>
    <w:rsid w:val="69D44760"/>
    <w:rsid w:val="6A520EC7"/>
    <w:rsid w:val="6A5535A1"/>
    <w:rsid w:val="6A850C55"/>
    <w:rsid w:val="6A91567B"/>
    <w:rsid w:val="6A97688C"/>
    <w:rsid w:val="6AAD334F"/>
    <w:rsid w:val="6AD96F31"/>
    <w:rsid w:val="6ADB17A6"/>
    <w:rsid w:val="6AF87E20"/>
    <w:rsid w:val="6B1E337F"/>
    <w:rsid w:val="6B322639"/>
    <w:rsid w:val="6B6A15BD"/>
    <w:rsid w:val="6B733C1C"/>
    <w:rsid w:val="6B7F3764"/>
    <w:rsid w:val="6B9B7B80"/>
    <w:rsid w:val="6BAE6C8C"/>
    <w:rsid w:val="6BD85D34"/>
    <w:rsid w:val="6BDE5ABF"/>
    <w:rsid w:val="6BE32258"/>
    <w:rsid w:val="6C0312FE"/>
    <w:rsid w:val="6C636C38"/>
    <w:rsid w:val="6C6C5248"/>
    <w:rsid w:val="6C841A18"/>
    <w:rsid w:val="6C845EBC"/>
    <w:rsid w:val="6C8A5EFB"/>
    <w:rsid w:val="6CD81604"/>
    <w:rsid w:val="6CED71A5"/>
    <w:rsid w:val="6D712CF6"/>
    <w:rsid w:val="6D742DC8"/>
    <w:rsid w:val="6DB20A89"/>
    <w:rsid w:val="6DB34098"/>
    <w:rsid w:val="6DB545B6"/>
    <w:rsid w:val="6DE02FB4"/>
    <w:rsid w:val="6DEE3792"/>
    <w:rsid w:val="6DF26345"/>
    <w:rsid w:val="6E436AE7"/>
    <w:rsid w:val="6E514CED"/>
    <w:rsid w:val="6E78661A"/>
    <w:rsid w:val="6E984576"/>
    <w:rsid w:val="6EB563D5"/>
    <w:rsid w:val="6ED92677"/>
    <w:rsid w:val="6EE50BB0"/>
    <w:rsid w:val="6F0E4E6C"/>
    <w:rsid w:val="6F225983"/>
    <w:rsid w:val="6F3518C1"/>
    <w:rsid w:val="6F6B2DDC"/>
    <w:rsid w:val="6F795A80"/>
    <w:rsid w:val="6FFC5590"/>
    <w:rsid w:val="702543E2"/>
    <w:rsid w:val="7040659E"/>
    <w:rsid w:val="70611BD8"/>
    <w:rsid w:val="706D1DD0"/>
    <w:rsid w:val="708342ED"/>
    <w:rsid w:val="70856B87"/>
    <w:rsid w:val="70952446"/>
    <w:rsid w:val="70B46822"/>
    <w:rsid w:val="70C6151E"/>
    <w:rsid w:val="70D527EE"/>
    <w:rsid w:val="715B5300"/>
    <w:rsid w:val="717630A6"/>
    <w:rsid w:val="71D27F8A"/>
    <w:rsid w:val="72071415"/>
    <w:rsid w:val="723D04AF"/>
    <w:rsid w:val="72553024"/>
    <w:rsid w:val="727A4F02"/>
    <w:rsid w:val="7292340F"/>
    <w:rsid w:val="72937D1F"/>
    <w:rsid w:val="72973529"/>
    <w:rsid w:val="72C459F3"/>
    <w:rsid w:val="72F5525D"/>
    <w:rsid w:val="73122968"/>
    <w:rsid w:val="731F5D5E"/>
    <w:rsid w:val="732D36B6"/>
    <w:rsid w:val="733A2330"/>
    <w:rsid w:val="734638D3"/>
    <w:rsid w:val="73BB7740"/>
    <w:rsid w:val="73C51AD5"/>
    <w:rsid w:val="73C93D4D"/>
    <w:rsid w:val="73E11809"/>
    <w:rsid w:val="741E793C"/>
    <w:rsid w:val="745E3944"/>
    <w:rsid w:val="74643BB6"/>
    <w:rsid w:val="7468534A"/>
    <w:rsid w:val="74D0410D"/>
    <w:rsid w:val="74F86D80"/>
    <w:rsid w:val="75142088"/>
    <w:rsid w:val="75556FF1"/>
    <w:rsid w:val="75703C85"/>
    <w:rsid w:val="758A10F1"/>
    <w:rsid w:val="759F534E"/>
    <w:rsid w:val="75BE15CC"/>
    <w:rsid w:val="75BE6A70"/>
    <w:rsid w:val="75D478B0"/>
    <w:rsid w:val="762634DE"/>
    <w:rsid w:val="7635099D"/>
    <w:rsid w:val="76734E2B"/>
    <w:rsid w:val="76B5530A"/>
    <w:rsid w:val="76E21B2F"/>
    <w:rsid w:val="7707324E"/>
    <w:rsid w:val="77762421"/>
    <w:rsid w:val="77905715"/>
    <w:rsid w:val="77A76560"/>
    <w:rsid w:val="77B56B1F"/>
    <w:rsid w:val="780F09F4"/>
    <w:rsid w:val="78474A20"/>
    <w:rsid w:val="7864114E"/>
    <w:rsid w:val="78774008"/>
    <w:rsid w:val="787753C8"/>
    <w:rsid w:val="78A90480"/>
    <w:rsid w:val="78C5709B"/>
    <w:rsid w:val="78E926E0"/>
    <w:rsid w:val="790712BC"/>
    <w:rsid w:val="7907499D"/>
    <w:rsid w:val="791607EF"/>
    <w:rsid w:val="796A49B6"/>
    <w:rsid w:val="797E314C"/>
    <w:rsid w:val="79DD238A"/>
    <w:rsid w:val="7A364017"/>
    <w:rsid w:val="7A466985"/>
    <w:rsid w:val="7A725FB1"/>
    <w:rsid w:val="7A8265E1"/>
    <w:rsid w:val="7B165BB8"/>
    <w:rsid w:val="7B2E54E9"/>
    <w:rsid w:val="7B672F52"/>
    <w:rsid w:val="7B686D42"/>
    <w:rsid w:val="7B6E75CC"/>
    <w:rsid w:val="7B841746"/>
    <w:rsid w:val="7B927F42"/>
    <w:rsid w:val="7BCB06E8"/>
    <w:rsid w:val="7C446297"/>
    <w:rsid w:val="7C5F329B"/>
    <w:rsid w:val="7C6218BA"/>
    <w:rsid w:val="7C6C5AC7"/>
    <w:rsid w:val="7C7C564D"/>
    <w:rsid w:val="7CA64EBB"/>
    <w:rsid w:val="7CC6544B"/>
    <w:rsid w:val="7CC7733D"/>
    <w:rsid w:val="7CDF6A6D"/>
    <w:rsid w:val="7CE01085"/>
    <w:rsid w:val="7D0239FF"/>
    <w:rsid w:val="7D1252BB"/>
    <w:rsid w:val="7D1D2424"/>
    <w:rsid w:val="7D5E40CD"/>
    <w:rsid w:val="7DA66CC8"/>
    <w:rsid w:val="7DCD56F2"/>
    <w:rsid w:val="7E3F5F3E"/>
    <w:rsid w:val="7EDC1B29"/>
    <w:rsid w:val="7EE40835"/>
    <w:rsid w:val="7EF833C5"/>
    <w:rsid w:val="7F001CE7"/>
    <w:rsid w:val="7F0C73BD"/>
    <w:rsid w:val="7F3C2F82"/>
    <w:rsid w:val="7F6D0B47"/>
    <w:rsid w:val="7F8B73C1"/>
    <w:rsid w:val="7F91368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numPr>
        <w:ilvl w:val="1"/>
        <w:numId w:val="1"/>
      </w:numPr>
      <w:ind w:firstLineChars="0"/>
      <w:outlineLvl w:val="1"/>
    </w:pPr>
    <w:rPr>
      <w:rFonts w:cs="宋体"/>
      <w:b/>
    </w:rPr>
  </w:style>
  <w:style w:type="paragraph" w:styleId="4">
    <w:name w:val="heading 3"/>
    <w:basedOn w:val="1"/>
    <w:next w:val="1"/>
    <w:unhideWhenUsed/>
    <w:qFormat/>
    <w:locked/>
    <w:uiPriority w:val="0"/>
    <w:pPr>
      <w:keepNext/>
      <w:keepLines/>
      <w:spacing w:line="360" w:lineRule="auto"/>
      <w:jc w:val="left"/>
      <w:outlineLvl w:val="2"/>
    </w:pPr>
    <w:rPr>
      <w:rFonts w:ascii="Times New Roman" w:hAnsi="Times New Roman" w:eastAsia="宋体"/>
      <w:sz w:val="24"/>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5">
    <w:name w:val="List 3"/>
    <w:basedOn w:val="1"/>
    <w:next w:val="1"/>
    <w:qFormat/>
    <w:locked/>
    <w:uiPriority w:val="0"/>
    <w:pPr>
      <w:autoSpaceDE w:val="0"/>
      <w:autoSpaceDN w:val="0"/>
      <w:adjustRightInd w:val="0"/>
      <w:spacing w:line="288" w:lineRule="auto"/>
      <w:ind w:left="1260" w:hanging="420"/>
      <w:jc w:val="left"/>
      <w:textAlignment w:val="baseline"/>
    </w:pPr>
    <w:rPr>
      <w:kern w:val="0"/>
      <w:szCs w:val="20"/>
    </w:rPr>
  </w:style>
  <w:style w:type="paragraph" w:styleId="6">
    <w:name w:val="Note Heading"/>
    <w:basedOn w:val="1"/>
    <w:next w:val="1"/>
    <w:qFormat/>
    <w:locked/>
    <w:uiPriority w:val="0"/>
    <w:pPr>
      <w:spacing w:line="240" w:lineRule="auto"/>
      <w:ind w:firstLine="0" w:firstLineChars="0"/>
      <w:jc w:val="center"/>
    </w:pPr>
    <w:rPr>
      <w:rFonts w:cs="宋体"/>
      <w:b/>
    </w:rPr>
  </w:style>
  <w:style w:type="paragraph" w:styleId="7">
    <w:name w:val="Normal Indent"/>
    <w:basedOn w:val="1"/>
    <w:next w:val="1"/>
    <w:qFormat/>
    <w:locked/>
    <w:uiPriority w:val="0"/>
    <w:pPr>
      <w:ind w:firstLine="420"/>
    </w:pPr>
    <w:rPr>
      <w:szCs w:val="20"/>
    </w:rPr>
  </w:style>
  <w:style w:type="paragraph" w:styleId="8">
    <w:name w:val="annotation text"/>
    <w:basedOn w:val="1"/>
    <w:link w:val="26"/>
    <w:semiHidden/>
    <w:qFormat/>
    <w:uiPriority w:val="0"/>
    <w:pPr>
      <w:jc w:val="left"/>
    </w:pPr>
    <w:rPr>
      <w:kern w:val="0"/>
      <w:sz w:val="24"/>
      <w:szCs w:val="20"/>
    </w:rPr>
  </w:style>
  <w:style w:type="paragraph" w:styleId="9">
    <w:name w:val="Body Text"/>
    <w:basedOn w:val="1"/>
    <w:link w:val="27"/>
    <w:qFormat/>
    <w:uiPriority w:val="0"/>
    <w:pPr>
      <w:widowControl/>
      <w:snapToGrid w:val="0"/>
      <w:spacing w:before="60" w:after="160" w:line="259" w:lineRule="auto"/>
      <w:ind w:right="113"/>
    </w:pPr>
    <w:rPr>
      <w:kern w:val="0"/>
      <w:sz w:val="18"/>
      <w:szCs w:val="20"/>
    </w:rPr>
  </w:style>
  <w:style w:type="paragraph" w:styleId="10">
    <w:name w:val="Body Text Indent"/>
    <w:basedOn w:val="1"/>
    <w:link w:val="28"/>
    <w:qFormat/>
    <w:uiPriority w:val="0"/>
    <w:pPr>
      <w:spacing w:after="120"/>
      <w:ind w:left="420" w:leftChars="200"/>
    </w:pPr>
    <w:rPr>
      <w:kern w:val="0"/>
      <w:sz w:val="24"/>
      <w:szCs w:val="20"/>
    </w:rPr>
  </w:style>
  <w:style w:type="paragraph" w:styleId="11">
    <w:name w:val="Date"/>
    <w:basedOn w:val="1"/>
    <w:next w:val="1"/>
    <w:link w:val="29"/>
    <w:qFormat/>
    <w:uiPriority w:val="0"/>
    <w:pPr>
      <w:ind w:left="100" w:leftChars="2500"/>
    </w:pPr>
    <w:rPr>
      <w:kern w:val="0"/>
      <w:sz w:val="24"/>
      <w:szCs w:val="20"/>
    </w:rPr>
  </w:style>
  <w:style w:type="paragraph" w:styleId="12">
    <w:name w:val="Balloon Text"/>
    <w:basedOn w:val="1"/>
    <w:link w:val="30"/>
    <w:semiHidden/>
    <w:qFormat/>
    <w:uiPriority w:val="0"/>
    <w:rPr>
      <w:kern w:val="0"/>
      <w:sz w:val="18"/>
      <w:szCs w:val="20"/>
    </w:rPr>
  </w:style>
  <w:style w:type="paragraph" w:styleId="13">
    <w:name w:val="footer"/>
    <w:basedOn w:val="1"/>
    <w:link w:val="31"/>
    <w:qFormat/>
    <w:uiPriority w:val="99"/>
    <w:pPr>
      <w:tabs>
        <w:tab w:val="center" w:pos="4153"/>
        <w:tab w:val="right" w:pos="8306"/>
      </w:tabs>
      <w:snapToGrid w:val="0"/>
      <w:jc w:val="left"/>
    </w:pPr>
    <w:rPr>
      <w:kern w:val="0"/>
      <w:sz w:val="18"/>
      <w:szCs w:val="20"/>
    </w:rPr>
  </w:style>
  <w:style w:type="paragraph" w:styleId="14">
    <w:name w:val="header"/>
    <w:basedOn w:val="1"/>
    <w:link w:val="32"/>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semiHidden/>
    <w:qFormat/>
    <w:locked/>
    <w:uiPriority w:val="0"/>
  </w:style>
  <w:style w:type="paragraph" w:styleId="16">
    <w:name w:val="index 1"/>
    <w:basedOn w:val="1"/>
    <w:next w:val="1"/>
    <w:qFormat/>
    <w:locked/>
    <w:uiPriority w:val="0"/>
  </w:style>
  <w:style w:type="paragraph" w:styleId="17">
    <w:name w:val="Normal (Web)"/>
    <w:basedOn w:val="1"/>
    <w:link w:val="33"/>
    <w:qFormat/>
    <w:uiPriority w:val="0"/>
    <w:pPr>
      <w:widowControl/>
      <w:spacing w:before="100" w:beforeAutospacing="1" w:after="100" w:afterAutospacing="1"/>
      <w:jc w:val="left"/>
    </w:pPr>
    <w:rPr>
      <w:rFonts w:ascii="宋体" w:hAnsi="宋体"/>
      <w:kern w:val="0"/>
      <w:sz w:val="24"/>
      <w:szCs w:val="20"/>
    </w:rPr>
  </w:style>
  <w:style w:type="paragraph" w:styleId="18">
    <w:name w:val="Title"/>
    <w:basedOn w:val="1"/>
    <w:next w:val="1"/>
    <w:qFormat/>
    <w:locked/>
    <w:uiPriority w:val="0"/>
    <w:pPr>
      <w:spacing w:beforeLines="50"/>
      <w:jc w:val="center"/>
    </w:pPr>
    <w:rPr>
      <w:b/>
      <w:bCs/>
      <w:kern w:val="0"/>
      <w:sz w:val="24"/>
      <w:szCs w:val="32"/>
    </w:rPr>
  </w:style>
  <w:style w:type="paragraph" w:styleId="19">
    <w:name w:val="annotation subject"/>
    <w:basedOn w:val="8"/>
    <w:next w:val="8"/>
    <w:link w:val="34"/>
    <w:semiHidden/>
    <w:qFormat/>
    <w:uiPriority w:val="0"/>
    <w:rPr>
      <w:b/>
      <w:sz w:val="24"/>
      <w:szCs w:val="20"/>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locked/>
    <w:uiPriority w:val="0"/>
    <w:rPr>
      <w:b/>
    </w:rPr>
  </w:style>
  <w:style w:type="character" w:styleId="24">
    <w:name w:val="page number"/>
    <w:basedOn w:val="22"/>
    <w:qFormat/>
    <w:locked/>
    <w:uiPriority w:val="0"/>
  </w:style>
  <w:style w:type="character" w:styleId="25">
    <w:name w:val="annotation reference"/>
    <w:semiHidden/>
    <w:qFormat/>
    <w:uiPriority w:val="0"/>
    <w:rPr>
      <w:sz w:val="21"/>
    </w:rPr>
  </w:style>
  <w:style w:type="character" w:customStyle="1" w:styleId="26">
    <w:name w:val="批注文字 Char"/>
    <w:link w:val="8"/>
    <w:qFormat/>
    <w:locked/>
    <w:uiPriority w:val="0"/>
    <w:rPr>
      <w:rFonts w:ascii="Times New Roman" w:hAnsi="Times New Roman" w:eastAsia="宋体"/>
      <w:sz w:val="24"/>
    </w:rPr>
  </w:style>
  <w:style w:type="character" w:customStyle="1" w:styleId="27">
    <w:name w:val="正文文本 Char"/>
    <w:link w:val="9"/>
    <w:qFormat/>
    <w:locked/>
    <w:uiPriority w:val="0"/>
    <w:rPr>
      <w:sz w:val="18"/>
    </w:rPr>
  </w:style>
  <w:style w:type="character" w:customStyle="1" w:styleId="28">
    <w:name w:val="正文文本缩进 Char"/>
    <w:link w:val="10"/>
    <w:semiHidden/>
    <w:qFormat/>
    <w:locked/>
    <w:uiPriority w:val="0"/>
    <w:rPr>
      <w:rFonts w:ascii="Times New Roman" w:hAnsi="Times New Roman" w:eastAsia="宋体"/>
      <w:sz w:val="24"/>
    </w:rPr>
  </w:style>
  <w:style w:type="character" w:customStyle="1" w:styleId="29">
    <w:name w:val="日期 Char"/>
    <w:link w:val="11"/>
    <w:qFormat/>
    <w:locked/>
    <w:uiPriority w:val="0"/>
    <w:rPr>
      <w:rFonts w:ascii="Times New Roman" w:hAnsi="Times New Roman" w:eastAsia="宋体"/>
      <w:sz w:val="24"/>
    </w:rPr>
  </w:style>
  <w:style w:type="character" w:customStyle="1" w:styleId="30">
    <w:name w:val="批注框文本 Char"/>
    <w:link w:val="12"/>
    <w:semiHidden/>
    <w:qFormat/>
    <w:locked/>
    <w:uiPriority w:val="0"/>
    <w:rPr>
      <w:rFonts w:ascii="Times New Roman" w:hAnsi="Times New Roman" w:eastAsia="宋体"/>
      <w:sz w:val="18"/>
    </w:rPr>
  </w:style>
  <w:style w:type="character" w:customStyle="1" w:styleId="31">
    <w:name w:val="页脚 Char"/>
    <w:link w:val="13"/>
    <w:qFormat/>
    <w:locked/>
    <w:uiPriority w:val="99"/>
    <w:rPr>
      <w:sz w:val="18"/>
    </w:rPr>
  </w:style>
  <w:style w:type="character" w:customStyle="1" w:styleId="32">
    <w:name w:val="页眉 Char"/>
    <w:link w:val="14"/>
    <w:qFormat/>
    <w:locked/>
    <w:uiPriority w:val="0"/>
    <w:rPr>
      <w:sz w:val="18"/>
    </w:rPr>
  </w:style>
  <w:style w:type="character" w:customStyle="1" w:styleId="33">
    <w:name w:val="普通(网站) Char"/>
    <w:link w:val="17"/>
    <w:qFormat/>
    <w:locked/>
    <w:uiPriority w:val="0"/>
    <w:rPr>
      <w:rFonts w:ascii="宋体" w:hAnsi="宋体" w:eastAsia="宋体"/>
      <w:sz w:val="24"/>
    </w:rPr>
  </w:style>
  <w:style w:type="character" w:customStyle="1" w:styleId="34">
    <w:name w:val="批注主题 Char"/>
    <w:link w:val="19"/>
    <w:semiHidden/>
    <w:qFormat/>
    <w:locked/>
    <w:uiPriority w:val="0"/>
    <w:rPr>
      <w:rFonts w:ascii="Times New Roman" w:hAnsi="Times New Roman" w:eastAsia="宋体"/>
      <w:b/>
      <w:kern w:val="2"/>
      <w:sz w:val="24"/>
    </w:rPr>
  </w:style>
  <w:style w:type="character" w:customStyle="1" w:styleId="35">
    <w:name w:val="页脚 字符"/>
    <w:basedOn w:val="22"/>
    <w:qFormat/>
    <w:uiPriority w:val="99"/>
  </w:style>
  <w:style w:type="character" w:customStyle="1" w:styleId="36">
    <w:name w:val="正文文本 字符1"/>
    <w:semiHidden/>
    <w:qFormat/>
    <w:uiPriority w:val="0"/>
    <w:rPr>
      <w:rFonts w:ascii="Times New Roman" w:hAnsi="Times New Roman" w:eastAsia="宋体"/>
      <w:sz w:val="24"/>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文字 字符1"/>
    <w:semiHidden/>
    <w:qFormat/>
    <w:uiPriority w:val="0"/>
    <w:rPr>
      <w:rFonts w:ascii="Times New Roman" w:hAnsi="Times New Roman" w:eastAsia="宋体"/>
      <w:sz w:val="24"/>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3">
    <w:name w:val="Table Text"/>
    <w:basedOn w:val="1"/>
    <w:semiHidden/>
    <w:qFormat/>
    <w:uiPriority w:val="0"/>
    <w:rPr>
      <w:rFonts w:ascii="宋体" w:hAnsi="宋体" w:eastAsia="宋体" w:cs="宋体"/>
      <w:sz w:val="24"/>
      <w:szCs w:val="24"/>
      <w:lang w:val="en-US" w:eastAsia="en-US" w:bidi="ar-SA"/>
    </w:rPr>
  </w:style>
  <w:style w:type="table" w:customStyle="1" w:styleId="44">
    <w:name w:val="Table Normal"/>
    <w:unhideWhenUsed/>
    <w:qFormat/>
    <w:uiPriority w:val="0"/>
    <w:tblPr>
      <w:tblCellMar>
        <w:top w:w="0" w:type="dxa"/>
        <w:left w:w="0" w:type="dxa"/>
        <w:bottom w:w="0" w:type="dxa"/>
        <w:right w:w="0" w:type="dxa"/>
      </w:tblCellMar>
    </w:tblPr>
  </w:style>
  <w:style w:type="paragraph" w:customStyle="1" w:styleId="45">
    <w:name w:val="样式 标题 3"/>
    <w:basedOn w:val="4"/>
    <w:qFormat/>
    <w:uiPriority w:val="0"/>
    <w:pPr>
      <w:spacing w:before="100" w:after="100" w:line="460" w:lineRule="exact"/>
      <w:ind w:firstLine="0" w:firstLineChars="0"/>
    </w:pPr>
    <w:rPr>
      <w:rFonts w:cs="宋体"/>
      <w:sz w:val="28"/>
      <w:szCs w:val="20"/>
    </w:rPr>
  </w:style>
  <w:style w:type="paragraph" w:customStyle="1" w:styleId="46">
    <w:name w:val="Default"/>
    <w:basedOn w:val="47"/>
    <w:next w:val="5"/>
    <w:qFormat/>
    <w:uiPriority w:val="0"/>
    <w:pPr>
      <w:widowControl w:val="0"/>
      <w:autoSpaceDE w:val="0"/>
      <w:autoSpaceDN w:val="0"/>
      <w:adjustRightInd w:val="0"/>
    </w:pPr>
    <w:rPr>
      <w:rFonts w:ascii="幼圆" w:hAnsi="Times New Roman" w:eastAsia="幼圆" w:cs="Times New Roman"/>
      <w:color w:val="000000"/>
      <w:sz w:val="24"/>
      <w:szCs w:val="24"/>
      <w:lang w:val="en-US" w:eastAsia="zh-CN" w:bidi="ar-SA"/>
    </w:rPr>
  </w:style>
  <w:style w:type="paragraph" w:customStyle="1" w:styleId="47">
    <w:name w:val="纯文本1"/>
    <w:basedOn w:val="1"/>
    <w:autoRedefine/>
    <w:qFormat/>
    <w:uiPriority w:val="0"/>
    <w:pPr>
      <w:adjustRightInd w:val="0"/>
    </w:pPr>
    <w:rPr>
      <w:rFonts w:ascii="宋体" w:hAnsi="Courier New"/>
      <w:szCs w:val="20"/>
    </w:rPr>
  </w:style>
  <w:style w:type="paragraph" w:customStyle="1" w:styleId="48">
    <w:name w:val="表格正文"/>
    <w:basedOn w:val="1"/>
    <w:autoRedefine/>
    <w:qFormat/>
    <w:uiPriority w:val="0"/>
    <w:pPr>
      <w:snapToGrid w:val="0"/>
      <w:spacing w:line="240" w:lineRule="auto"/>
      <w:ind w:firstLine="0" w:firstLineChars="0"/>
    </w:pPr>
    <w:rPr>
      <w:snapToGrid w:val="0"/>
      <w:sz w:val="21"/>
      <w:szCs w:val="21"/>
    </w:rPr>
  </w:style>
  <w:style w:type="paragraph" w:customStyle="1" w:styleId="49">
    <w:name w:val="表格抬头"/>
    <w:basedOn w:val="1"/>
    <w:autoRedefine/>
    <w:qFormat/>
    <w:uiPriority w:val="0"/>
    <w:pPr>
      <w:snapToGrid w:val="0"/>
      <w:spacing w:line="240" w:lineRule="auto"/>
      <w:ind w:firstLine="0" w:firstLineChars="0"/>
      <w:jc w:val="center"/>
    </w:pPr>
    <w:rPr>
      <w:snapToGrid w:val="0"/>
      <w:sz w:val="21"/>
      <w:szCs w:val="21"/>
    </w:rPr>
  </w:style>
  <w:style w:type="paragraph" w:customStyle="1" w:styleId="50">
    <w:name w:val="表中文字"/>
    <w:basedOn w:val="1"/>
    <w:autoRedefine/>
    <w:qFormat/>
    <w:uiPriority w:val="0"/>
    <w:pPr>
      <w:adjustRightInd w:val="0"/>
      <w:snapToGrid w:val="0"/>
      <w:spacing w:line="400" w:lineRule="exact"/>
      <w:jc w:val="center"/>
    </w:pPr>
  </w:style>
  <w:style w:type="paragraph" w:customStyle="1" w:styleId="51">
    <w:name w:val="0正文"/>
    <w:basedOn w:val="1"/>
    <w:autoRedefine/>
    <w:qFormat/>
    <w:uiPriority w:val="0"/>
    <w:pPr>
      <w:adjustRightInd w:val="0"/>
      <w:snapToGrid w:val="0"/>
      <w:spacing w:line="460" w:lineRule="exact"/>
      <w:ind w:firstLine="200" w:firstLineChars="200"/>
    </w:pPr>
    <w:rPr>
      <w:rFonts w:eastAsia="宋体" w:cs="Times New Roman"/>
      <w:color w:val="000000"/>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oleObject" Target="embeddings/oleObject2.bin"/><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wmf"/><Relationship Id="rId15" Type="http://schemas.openxmlformats.org/officeDocument/2006/relationships/oleObject" Target="embeddings/oleObject1.bin"/><Relationship Id="rId14" Type="http://schemas.openxmlformats.org/officeDocument/2006/relationships/image" Target="media/image6.wm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AzNzcyNTY4NjQ2IiwKCSJHcm91cElkIiA6ICIzNzUzMjM5ODIiLAoJIkltYWdlIiA6ICJpVkJPUncwS0dnb0FBQUFOU1VoRVVnQUFCaFFBQUFkb0NBWUFBQURjZXlSNkFBQUFBWE5TUjBJQXJzNGM2UUFBSUFCSlJFRlVlSnpzM1h0NFhWV2RQLzdQT2lkcDA5SUFMUlVRaTFTb2dGRFNuQllWeGdFRVFSM2txNElqZzM2UjJ5aVA0OEJQQk1RTE53VkdSeGdZVVdmQXJ4Y1VsY0ViQ2lnQ2pwUnJpMENUTkMyRlFoazZVS0JBR1FxOXBzazU2L2RIbTA0dlNYWkxrNmJGMSt0NWZITE8zbXV0L2RuU252VFo3N1BXa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lNy9BVkFHN1JjeEpWS3hBQUFBQUVsRlRrU3VRbUNDIiwKCSJUaGVtZSIgOiAiIiwKCSJUeXBlIiA6ICJmbG93IiwKCSJVc2VySWQiIDogIjM3MDIwNjY0NiIsCgkiVmVyc2lvbiIgOiAiMTgiCn0K"/>
    </extobj>
    <extobj name="ECB019B1-382A-4266-B25C-5B523AA43C14-2">
      <extobjdata type="ECB019B1-382A-4266-B25C-5B523AA43C14" data="ewoJIkZpbGVJZCIgOiAiNDAzNzkyNTY4ODY2IiwKCSJHcm91cElkIiA6ICIzNzUzMjM5ODIiLAoJIkltYWdlIiA6ICJpVkJPUncwS0dnb0FBQUFOU1VoRVVnQUFDSEFBQUFRT0NBWUFBQUM1UkYyc0FBQUFBWE5TUjBJQXJzNGM2UUFBSUFCSlJFRlVlSnpzM1hkYzFXWC94L0gzNFJ3MkNDcHUzSmtyTlhQbkpFeTdOZEhNa1pibHlIVnJwcmVhM1pyZDRsN2t1RFZIcFdtbTVxMm91Q2NtcGVVZU9aSnlTeUNvaU1qd0hEaS9QM2h3ZmhKRFVJelUxL1B4OEJGYzMydDhEc1ZWajY3UDkvcE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xyWi93Y2NDMHFSNWs4MG9BQUFBQUJKUlU1RXJrSmdnZz09IiwKCSJUaGVtZSIgOiAiIiwKCSJUeXBlIiA6ICJmbG93IiwKCSJVc2VySWQiIDogIjM3MDIwNjY0NiIsCgkiVmVyc2lvbiIgOiAiN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92</Pages>
  <Words>2667</Words>
  <Characters>2930</Characters>
  <Lines>13</Lines>
  <Paragraphs>3</Paragraphs>
  <TotalTime>7</TotalTime>
  <ScaleCrop>false</ScaleCrop>
  <LinksUpToDate>false</LinksUpToDate>
  <CharactersWithSpaces>3225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我要改名字了</cp:lastModifiedBy>
  <cp:lastPrinted>2020-12-29T02:43:00Z</cp:lastPrinted>
  <dcterms:modified xsi:type="dcterms:W3CDTF">2025-07-10T03:08:42Z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5160A462BE914B8C9E6688D4B30E6A49_13</vt:lpwstr>
  </property>
  <property fmtid="{D5CDD505-2E9C-101B-9397-08002B2CF9AE}" pid="4" name="KSOTemplateDocerSaveRecord">
    <vt:lpwstr>eyJoZGlkIjoiYjg0YTQ1ZjlmMWEzYjJiYTI4ZWRlYWZmMGZkZjA4NDYiLCJ1c2VySWQiOiIzNzAyMDY2NDYifQ==</vt:lpwstr>
  </property>
</Properties>
</file>