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C5AE8">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重庆市璧山区来凤街道社区文化服务中心</w:t>
      </w:r>
    </w:p>
    <w:p w14:paraId="5C9D0A91">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6FA3E9F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基本情况</w:t>
      </w:r>
    </w:p>
    <w:p w14:paraId="1FBEBA8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主要职能。负责文化娱乐、文化宣传、文化推广、文化遗产、文物保护、文化市场、电影、广播电视、体育、科技培训、旅游等文化和旅游方面的事务性工作。</w:t>
      </w:r>
    </w:p>
    <w:p w14:paraId="4695E43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w:t>
      </w:r>
      <w:r>
        <w:rPr>
          <w:rStyle w:val="10"/>
          <w:rFonts w:hint="default" w:ascii="Times New Roman" w:hAnsi="Times New Roman" w:eastAsia="黑体" w:cs="Times New Roman"/>
          <w:sz w:val="32"/>
          <w:szCs w:val="32"/>
          <w:shd w:val="clear" w:color="auto" w:fill="FFFFFF"/>
          <w:lang w:eastAsia="zh-CN"/>
        </w:rPr>
        <w:t>部门</w:t>
      </w:r>
      <w:r>
        <w:rPr>
          <w:rStyle w:val="10"/>
          <w:rFonts w:hint="default" w:ascii="Times New Roman" w:hAnsi="Times New Roman" w:eastAsia="黑体" w:cs="Times New Roman"/>
          <w:sz w:val="32"/>
          <w:szCs w:val="32"/>
          <w:shd w:val="clear" w:color="auto" w:fill="FFFFFF"/>
        </w:rPr>
        <w:t>决算</w:t>
      </w:r>
      <w:r>
        <w:rPr>
          <w:rStyle w:val="10"/>
          <w:rFonts w:hint="default" w:ascii="Times New Roman" w:hAnsi="Times New Roman" w:eastAsia="黑体" w:cs="Times New Roman"/>
          <w:sz w:val="32"/>
          <w:szCs w:val="32"/>
          <w:shd w:val="clear" w:color="auto" w:fill="FFFFFF"/>
          <w:lang w:eastAsia="zh-CN"/>
        </w:rPr>
        <w:t>收支</w:t>
      </w:r>
      <w:r>
        <w:rPr>
          <w:rStyle w:val="10"/>
          <w:rFonts w:hint="default" w:ascii="Times New Roman" w:hAnsi="Times New Roman" w:eastAsia="黑体" w:cs="Times New Roman"/>
          <w:sz w:val="32"/>
          <w:szCs w:val="32"/>
          <w:shd w:val="clear" w:color="auto" w:fill="FFFFFF"/>
        </w:rPr>
        <w:t>情况说明</w:t>
      </w:r>
    </w:p>
    <w:p w14:paraId="2B7B07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（一）收入支出决算总体情况说明。</w:t>
      </w:r>
    </w:p>
    <w:p w14:paraId="75703A9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1.总体情况。202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万元，支出总计</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万元。收支较上年决算数增加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3DA6DE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主要原因是本单位为2024年拆分新增事业单位，年初预算在原行政账套。其中：一般公共预算财政拨款</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%；政府性基金预算财政拨款</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%；经营收入0.00万元，占0.00%；其他收入0.00万元，占0.00%。此外，使用非财政拨款结余和专用结余0.00万元，年初结转和结余0.00万元。</w:t>
      </w:r>
    </w:p>
    <w:p w14:paraId="1DC395B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%；项目支出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%；经营支出0.00万元，占0.00%。此外，结余分配0.00万元。</w:t>
      </w:r>
    </w:p>
    <w:p w14:paraId="5A21CF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方正仿宋_GBK" w:cs="Times New Roman"/>
          <w:color w:val="auto"/>
          <w:sz w:val="32"/>
          <w:szCs w:val="32"/>
          <w:shd w:val="clear" w:color="auto" w:fill="FFFFFF"/>
        </w:rPr>
        <w:t>4.结转结余情况。202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年度年末结转和结余0.00万元，较上年决算数无增减。</w:t>
      </w:r>
    </w:p>
    <w:p w14:paraId="2EAAF41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（二）财政拨款收入支出决算总体情况说明</w:t>
      </w:r>
    </w:p>
    <w:p w14:paraId="02AF3A1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w:t>
      </w:r>
    </w:p>
    <w:p w14:paraId="1EC2A8D6">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sz w:val="32"/>
          <w:szCs w:val="32"/>
          <w:shd w:val="clear" w:color="auto" w:fill="FFFFFF"/>
          <w:lang w:val="en-US" w:eastAsia="zh-CN" w:bidi="ar"/>
        </w:rPr>
      </w:pPr>
      <w:r>
        <w:rPr>
          <w:rFonts w:hint="default" w:ascii="Times New Roman" w:hAnsi="Times New Roman" w:eastAsia="楷体" w:cs="Times New Roman"/>
          <w:b/>
          <w:bCs/>
          <w:sz w:val="32"/>
          <w:szCs w:val="32"/>
          <w:shd w:val="clear" w:color="auto" w:fill="FFFFFF"/>
          <w:lang w:val="en-US" w:eastAsia="zh-CN" w:bidi="ar"/>
        </w:rPr>
        <w:t>一般公共预算财政拨款收入支出决算情况说明</w:t>
      </w:r>
    </w:p>
    <w:p w14:paraId="2C84F7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1.收入情况。202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增加107.28</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此外，年初财政拨款结转和结余0.00万元。</w:t>
      </w:r>
    </w:p>
    <w:p w14:paraId="6BD44C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2.支出情况。202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万元，增加</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。较年初预算数</w:t>
      </w:r>
      <w:r>
        <w:rPr>
          <w:rFonts w:hint="default" w:ascii="Times New Roman" w:hAnsi="Times New Roman" w:eastAsia="方正仿宋_GBK" w:cs="Times New Roman"/>
          <w:color w:val="auto"/>
          <w:sz w:val="32"/>
          <w:szCs w:val="32"/>
          <w:shd w:val="clear" w:color="auto" w:fill="FFFFFF"/>
          <w:lang w:val="en-US" w:eastAsia="zh-CN"/>
        </w:rPr>
        <w:t>增加107.28</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r>
        <w:rPr>
          <w:rFonts w:hint="default" w:ascii="Times New Roman" w:hAnsi="Times New Roman" w:eastAsia="方正仿宋_GBK" w:cs="Times New Roman"/>
          <w:color w:val="auto"/>
          <w:sz w:val="32"/>
          <w:szCs w:val="32"/>
          <w:shd w:val="clear" w:color="auto" w:fill="FFFFFF"/>
          <w:lang w:eastAsia="zh-CN"/>
        </w:rPr>
        <w:t>。</w:t>
      </w:r>
    </w:p>
    <w:p w14:paraId="1508B2E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3.结转结余情况。202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年度年末一般公共预算财政拨款结转和结余0.00万元，较上年决算数无增减。</w:t>
      </w:r>
    </w:p>
    <w:p w14:paraId="146C60D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shd w:val="clear" w:color="auto" w:fill="FFFFFF"/>
        </w:rPr>
        <w:t>4.比较情况。本部门202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default" w:ascii="Times New Roman" w:hAnsi="Times New Roman" w:eastAsia="方正仿宋_GBK" w:cs="Times New Roman"/>
          <w:sz w:val="32"/>
          <w:szCs w:val="32"/>
          <w:shd w:val="clear" w:color="auto" w:fill="FFFFFF"/>
        </w:rPr>
        <w:t>一般公共预算财政拨款支出主要用于以下几个方面：</w:t>
      </w:r>
    </w:p>
    <w:p w14:paraId="5166FFF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）文化旅游体育与传媒支出</w:t>
      </w:r>
      <w:r>
        <w:rPr>
          <w:rFonts w:hint="default" w:ascii="Times New Roman" w:hAnsi="Times New Roman" w:eastAsia="方正仿宋_GBK" w:cs="Times New Roman"/>
          <w:color w:val="auto"/>
          <w:sz w:val="32"/>
          <w:szCs w:val="32"/>
          <w:shd w:val="clear" w:color="auto" w:fill="FFFFFF"/>
          <w:lang w:val="en-US" w:eastAsia="zh-CN"/>
        </w:rPr>
        <w:t>91.62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85.40</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33.3</w:t>
      </w:r>
      <w:r>
        <w:rPr>
          <w:rFonts w:hint="default" w:ascii="Times New Roman" w:hAnsi="Times New Roman" w:eastAsia="方正仿宋_GBK" w:cs="Times New Roman"/>
          <w:color w:val="auto"/>
          <w:sz w:val="32"/>
          <w:szCs w:val="32"/>
          <w:shd w:val="clear" w:color="auto" w:fill="FFFFFF"/>
        </w:rPr>
        <w:t>0万元，上升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2C1C0F9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）社会保障和就业支出</w:t>
      </w:r>
      <w:r>
        <w:rPr>
          <w:rFonts w:hint="default" w:ascii="Times New Roman" w:hAnsi="Times New Roman" w:eastAsia="方正仿宋_GBK" w:cs="Times New Roman"/>
          <w:color w:val="auto"/>
          <w:sz w:val="32"/>
          <w:szCs w:val="32"/>
          <w:shd w:val="clear" w:color="auto" w:fill="FFFFFF"/>
          <w:lang w:val="en-US" w:eastAsia="zh-CN"/>
        </w:rPr>
        <w:t>6.75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6.29</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6.75</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2E2260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shd w:val="clear" w:color="auto" w:fill="FFFFFF"/>
          <w:lang w:val="en-US" w:eastAsia="zh-CN"/>
        </w:rPr>
        <w:t>3.91</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3.65</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3.91</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5CBBFBE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）住房保障支出</w:t>
      </w:r>
      <w:r>
        <w:rPr>
          <w:rFonts w:hint="default" w:ascii="Times New Roman" w:hAnsi="Times New Roman" w:eastAsia="方正仿宋_GBK" w:cs="Times New Roman"/>
          <w:color w:val="auto"/>
          <w:sz w:val="32"/>
          <w:szCs w:val="32"/>
          <w:shd w:val="clear" w:color="auto" w:fill="FFFFFF"/>
          <w:lang w:val="en-US" w:eastAsia="zh-CN"/>
        </w:rPr>
        <w:t>5.00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shd w:val="clear" w:color="auto" w:fill="FFFFFF"/>
          <w:lang w:val="en-US" w:eastAsia="zh-CN"/>
        </w:rPr>
        <w:t>4.66</w:t>
      </w:r>
      <w:r>
        <w:rPr>
          <w:rFonts w:hint="default" w:ascii="Times New Roman" w:hAnsi="Times New Roman" w:eastAsia="方正仿宋_GBK" w:cs="Times New Roman"/>
          <w:color w:val="auto"/>
          <w:sz w:val="32"/>
          <w:szCs w:val="32"/>
          <w:shd w:val="clear" w:color="auto" w:fill="FFFFFF"/>
        </w:rPr>
        <w:t>%，较年初预算数增加</w:t>
      </w:r>
      <w:r>
        <w:rPr>
          <w:rFonts w:hint="default" w:ascii="Times New Roman" w:hAnsi="Times New Roman" w:eastAsia="方正仿宋_GBK" w:cs="Times New Roman"/>
          <w:color w:val="auto"/>
          <w:sz w:val="32"/>
          <w:szCs w:val="32"/>
          <w:shd w:val="clear" w:color="auto" w:fill="FFFFFF"/>
          <w:lang w:val="en-US" w:eastAsia="zh-CN"/>
        </w:rPr>
        <w:t>5.00</w:t>
      </w:r>
      <w:r>
        <w:rPr>
          <w:rFonts w:hint="default" w:ascii="Times New Roman" w:hAnsi="Times New Roman" w:eastAsia="方正仿宋_GBK" w:cs="Times New Roman"/>
          <w:color w:val="auto"/>
          <w:sz w:val="32"/>
          <w:szCs w:val="32"/>
          <w:shd w:val="clear" w:color="auto" w:fill="FFFFFF"/>
        </w:rPr>
        <w:t>万元，上升</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%，主要原因是本单位为2024年拆分新增事业单位，年初预算在原行政账套。</w:t>
      </w:r>
    </w:p>
    <w:p w14:paraId="6A87B822">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（四）一般公共预算财政拨款基本支出决算情况说明</w:t>
      </w:r>
    </w:p>
    <w:p w14:paraId="7DD42388">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default" w:ascii="Times New Roman" w:hAnsi="Times New Roman" w:eastAsia="方正仿宋_GBK" w:cs="Times New Roman"/>
          <w:color w:val="auto"/>
          <w:sz w:val="32"/>
          <w:szCs w:val="32"/>
          <w:shd w:val="clear" w:color="auto" w:fill="FFFFFF"/>
          <w:lang w:val="en-US" w:eastAsia="zh-CN"/>
        </w:rPr>
        <w:t>107.28</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shd w:val="clear" w:color="auto" w:fill="FFFFFF"/>
          <w:lang w:val="en-US" w:eastAsia="zh-CN"/>
        </w:rPr>
        <w:t>88.87</w:t>
      </w:r>
      <w:r>
        <w:rPr>
          <w:rFonts w:hint="default" w:ascii="Times New Roman" w:hAnsi="Times New Roman" w:eastAsia="方正仿宋_GBK" w:cs="Times New Roman"/>
          <w:color w:val="auto"/>
          <w:sz w:val="32"/>
          <w:szCs w:val="32"/>
          <w:shd w:val="clear" w:color="auto" w:fill="FFFFFF"/>
        </w:rPr>
        <w:t>万元，较上年决算数增加</w:t>
      </w:r>
      <w:r>
        <w:rPr>
          <w:rFonts w:hint="default" w:ascii="Times New Roman" w:hAnsi="Times New Roman" w:eastAsia="方正仿宋_GBK" w:cs="Times New Roman"/>
          <w:color w:val="auto"/>
          <w:sz w:val="32"/>
          <w:szCs w:val="32"/>
          <w:shd w:val="clear" w:color="auto" w:fill="FFFFFF"/>
          <w:lang w:val="en-US" w:eastAsia="zh-CN"/>
        </w:rPr>
        <w:t>88.87</w:t>
      </w:r>
      <w:r>
        <w:rPr>
          <w:rFonts w:hint="default" w:ascii="Times New Roman" w:hAnsi="Times New Roman" w:eastAsia="方正仿宋_GBK" w:cs="Times New Roman"/>
          <w:color w:val="auto"/>
          <w:sz w:val="32"/>
          <w:szCs w:val="32"/>
          <w:shd w:val="clear" w:color="auto" w:fill="FFFFFF"/>
        </w:rPr>
        <w:t>万元，增长</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。人员经费用途主要包括主要包括基本工资、规范性津贴补贴、绩效工资、社会保障缴费、住房公积金等。公用经费</w:t>
      </w:r>
      <w:r>
        <w:rPr>
          <w:rFonts w:hint="default" w:ascii="Times New Roman" w:hAnsi="Times New Roman" w:eastAsia="方正仿宋_GBK" w:cs="Times New Roman"/>
          <w:color w:val="auto"/>
          <w:sz w:val="32"/>
          <w:szCs w:val="32"/>
          <w:shd w:val="clear" w:color="auto" w:fill="FFFFFF"/>
          <w:lang w:val="en-US" w:eastAsia="zh-CN"/>
        </w:rPr>
        <w:t>18.41</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增加18.41</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val="en-US" w:eastAsia="zh-CN"/>
        </w:rPr>
        <w:t>上年数为0</w:t>
      </w:r>
      <w:r>
        <w:rPr>
          <w:rFonts w:hint="default" w:ascii="Times New Roman" w:hAnsi="Times New Roman" w:eastAsia="方正仿宋_GBK" w:cs="Times New Roman"/>
          <w:color w:val="auto"/>
          <w:sz w:val="32"/>
          <w:szCs w:val="32"/>
          <w:shd w:val="clear" w:color="auto" w:fill="FFFFFF"/>
        </w:rPr>
        <w:t>。公用经费用途主要包括办公费、电费、水费、印刷费、邮电费、差旅费、维修费、劳务费、公务车运行维护费和办公设备购置等。</w:t>
      </w:r>
    </w:p>
    <w:p w14:paraId="6D1BD280">
      <w:pPr>
        <w:pStyle w:val="11"/>
        <w:autoSpaceDE w:val="0"/>
        <w:ind w:left="0" w:leftChars="0" w:firstLine="643" w:firstLineChars="20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（五）政府性基金预算收支决算情况说明</w:t>
      </w:r>
    </w:p>
    <w:p w14:paraId="0E8EC877">
      <w:pPr>
        <w:pStyle w:val="11"/>
        <w:keepNext w:val="0"/>
        <w:keepLines w:val="0"/>
        <w:pageBreakBefore w:val="0"/>
        <w:widowControl/>
        <w:numPr>
          <w:ilvl w:val="0"/>
          <w:numId w:val="0"/>
        </w:numPr>
        <w:kinsoku/>
        <w:wordWrap/>
        <w:overflowPunct/>
        <w:topLinePunct w:val="0"/>
        <w:autoSpaceDE w:val="0"/>
        <w:autoSpaceDN/>
        <w:bidi w:val="0"/>
        <w:adjustRightInd/>
        <w:snapToGrid/>
        <w:ind w:firstLine="640" w:firstLineChars="20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万元，较上年决算数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kern w:val="0"/>
          <w:sz w:val="32"/>
          <w:szCs w:val="32"/>
          <w:lang w:val="en-US" w:eastAsia="zh-CN"/>
        </w:rPr>
        <w:t>。</w:t>
      </w:r>
    </w:p>
    <w:p w14:paraId="77A6A1E6">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（六）国有资本经营预算财政拨款支出决算情况说明</w:t>
      </w:r>
    </w:p>
    <w:p w14:paraId="0D8573F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2227746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w:t>
      </w: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“三公”经费情况说明</w:t>
      </w:r>
    </w:p>
    <w:p w14:paraId="157A8CE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（一）“三公”经费支出总体情况说明</w:t>
      </w:r>
    </w:p>
    <w:p w14:paraId="27B7046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72BB09A6">
      <w:pPr>
        <w:pStyle w:val="11"/>
        <w:numPr>
          <w:ilvl w:val="0"/>
          <w:numId w:val="2"/>
        </w:numPr>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“三公”经费分项支出情况</w:t>
      </w:r>
    </w:p>
    <w:p w14:paraId="203A38AA">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Style w:val="10"/>
          <w:rFonts w:hint="default" w:ascii="Times New Roman" w:hAnsi="Times New Roman" w:eastAsia="方正仿宋_GBK" w:cs="Times New Roman"/>
          <w:b w:val="0"/>
          <w:bCs/>
          <w:color w:val="auto"/>
          <w:sz w:val="32"/>
          <w:szCs w:val="32"/>
          <w:lang w:eastAsia="zh-CN"/>
        </w:rPr>
        <w:t>本</w:t>
      </w:r>
      <w:r>
        <w:rPr>
          <w:rStyle w:val="10"/>
          <w:rFonts w:hint="default" w:ascii="Times New Roman" w:hAnsi="Times New Roman" w:eastAsia="方正仿宋_GBK" w:cs="Times New Roman"/>
          <w:b w:val="0"/>
          <w:bCs/>
          <w:color w:val="auto"/>
          <w:sz w:val="32"/>
          <w:szCs w:val="32"/>
          <w:lang w:eastAsia="zh-CN"/>
        </w:rPr>
        <w:t>单位</w:t>
      </w:r>
      <w:r>
        <w:rPr>
          <w:rStyle w:val="10"/>
          <w:rFonts w:hint="default" w:ascii="Times New Roman" w:hAnsi="Times New Roman" w:eastAsia="方正仿宋_GBK" w:cs="Times New Roman"/>
          <w:b w:val="0"/>
          <w:bCs/>
          <w:color w:val="auto"/>
          <w:sz w:val="32"/>
          <w:szCs w:val="32"/>
          <w:lang w:val="en-US" w:eastAsia="zh-CN"/>
        </w:rPr>
        <w:t>202</w:t>
      </w:r>
      <w:r>
        <w:rPr>
          <w:rStyle w:val="10"/>
          <w:rFonts w:hint="default" w:ascii="Times New Roman" w:hAnsi="Times New Roman" w:eastAsia="方正仿宋_GBK" w:cs="Times New Roman"/>
          <w:b w:val="0"/>
          <w:bCs/>
          <w:color w:val="auto"/>
          <w:sz w:val="32"/>
          <w:szCs w:val="32"/>
          <w:lang w:val="en-US" w:eastAsia="zh-CN"/>
        </w:rPr>
        <w:t>4</w:t>
      </w:r>
      <w:r>
        <w:rPr>
          <w:rStyle w:val="10"/>
          <w:rFonts w:hint="default" w:ascii="Times New Roman" w:hAnsi="Times New Roman" w:eastAsia="方正仿宋_GBK" w:cs="Times New Roman"/>
          <w:b w:val="0"/>
          <w:bCs/>
          <w:color w:val="auto"/>
          <w:sz w:val="32"/>
          <w:szCs w:val="32"/>
          <w:lang w:eastAsia="zh-CN"/>
        </w:rPr>
        <w:t>年度未发生</w:t>
      </w:r>
      <w:r>
        <w:rPr>
          <w:rFonts w:hint="default" w:ascii="Times New Roman" w:hAnsi="Times New Roman" w:eastAsia="方正仿宋_GBK" w:cs="Times New Roman"/>
          <w:color w:val="auto"/>
          <w:sz w:val="32"/>
          <w:szCs w:val="32"/>
          <w:lang w:eastAsia="zh-CN"/>
        </w:rPr>
        <w:t>因公出国（境）费用</w:t>
      </w:r>
      <w:r>
        <w:rPr>
          <w:rStyle w:val="10"/>
          <w:rFonts w:hint="default" w:ascii="Times New Roman" w:hAnsi="Times New Roman" w:eastAsia="方正仿宋_GBK" w:cs="Times New Roman"/>
          <w:b w:val="0"/>
          <w:bCs/>
          <w:color w:val="auto"/>
          <w:sz w:val="32"/>
          <w:szCs w:val="32"/>
          <w:lang w:eastAsia="zh-CN"/>
        </w:rPr>
        <w:t>支出。</w:t>
      </w:r>
    </w:p>
    <w:p w14:paraId="6F48CB05">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rPr>
        <w:t>本单位202</w:t>
      </w:r>
      <w:r>
        <w:rPr>
          <w:rFonts w:hint="default" w:ascii="Times New Roman" w:hAnsi="Times New Roman" w:eastAsia="方正仿宋_GBK" w:cs="Times New Roman"/>
          <w:color w:val="auto"/>
          <w:sz w:val="32"/>
          <w:lang w:val="en-US" w:eastAsia="zh-CN"/>
        </w:rPr>
        <w:t>4</w:t>
      </w:r>
      <w:r>
        <w:rPr>
          <w:rFonts w:hint="default" w:ascii="Times New Roman" w:hAnsi="Times New Roman" w:eastAsia="方正仿宋_GBK" w:cs="Times New Roman"/>
          <w:color w:val="auto"/>
          <w:sz w:val="32"/>
        </w:rPr>
        <w:t>年度未购置公务车</w:t>
      </w:r>
      <w:r>
        <w:rPr>
          <w:rFonts w:hint="default" w:ascii="Times New Roman" w:hAnsi="Times New Roman" w:eastAsia="方正仿宋_GBK" w:cs="Times New Roman"/>
          <w:color w:val="auto"/>
          <w:sz w:val="32"/>
          <w:lang w:eastAsia="zh-CN"/>
        </w:rPr>
        <w:t>。</w:t>
      </w:r>
    </w:p>
    <w:p w14:paraId="6B8E37BC">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color="auto" w:fill="FFFFFF"/>
        </w:rPr>
        <w:t>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14:paraId="1ED997DD">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val="en-US" w:eastAsia="zh-CN"/>
        </w:rPr>
        <w:t>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r>
        <w:rPr>
          <w:rFonts w:hint="default" w:ascii="Times New Roman" w:hAnsi="Times New Roman" w:eastAsia="方正仿宋_GBK" w:cs="Times New Roman"/>
          <w:color w:val="auto"/>
          <w:sz w:val="32"/>
          <w:szCs w:val="32"/>
          <w:shd w:val="clear" w:color="auto" w:fill="FFFFFF"/>
        </w:rPr>
        <w:t>。</w:t>
      </w:r>
    </w:p>
    <w:p w14:paraId="32675A6C">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（三）“三公”经费实物量情况</w:t>
      </w:r>
    </w:p>
    <w:p w14:paraId="4E64A68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w:t>
      </w:r>
      <w:r>
        <w:rPr>
          <w:rFonts w:hint="default" w:ascii="Times New Roman" w:hAnsi="Times New Roman" w:eastAsia="方正仿宋_GBK" w:cs="Times New Roman"/>
          <w:color w:val="auto"/>
          <w:sz w:val="32"/>
          <w:szCs w:val="32"/>
          <w:highlight w:val="none"/>
          <w:shd w:val="clear" w:color="auto" w:fill="FFFFFF"/>
        </w:rPr>
        <w:t>人均接待费</w:t>
      </w:r>
      <w:r>
        <w:rPr>
          <w:rFonts w:hint="default" w:ascii="Times New Roman" w:hAnsi="Times New Roman" w:eastAsia="方正仿宋_GBK" w:cs="Times New Roman"/>
          <w:color w:val="auto"/>
          <w:sz w:val="32"/>
          <w:szCs w:val="32"/>
          <w:highlight w:val="none"/>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14:paraId="6847975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4B98277E">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（一）财政拨款会议费和培训费情况说明</w:t>
      </w:r>
    </w:p>
    <w:p w14:paraId="7D884F6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shd w:val="clear" w:color="auto" w:fill="FFFFFF"/>
          <w:lang w:val="en-US" w:eastAsia="zh-CN"/>
        </w:rPr>
        <w:t>0.12</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增加0.12</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rPr>
        <w:t>上升100</w:t>
      </w:r>
      <w:r>
        <w:rPr>
          <w:rFonts w:hint="default" w:ascii="Times New Roman" w:hAnsi="Times New Roman" w:eastAsia="方正仿宋_GBK" w:cs="Times New Roman"/>
          <w:color w:val="auto"/>
          <w:sz w:val="32"/>
          <w:szCs w:val="32"/>
          <w:shd w:val="clear" w:color="auto" w:fill="FFFFFF"/>
        </w:rPr>
        <w:t>%，主要原因是该单位为3月拆分新增单位，上年数为0。本年度培训费支出</w:t>
      </w:r>
      <w:r>
        <w:rPr>
          <w:rFonts w:hint="default" w:ascii="Times New Roman" w:hAnsi="Times New Roman" w:eastAsia="方正仿宋_GBK" w:cs="Times New Roman"/>
          <w:color w:val="auto"/>
          <w:sz w:val="32"/>
          <w:szCs w:val="32"/>
          <w:shd w:val="clear" w:color="auto" w:fill="FFFFFF"/>
          <w:lang w:val="en-US" w:eastAsia="zh-CN"/>
        </w:rPr>
        <w:t>0.24</w:t>
      </w:r>
      <w:r>
        <w:rPr>
          <w:rFonts w:hint="default" w:ascii="Times New Roman" w:hAnsi="Times New Roman" w:eastAsia="方正仿宋_GBK" w:cs="Times New Roman"/>
          <w:color w:val="auto"/>
          <w:sz w:val="32"/>
          <w:szCs w:val="32"/>
          <w:shd w:val="clear" w:color="auto" w:fill="FFFFFF"/>
        </w:rPr>
        <w:t>万元，较上年决算数</w:t>
      </w:r>
      <w:r>
        <w:rPr>
          <w:rFonts w:hint="default" w:ascii="Times New Roman" w:hAnsi="Times New Roman" w:eastAsia="方正仿宋_GBK" w:cs="Times New Roman"/>
          <w:color w:val="auto"/>
          <w:sz w:val="32"/>
          <w:szCs w:val="32"/>
          <w:shd w:val="clear" w:color="auto" w:fill="FFFFFF"/>
          <w:lang w:val="en-US" w:eastAsia="zh-CN"/>
        </w:rPr>
        <w:t>增加0.24万元，上升100</w:t>
      </w:r>
      <w:r>
        <w:rPr>
          <w:rFonts w:hint="default" w:ascii="Times New Roman" w:hAnsi="Times New Roman" w:eastAsia="方正仿宋_GBK" w:cs="Times New Roman"/>
          <w:color w:val="auto"/>
          <w:sz w:val="32"/>
          <w:szCs w:val="32"/>
          <w:shd w:val="clear" w:color="auto" w:fill="FFFFFF"/>
        </w:rPr>
        <w:t>%，主要原因是本单位为2024年拆分新增事业单位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上年数为0。</w:t>
      </w:r>
    </w:p>
    <w:p w14:paraId="527EA8CA">
      <w:pPr>
        <w:pStyle w:val="11"/>
        <w:autoSpaceDE w:val="0"/>
        <w:ind w:firstLine="640"/>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楷体" w:cs="Times New Roman"/>
          <w:b/>
          <w:bCs/>
          <w:color w:val="auto"/>
          <w:sz w:val="32"/>
          <w:szCs w:val="32"/>
          <w:shd w:val="clear" w:color="auto" w:fill="FFFFFF"/>
          <w:lang w:bidi="ar"/>
        </w:rPr>
        <w:t>（二）机关运行经费情况说明</w:t>
      </w:r>
    </w:p>
    <w:p w14:paraId="7AF5ADC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default"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万元，机关运行经费较上年支出数</w:t>
      </w:r>
      <w:r>
        <w:rPr>
          <w:rFonts w:hint="default" w:ascii="Times New Roman" w:hAnsi="Times New Roman" w:eastAsia="方正仿宋_GBK" w:cs="Times New Roman"/>
          <w:color w:val="auto"/>
          <w:sz w:val="32"/>
          <w:szCs w:val="32"/>
          <w:shd w:val="clear" w:color="auto" w:fill="FFFFFF"/>
          <w:lang w:val="en-US" w:eastAsia="zh-CN"/>
        </w:rPr>
        <w:t>无增减</w:t>
      </w:r>
      <w:r>
        <w:rPr>
          <w:rFonts w:hint="default" w:ascii="Times New Roman" w:hAnsi="Times New Roman" w:eastAsia="方正仿宋_GBK" w:cs="Times New Roman"/>
          <w:color w:val="auto"/>
          <w:sz w:val="32"/>
          <w:szCs w:val="32"/>
          <w:shd w:val="clear" w:color="auto" w:fill="FFFFFF"/>
        </w:rPr>
        <w:t>。</w:t>
      </w:r>
    </w:p>
    <w:p w14:paraId="2CF9E70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（三）国有资产占用情况说明</w:t>
      </w:r>
    </w:p>
    <w:p w14:paraId="5EE8BC4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年12月31日，本部门共有车辆</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辆，其中，副部（省）级及以上领导用车0辆、主要负责人用车0辆、机要通信用车0辆、应急保障用车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辆、执法执勤用车0辆，特种专业技术用车</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辆，离退休干部用车0辆。单价100万元（含）以上专用设备0台（套）。</w:t>
      </w:r>
    </w:p>
    <w:p w14:paraId="6584180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color w:val="auto"/>
          <w:sz w:val="32"/>
          <w:szCs w:val="32"/>
          <w:shd w:val="clear" w:color="auto" w:fill="FFFFFF"/>
          <w:lang w:val="en-US" w:eastAsia="zh-CN" w:bidi="ar"/>
        </w:rPr>
      </w:pPr>
      <w:r>
        <w:rPr>
          <w:rFonts w:hint="default" w:ascii="Times New Roman" w:hAnsi="Times New Roman" w:eastAsia="楷体" w:cs="Times New Roman"/>
          <w:b/>
          <w:bCs/>
          <w:color w:val="auto"/>
          <w:sz w:val="32"/>
          <w:szCs w:val="32"/>
          <w:shd w:val="clear" w:color="auto" w:fill="FFFFFF"/>
          <w:lang w:val="en-US" w:eastAsia="zh-CN" w:bidi="ar"/>
        </w:rPr>
        <w:t>（四）政府采购支出情况说明</w:t>
      </w:r>
    </w:p>
    <w:p w14:paraId="0CD14B2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2024年度本部门政府采购支出总额0.00万元，其中：政府采购货物支出0.00万元、政府采购工程支出0.00万元、政府采购服务支出0.00万元。授予中小企业合同金额0.00万元，其中：授予小微企业合同金额0.00万元。</w:t>
      </w:r>
    </w:p>
    <w:p w14:paraId="74310B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bidi="ar-SA"/>
        </w:rPr>
      </w:pPr>
      <w:r>
        <w:rPr>
          <w:rStyle w:val="10"/>
          <w:rFonts w:hint="default" w:ascii="Times New Roman" w:hAnsi="Times New Roman" w:eastAsia="黑体" w:cs="Times New Roman"/>
          <w:sz w:val="32"/>
          <w:szCs w:val="32"/>
          <w:shd w:val="clear" w:color="auto" w:fill="FFFFFF"/>
          <w:lang w:val="en-US" w:eastAsia="zh-CN" w:bidi="ar-SA"/>
        </w:rPr>
        <w:t>五、2024年度预算绩效管理情况说明</w:t>
      </w:r>
    </w:p>
    <w:p w14:paraId="2A3E39C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452641C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本单位自评合并在重庆市璧山区人民政府来凤街道办事处（本级）中。</w:t>
      </w:r>
    </w:p>
    <w:p w14:paraId="70BF0B6E">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7466F1D2">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14:paraId="41DC7957">
      <w:pPr>
        <w:pStyle w:val="16"/>
        <w:keepNext w:val="0"/>
        <w:keepLines w:val="0"/>
        <w:pageBreakBefore w:val="0"/>
        <w:widowControl/>
        <w:numPr>
          <w:ilvl w:val="0"/>
          <w:numId w:val="2"/>
        </w:numPr>
        <w:kinsoku/>
        <w:wordWrap/>
        <w:overflowPunct/>
        <w:topLinePunct w:val="0"/>
        <w:autoSpaceDE w:val="0"/>
        <w:autoSpaceDN/>
        <w:bidi w:val="0"/>
        <w:adjustRightInd/>
        <w:snapToGrid/>
        <w:spacing w:after="0" w:afterAutospacing="0" w:line="596" w:lineRule="exact"/>
        <w:ind w:left="0" w:leftChars="0" w:firstLine="643" w:firstLineChars="200"/>
        <w:textAlignment w:val="auto"/>
        <w:rPr>
          <w:rFonts w:hint="default" w:ascii="Times New Roman" w:hAnsi="Times New Roman" w:eastAsia="楷体" w:cs="Times New Roman"/>
          <w:b/>
          <w:bCs/>
          <w:kern w:val="0"/>
          <w:sz w:val="32"/>
          <w:szCs w:val="32"/>
          <w:shd w:val="clear" w:fill="FFFFFF"/>
          <w:lang w:val="en-US" w:eastAsia="zh-CN" w:bidi="ar"/>
        </w:rPr>
      </w:pPr>
      <w:r>
        <w:rPr>
          <w:rFonts w:hint="default" w:ascii="Times New Roman" w:hAnsi="Times New Roman" w:eastAsia="楷体" w:cs="Times New Roman"/>
          <w:b/>
          <w:bCs/>
          <w:kern w:val="0"/>
          <w:sz w:val="32"/>
          <w:szCs w:val="32"/>
          <w:shd w:val="clear" w:fill="FFFFFF"/>
          <w:lang w:val="en-US" w:eastAsia="zh-CN" w:bidi="ar"/>
        </w:rPr>
        <w:t>财政绩效评价情况</w:t>
      </w:r>
    </w:p>
    <w:p w14:paraId="6FBAB79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市财政局未</w:t>
      </w:r>
      <w:r>
        <w:rPr>
          <w:rFonts w:hint="default" w:ascii="Times New Roman" w:hAnsi="Times New Roman" w:eastAsia="方正仿宋_GBK" w:cs="Times New Roman"/>
          <w:kern w:val="0"/>
          <w:sz w:val="32"/>
          <w:szCs w:val="32"/>
          <w:shd w:val="clear" w:fill="FFFFFF"/>
        </w:rPr>
        <w:t>委托第三方对我单位开展绩效评价。</w:t>
      </w:r>
    </w:p>
    <w:p w14:paraId="35A70C98">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10"/>
          <w:rFonts w:hint="default" w:ascii="Times New Roman" w:hAnsi="Times New Roman" w:eastAsia="黑体" w:cs="Times New Roman"/>
          <w:sz w:val="32"/>
          <w:szCs w:val="32"/>
          <w:shd w:val="clear" w:color="auto" w:fill="FFFFFF"/>
          <w:lang w:val="en-US" w:eastAsia="zh-CN" w:bidi="ar-SA"/>
        </w:rPr>
        <w:t xml:space="preserve"> 六、专业名词解释</w:t>
      </w:r>
    </w:p>
    <w:p w14:paraId="0EAAB6C3">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3AE5DA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50572B4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B028FF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AC047C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ECA563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787F948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35C1D3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04C66B5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4E4A6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034B6A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558BB1D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FE360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17FF8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5E3789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7051BA9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29EF5B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11AD67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6664F29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41696200</w:t>
      </w:r>
    </w:p>
    <w:p w14:paraId="0EC5814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p>
    <w:p w14:paraId="79743A6B">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CF79D7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14E16AE">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EB5743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AF09CA2">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4D4C80F">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05BCAF1">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7F15E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56AE49C5">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01060E3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重庆市璧山区来凤街道社区文化服务中心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03DFEAE">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55211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5A7B8D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4DE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58FFB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27E4F0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B16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4594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A737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51E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B58F6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AB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65A3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E86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F6A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B735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D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587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2C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DE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1025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55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A0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5AD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B0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3736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AC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D36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899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98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2FED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35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3F34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6EF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1801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B594C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63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B61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39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DB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23B2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43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C05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459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06F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r>
      <w:tr w14:paraId="150D04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B1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5BF7CF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E5E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93B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6.75</w:t>
            </w:r>
            <w:r>
              <w:rPr>
                <w:rFonts w:hint="default" w:ascii="Times New Roman" w:hAnsi="Times New Roman" w:cs="Times New Roman"/>
                <w:color w:val="000000"/>
                <w:sz w:val="20"/>
                <w:u w:color="auto"/>
              </w:rPr>
              <w:t xml:space="preserve"> </w:t>
            </w:r>
          </w:p>
        </w:tc>
      </w:tr>
      <w:tr w14:paraId="57BDED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4EC6">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C3668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069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FAC7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s="Times New Roman"/>
                <w:color w:val="000000"/>
                <w:sz w:val="20"/>
                <w:u w:color="auto"/>
              </w:rPr>
              <w:t xml:space="preserve"> </w:t>
            </w:r>
          </w:p>
        </w:tc>
      </w:tr>
      <w:tr w14:paraId="19C166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3C6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806B2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9AD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681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477C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7A8A">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1B8F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9DB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D4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D665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18F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8324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F1F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64B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EE83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22C0">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E10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2900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3BBE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93BD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A7E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ECA8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FDE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37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BF47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068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6A76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3F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C108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BDA6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BF19">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AF5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286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062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E446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ACBA">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4CED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1C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D98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DFB4F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8E1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93C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830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6D6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1EDBA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3B9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AF5F1">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B0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75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r>
      <w:tr w14:paraId="74B433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2BD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30F9">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EB4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5F8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49AE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65A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6DF4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3AF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121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93231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8B4B">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E21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669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D05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AE988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5C85">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4E23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66CB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60B9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4FC9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FD44">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078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F45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4DA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6640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976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66E6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19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B94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4467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2B36">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F26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18F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EDC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205D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520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7BD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438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0D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107.28</w:t>
            </w:r>
            <w:r>
              <w:rPr>
                <w:rFonts w:hint="default" w:ascii="Times New Roman" w:hAnsi="Times New Roman" w:cs="Times New Roman"/>
                <w:color w:val="000000"/>
                <w:sz w:val="20"/>
                <w:u w:color="auto"/>
              </w:rPr>
              <w:t xml:space="preserve"> </w:t>
            </w:r>
          </w:p>
        </w:tc>
      </w:tr>
      <w:tr w14:paraId="316302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3F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36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17F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973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DC0B2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A8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02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F4D2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9EC3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EEB9DE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846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90B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107.28</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80740E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B42A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107.28</w:t>
            </w:r>
            <w:r>
              <w:rPr>
                <w:rFonts w:hint="default" w:ascii="Times New Roman" w:hAnsi="Times New Roman" w:cs="Times New Roman"/>
                <w:color w:val="000000"/>
                <w:sz w:val="20"/>
                <w:u w:color="auto"/>
              </w:rPr>
              <w:t xml:space="preserve"> </w:t>
            </w:r>
          </w:p>
        </w:tc>
      </w:tr>
    </w:tbl>
    <w:p w14:paraId="0C2E162C">
      <w:pPr>
        <w:rPr>
          <w:rFonts w:hint="default" w:ascii="Times New Roman" w:hAnsi="Times New Roman" w:cs="Times New Roman"/>
          <w:sz w:val="21"/>
          <w:szCs w:val="21"/>
        </w:rPr>
      </w:pPr>
    </w:p>
    <w:p w14:paraId="2203AAD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325F27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4577BB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DABF75D">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41B2F2B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重庆市璧山区来凤街道社区文化服务中心</w:t>
            </w:r>
          </w:p>
        </w:tc>
        <w:tc>
          <w:tcPr>
            <w:tcW w:w="1432" w:type="dxa"/>
            <w:tcBorders>
              <w:top w:val="nil"/>
              <w:left w:val="nil"/>
              <w:bottom w:val="nil"/>
              <w:right w:val="nil"/>
            </w:tcBorders>
            <w:shd w:val="clear" w:color="auto" w:fill="auto"/>
            <w:noWrap/>
            <w:tcMar>
              <w:top w:w="15" w:type="dxa"/>
              <w:left w:w="15" w:type="dxa"/>
              <w:right w:w="15" w:type="dxa"/>
            </w:tcMar>
            <w:vAlign w:val="bottom"/>
          </w:tcPr>
          <w:p w14:paraId="5571EC3D">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12A9AB2F">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708647B6">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04055ECC">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48B04B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0A37F6A">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AE16C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1244F0F4">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0A35C5CF">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54CC403">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652D5D06">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6E2CC581">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46996DA7">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A103489">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16CDE2B">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2424C6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44A8032">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5B802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56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66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2B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89AB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31C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7E3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A5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101E2A6">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BF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D7E3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14AC8">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66A6">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DA0DA">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17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A76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F8AD">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96770">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5FA0">
            <w:pPr>
              <w:jc w:val="center"/>
              <w:rPr>
                <w:rFonts w:hint="default" w:ascii="Times New Roman" w:hAnsi="Times New Roman" w:cs="Times New Roman"/>
                <w:b/>
                <w:color w:val="000000"/>
                <w:sz w:val="20"/>
                <w:szCs w:val="20"/>
              </w:rPr>
            </w:pPr>
          </w:p>
        </w:tc>
      </w:tr>
      <w:tr w14:paraId="25C70355">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CF1D">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B12B11">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A8A2">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1299">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B083E">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0305C">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13E0">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85339">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DD21">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8FD7">
            <w:pPr>
              <w:jc w:val="center"/>
              <w:rPr>
                <w:rFonts w:hint="default" w:ascii="Times New Roman" w:hAnsi="Times New Roman" w:cs="Times New Roman"/>
                <w:b/>
                <w:color w:val="000000"/>
                <w:sz w:val="20"/>
                <w:szCs w:val="20"/>
              </w:rPr>
            </w:pPr>
          </w:p>
        </w:tc>
      </w:tr>
      <w:tr w14:paraId="088ABF5D">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3AA3">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31E95B">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EA98E">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D6D4">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BEA3F">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1D6E">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C6111">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90B4">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C82C">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D5EB">
            <w:pPr>
              <w:jc w:val="center"/>
              <w:rPr>
                <w:rFonts w:hint="default" w:ascii="Times New Roman" w:hAnsi="Times New Roman" w:cs="Times New Roman"/>
                <w:b/>
                <w:color w:val="000000"/>
                <w:sz w:val="20"/>
                <w:szCs w:val="20"/>
              </w:rPr>
            </w:pPr>
          </w:p>
        </w:tc>
      </w:tr>
      <w:tr w14:paraId="4E50119C">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1F02">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E937D8">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B61C2">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EEDB">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2575">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1493">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BBCF">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11C1">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E0F15">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9FC03">
            <w:pPr>
              <w:jc w:val="center"/>
              <w:rPr>
                <w:rFonts w:hint="default" w:ascii="Times New Roman" w:hAnsi="Times New Roman" w:cs="Times New Roman"/>
                <w:b/>
                <w:color w:val="000000"/>
                <w:sz w:val="20"/>
                <w:szCs w:val="20"/>
              </w:rPr>
            </w:pPr>
          </w:p>
        </w:tc>
      </w:tr>
      <w:tr w14:paraId="61B3E1D5">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89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FAC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70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70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97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5C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F7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166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54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AA731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60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F1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3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FE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8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B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0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6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AD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D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0FC65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0BA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053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7B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7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3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3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8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FA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F4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7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BE6A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A3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9A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FF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5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C1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BA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6C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CB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3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C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5898B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2D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BB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56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0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0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7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D9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A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D1C6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AB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035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5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5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2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C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20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0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6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9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49C04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E9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090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3B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E7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7A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A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2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2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69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7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53FE5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EE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956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3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84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2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0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8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6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B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8669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04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44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B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4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9A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0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48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78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4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D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A2C63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40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B9F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FE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EF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C8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B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0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3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2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A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A1632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82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327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6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6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60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E6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8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D2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D1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D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29A2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8F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A45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25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4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7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3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1B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41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D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9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0825E7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A2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A4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E1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4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F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E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4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E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5B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2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76EB4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6D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0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01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B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8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7F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E7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6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6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05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B151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7D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803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7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B9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C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30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B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63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70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D4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0F6A22A">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8607394">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401DEA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9D1861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5C70B18">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0E06777A">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重庆市璧山区来凤街道社区文化服务中心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10BF023F">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01C8602D">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D70062D">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428D36B3">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2B6494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0C0D9073">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70F39E84">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236D8DA1">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7DD863A7">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2C129C26">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5F70E0D5">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5DF4DFB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37AA8D7">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FBF8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87D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691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0AB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7B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51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7A1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F9FAFBD">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DAB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BD649B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58A6">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894B3">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F95A">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6BB2">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097D">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1381">
            <w:pPr>
              <w:jc w:val="center"/>
              <w:rPr>
                <w:rFonts w:hint="default" w:ascii="Times New Roman" w:hAnsi="Times New Roman" w:cs="Times New Roman"/>
                <w:b/>
                <w:color w:val="000000"/>
                <w:sz w:val="20"/>
                <w:szCs w:val="20"/>
              </w:rPr>
            </w:pPr>
          </w:p>
        </w:tc>
      </w:tr>
      <w:tr w14:paraId="0E58CF59">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0FF9">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8CCA57">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8123">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39655">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4BAE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04AA">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60A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EB71">
            <w:pPr>
              <w:jc w:val="center"/>
              <w:rPr>
                <w:rFonts w:hint="default" w:ascii="Times New Roman" w:hAnsi="Times New Roman" w:cs="Times New Roman"/>
                <w:b/>
                <w:color w:val="000000"/>
                <w:sz w:val="20"/>
                <w:szCs w:val="20"/>
              </w:rPr>
            </w:pPr>
          </w:p>
        </w:tc>
      </w:tr>
      <w:tr w14:paraId="2C4BDE8D">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0281">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FFE4F1">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1254">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463E">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D980">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C599">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F8AB">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95AA">
            <w:pPr>
              <w:jc w:val="center"/>
              <w:rPr>
                <w:rFonts w:hint="default" w:ascii="Times New Roman" w:hAnsi="Times New Roman" w:cs="Times New Roman"/>
                <w:b/>
                <w:color w:val="000000"/>
                <w:sz w:val="20"/>
                <w:szCs w:val="20"/>
              </w:rPr>
            </w:pPr>
          </w:p>
        </w:tc>
      </w:tr>
      <w:tr w14:paraId="499E8D76">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0256">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59EC89">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9A6A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DEDA">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27D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56F7">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9911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DF43">
            <w:pPr>
              <w:jc w:val="center"/>
              <w:rPr>
                <w:rFonts w:hint="default" w:ascii="Times New Roman" w:hAnsi="Times New Roman" w:cs="Times New Roman"/>
                <w:b/>
                <w:color w:val="000000"/>
                <w:sz w:val="20"/>
                <w:szCs w:val="20"/>
              </w:rPr>
            </w:pPr>
          </w:p>
        </w:tc>
      </w:tr>
      <w:tr w14:paraId="702F183B">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EB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CE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13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E87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4C2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B7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41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F2CF60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44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82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30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CA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C9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E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D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F7071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97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E6C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29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54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0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35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6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9F41E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67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CC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A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F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2E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3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5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2F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380600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09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91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E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2E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8D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02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0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FE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D5A88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00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33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3A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93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B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9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6D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0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0345F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69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35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1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96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E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5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B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A3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7EFFD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E4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FE9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E6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E2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39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E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39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92603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C9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2C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1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F7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F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0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0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B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024C3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76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6C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5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AB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AE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9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4E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2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96FD4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2B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FE2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3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9D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4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37C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4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5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129C7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FB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3F3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A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3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78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F3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38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E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68BC3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13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6B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5E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C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E0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26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4F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45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D327C2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32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6B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659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3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21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2A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1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A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80BCEA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01F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D3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E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9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6C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33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57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6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345D73F">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8DFBE84">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3A19741">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89E316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B06D2F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F9A199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89A57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F80691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4F56FE0">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D0487DD">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7924F0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58D9CA1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88B0E7A">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694F74">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6AA2D6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1D433DD">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38AB38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B148F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4B3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DBC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A3CF16A">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37F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E78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C8B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AE7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D0F364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76BC">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7120">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1D89">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401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5BC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1C97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E4D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ACD7C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05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9E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8F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D7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70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DE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ED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E759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DD2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D5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AB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03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B9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7C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F2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221E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EC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2F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7BE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41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7C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C4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37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AA54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0BFF">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E536E">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32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7F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79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88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A5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232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AB5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2D9B0">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B8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0E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F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A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EC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E14E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01D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F45A9">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14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9C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FD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CE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A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7A0E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F53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7EDC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D1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F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D1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91.62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6A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3C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A47A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887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96D68">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B21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C8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9E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41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01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5AB3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333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0F8C3">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11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50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B3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B8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38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3A2C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294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811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40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DB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95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E1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C5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A170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4FD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988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1DB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F6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F7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79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14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73DE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2FE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047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1B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3A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62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3A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F9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2D0F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CD4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5EF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BF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E9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FF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34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82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67CF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2C6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72B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39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CE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5F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B5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A2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71F3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61D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21EF">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FD0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4A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5C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72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76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158E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C0E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8FA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D13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B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0D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D2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1B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8757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A35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DB8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08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10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1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63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BA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07C6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C84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2AA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D99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58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69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48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55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2F8A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C68F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010D">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40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6A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53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DB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67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CA40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3B8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6AC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48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4C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B5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4D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AD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F3CF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669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83D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72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D8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12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B4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E5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7B33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269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1E2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38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0B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C6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BD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AF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E69F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FED1">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9F5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FF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67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05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6D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24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6CFC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8BA0F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719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4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B1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AD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B6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20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F746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FFAEC9">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CDBC">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B1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46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8F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1E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43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F4C8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3298A">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39B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61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39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43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D3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70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65D7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2434">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C8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08DF">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A4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3B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DD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F9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6EB0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0D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9E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FD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20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64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FD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2E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431F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CF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A9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92B41E">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94401">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F89CD">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0B003">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84D7D">
            <w:pPr>
              <w:spacing w:line="200" w:lineRule="exact"/>
              <w:rPr>
                <w:rFonts w:hint="default" w:ascii="Times New Roman" w:hAnsi="Times New Roman" w:cs="Times New Roman"/>
                <w:color w:val="000000"/>
                <w:sz w:val="18"/>
                <w:szCs w:val="18"/>
              </w:rPr>
            </w:pPr>
          </w:p>
        </w:tc>
      </w:tr>
      <w:tr w14:paraId="22D400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64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82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806C">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CB23">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DB65">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999F">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6EA4">
            <w:pPr>
              <w:spacing w:line="200" w:lineRule="exact"/>
              <w:jc w:val="right"/>
              <w:rPr>
                <w:rFonts w:hint="default" w:ascii="Times New Roman" w:hAnsi="Times New Roman" w:cs="Times New Roman"/>
                <w:color w:val="000000"/>
                <w:sz w:val="18"/>
                <w:szCs w:val="18"/>
              </w:rPr>
            </w:pPr>
          </w:p>
        </w:tc>
      </w:tr>
      <w:tr w14:paraId="7399AF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7D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BC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3045">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B1B8">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378F">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83D2">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B638">
            <w:pPr>
              <w:spacing w:line="200" w:lineRule="exact"/>
              <w:jc w:val="right"/>
              <w:rPr>
                <w:rFonts w:hint="default" w:ascii="Times New Roman" w:hAnsi="Times New Roman" w:cs="Times New Roman"/>
                <w:color w:val="000000"/>
                <w:sz w:val="18"/>
                <w:szCs w:val="18"/>
              </w:rPr>
            </w:pPr>
          </w:p>
        </w:tc>
      </w:tr>
      <w:tr w14:paraId="0EC8D5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F42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6F2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497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78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B2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AB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65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B6DF0B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0A4794D5">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922C46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A6EBD68">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0D27BC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重庆市璧山区来凤街道社区文化服务中心</w:t>
            </w:r>
          </w:p>
        </w:tc>
        <w:tc>
          <w:tcPr>
            <w:tcW w:w="3291" w:type="dxa"/>
            <w:tcBorders>
              <w:top w:val="nil"/>
              <w:left w:val="nil"/>
              <w:bottom w:val="nil"/>
              <w:right w:val="nil"/>
            </w:tcBorders>
            <w:shd w:val="clear" w:color="auto" w:fill="auto"/>
            <w:noWrap/>
            <w:tcMar>
              <w:top w:w="15" w:type="dxa"/>
              <w:left w:w="15" w:type="dxa"/>
              <w:right w:w="15" w:type="dxa"/>
            </w:tcMar>
            <w:vAlign w:val="bottom"/>
          </w:tcPr>
          <w:p w14:paraId="4B925961">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F305B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58FF0723">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762D554F">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186B568E">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D4E1E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210BDB2">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F8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03A4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11C3F39">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CF4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E3F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879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BEE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FF2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E1C3014">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D7947">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53364">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80BB8">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E380D">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9BA52">
            <w:pPr>
              <w:jc w:val="center"/>
              <w:rPr>
                <w:rFonts w:hint="default" w:ascii="Times New Roman" w:hAnsi="Times New Roman" w:cs="Times New Roman"/>
                <w:b/>
                <w:color w:val="000000"/>
                <w:sz w:val="20"/>
                <w:szCs w:val="20"/>
              </w:rPr>
            </w:pPr>
          </w:p>
        </w:tc>
      </w:tr>
      <w:tr w14:paraId="6D411A0D">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07D2">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0C492">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8B04A">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2D8B2">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CAC3A">
            <w:pPr>
              <w:jc w:val="center"/>
              <w:rPr>
                <w:rFonts w:hint="default" w:ascii="Times New Roman" w:hAnsi="Times New Roman" w:cs="Times New Roman"/>
                <w:b/>
                <w:color w:val="000000"/>
                <w:sz w:val="20"/>
                <w:szCs w:val="20"/>
              </w:rPr>
            </w:pPr>
          </w:p>
        </w:tc>
      </w:tr>
      <w:tr w14:paraId="7F869728">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AF0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0E8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4A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107.28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87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1AA10C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FD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B45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16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A8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23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A4311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58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D4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3A5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386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91.62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A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1CC3A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B8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33F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C5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E7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91.62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A9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EF867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D0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FC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71F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33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B80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3F7ED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03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B33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3B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602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0F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EBE25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10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BA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F4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B3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A5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58403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19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FA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01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56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CEA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573C3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94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90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CD6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870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17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63E97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37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8F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43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B1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438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D85B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76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77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71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980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2D9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EDAF6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BC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5CC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4BD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44C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F4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35D2D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35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BD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641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9E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0A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D484A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14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A3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A8B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365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D3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5BFC7B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6C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C9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F74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91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92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0191D75">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5118788">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485D722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3A1E6C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57430BC">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0170708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重庆市璧山区来凤街道社区文化服务中心</w:t>
            </w:r>
          </w:p>
        </w:tc>
        <w:tc>
          <w:tcPr>
            <w:tcW w:w="1400" w:type="dxa"/>
            <w:tcBorders>
              <w:top w:val="nil"/>
              <w:left w:val="nil"/>
              <w:bottom w:val="nil"/>
              <w:right w:val="nil"/>
            </w:tcBorders>
            <w:shd w:val="clear" w:color="auto" w:fill="auto"/>
            <w:noWrap/>
            <w:tcMar>
              <w:top w:w="15" w:type="dxa"/>
              <w:left w:w="15" w:type="dxa"/>
              <w:right w:w="15" w:type="dxa"/>
            </w:tcMar>
            <w:vAlign w:val="bottom"/>
          </w:tcPr>
          <w:p w14:paraId="1FAFD08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619CABA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C48DC9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7EB55B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03309A51">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5A8F74D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1F9BE30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F16CA8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861BD80">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185A67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2B1F7A">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96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C89A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A00BDB7">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7C7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174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4E7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96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2F37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8CD4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94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97D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E1F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AA2A9E2">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91D1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EF07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23E7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5ECB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FBB0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52E8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335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E8A2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D172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4AAC2C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81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9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B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D4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E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31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6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291B6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B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0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A5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3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D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EE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4.41</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9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6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5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8073E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1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C9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93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104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2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E8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BB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2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FA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35AA9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7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D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9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A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9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0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C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C2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75F9F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F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3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3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D4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3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02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7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B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8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3BDD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C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51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5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52.66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68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6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7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0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4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0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3474A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2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1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1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8C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4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A9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5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0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ED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C4A9A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8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F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51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2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14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34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F8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F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7B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8857E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1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0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1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4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0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0E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1E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D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D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46C3B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D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3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1A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9F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2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35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5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5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6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62BFB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D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2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0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2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D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5D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9D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6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AC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44E9A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B5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7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06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D0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F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0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3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6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26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5C4F2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0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2B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81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6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F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5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C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8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41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5315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2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A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A1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0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B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AC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9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1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C6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51B4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9B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7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6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4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C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49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C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B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A2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4245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B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6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7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64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E0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C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A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2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56BF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8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F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9D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B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B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76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7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8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04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05C35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F0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F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2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3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9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8F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F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55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B0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846B4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C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D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88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29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9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3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F9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4D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2A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7CB13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E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6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9E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9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05D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7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F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A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8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F0FF7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99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B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58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2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D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C0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3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89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57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AE48A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9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8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0F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C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6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7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C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C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9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3699B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8C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56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70D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B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7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7F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A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761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18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D0606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CA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A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B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0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8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66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D0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D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1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C9ED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A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8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8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A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3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E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0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D7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04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E40D3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1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44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DC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B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7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F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1A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C7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E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BD4C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5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A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39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4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0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BF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3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7E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6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C740F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155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6C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7C1D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D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5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AA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9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1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72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46C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EEF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DE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BA4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4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4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1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72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F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2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E033E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C5F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942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AE38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6A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5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C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1A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1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5D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A9792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F69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99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3A6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7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D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D7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3A9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E7F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75A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F0EB4D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F3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14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982C2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73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2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7D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FE9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633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B7B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C15E180">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B44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FF4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703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D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C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E3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DA17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9C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603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A0F5F20">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495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227D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88.87</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E5F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383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18.41</w:t>
            </w:r>
            <w:r>
              <w:rPr>
                <w:rFonts w:hint="default" w:ascii="Times New Roman" w:hAnsi="Times New Roman" w:cs="Times New Roman"/>
                <w:color w:val="000000"/>
                <w:sz w:val="18"/>
                <w:u w:color="auto"/>
              </w:rPr>
              <w:t xml:space="preserve"> </w:t>
            </w:r>
          </w:p>
        </w:tc>
      </w:tr>
    </w:tbl>
    <w:p w14:paraId="0D90767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6E86332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772F0C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641E002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82FC3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B414D6D">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CE30EB">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9BB1BAA">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8B00535">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7F74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1BD5A9B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B5D14A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CC5BE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FED544A">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68B98E">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1C95E1F">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123D20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346471">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D1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3397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FE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1E7C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51B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150AF3D">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EB8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1C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6AC7E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A5C4">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DD6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97A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1FF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1239">
            <w:pPr>
              <w:jc w:val="center"/>
              <w:rPr>
                <w:rFonts w:hint="default" w:ascii="Times New Roman" w:hAnsi="Times New Roman" w:cs="Times New Roman"/>
                <w:b/>
                <w:color w:val="000000"/>
                <w:sz w:val="20"/>
                <w:szCs w:val="20"/>
              </w:rPr>
            </w:pPr>
          </w:p>
        </w:tc>
      </w:tr>
      <w:tr w14:paraId="391A75C0">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8C815">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0E011">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28B3A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E2A9">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B6FE1">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F566C">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E0251">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1EF31">
            <w:pPr>
              <w:jc w:val="center"/>
              <w:rPr>
                <w:rFonts w:hint="default" w:ascii="Times New Roman" w:hAnsi="Times New Roman" w:cs="Times New Roman"/>
                <w:b/>
                <w:color w:val="000000"/>
                <w:sz w:val="20"/>
                <w:szCs w:val="20"/>
              </w:rPr>
            </w:pPr>
          </w:p>
        </w:tc>
      </w:tr>
      <w:tr w14:paraId="1214EDB2">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2EB8">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E794">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CABD5B">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40C9">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3A5B1">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E3BEA">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1E566">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C66E">
            <w:pPr>
              <w:jc w:val="center"/>
              <w:rPr>
                <w:rFonts w:hint="default" w:ascii="Times New Roman" w:hAnsi="Times New Roman" w:cs="Times New Roman"/>
                <w:b/>
                <w:color w:val="000000"/>
                <w:sz w:val="20"/>
                <w:szCs w:val="20"/>
              </w:rPr>
            </w:pPr>
          </w:p>
        </w:tc>
      </w:tr>
      <w:tr w14:paraId="4ACFD07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6F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7A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0C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A2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1F8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C16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36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E31457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072A">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BBBD">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3CE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01E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B3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76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F6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F69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4D5A049">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73EAEF7">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8F6DDF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3564BF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71D5363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931B1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重庆市璧山区来凤街道社区文化服务中心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9C97771">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B0433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432DE1A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18FE34F">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A00381D">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64C92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58CE9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12AF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6F9C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2322F20">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BE2B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18D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863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15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BD2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947570F">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0BD9">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3B41A">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3E439">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18A14">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19984">
            <w:pPr>
              <w:jc w:val="center"/>
              <w:rPr>
                <w:rFonts w:hint="default" w:ascii="Times New Roman" w:hAnsi="Times New Roman" w:cs="Times New Roman"/>
                <w:b/>
                <w:color w:val="000000"/>
                <w:sz w:val="20"/>
                <w:szCs w:val="20"/>
              </w:rPr>
            </w:pPr>
          </w:p>
        </w:tc>
      </w:tr>
      <w:tr w14:paraId="357099A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2CCB">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07573">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C089">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92364">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74C7">
            <w:pPr>
              <w:jc w:val="center"/>
              <w:rPr>
                <w:rFonts w:hint="default" w:ascii="Times New Roman" w:hAnsi="Times New Roman" w:cs="Times New Roman"/>
                <w:b/>
                <w:color w:val="000000"/>
                <w:sz w:val="20"/>
                <w:szCs w:val="20"/>
              </w:rPr>
            </w:pPr>
          </w:p>
        </w:tc>
      </w:tr>
      <w:tr w14:paraId="59B2EF54">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5313">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7B103">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06AC">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1330D">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3EB4">
            <w:pPr>
              <w:jc w:val="center"/>
              <w:rPr>
                <w:rFonts w:hint="default" w:ascii="Times New Roman" w:hAnsi="Times New Roman" w:cs="Times New Roman"/>
                <w:b/>
                <w:color w:val="000000"/>
                <w:sz w:val="20"/>
                <w:szCs w:val="20"/>
              </w:rPr>
            </w:pPr>
          </w:p>
        </w:tc>
      </w:tr>
      <w:tr w14:paraId="0849387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01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F2C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62F8">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E10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80BAEA8">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DC57">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59E5">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40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C9C9">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7C3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3DAA0B6">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50A9E6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74674F38">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F77109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2A8ED143">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2AC27254">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4FEF55EA">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37633615">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79268779">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7985406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650AC6D4">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EAA00B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重庆市璧山区来凤街道社区文化服务中心</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54B31151">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25A5DBBE">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5D6AF2F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EF66BE1">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B7D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CF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39E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976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1B0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0C29C3C3">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57A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9FF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6A5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54A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B2D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F563A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68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430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ADB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63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8D1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1197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4A4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60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633C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1DA3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350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2C64A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1AF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37D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B33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9ED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81F8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34F4F3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C05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4D6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4A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9EF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FF9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7B85F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D57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EEE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C81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69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638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E2A6F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ABD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1C7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3AF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9D3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0D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7087B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735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A34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C6E9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1B6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EB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FA740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FC9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128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AE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86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FF5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CAA9B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06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C13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799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ED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D62E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E6235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6AD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BAE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2A11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75E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662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62E5F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A85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366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71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B344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A21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B283A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2E6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523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8D7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A5B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A08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D58CB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F5F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AE1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B15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C15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A2B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CAC48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58B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D70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4A1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5F6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10E0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A68E05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9D4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AD5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7BA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880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124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DCC77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68C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6CD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627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692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BA4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F38D6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0A2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06D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EF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538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73A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1A9BE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ED3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4BA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FA5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D7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557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4C9C2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45C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718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DF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A96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F95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B9930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011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349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313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DC3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1093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5B5944">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EE6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A7C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B33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0.12</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C35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FC8D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D310E7D">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8B7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827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1E10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0.24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EFC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D6D9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0841277">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52A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887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569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88D5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CBBA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27843A46">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23BB8D-D8F2-438F-B24E-2161C2BF1B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977DEDB7-2081-46D4-9AB7-1BBEE537E0B7}"/>
  </w:font>
  <w:font w:name="方正仿宋_GBK">
    <w:panose1 w:val="02000000000000000000"/>
    <w:charset w:val="86"/>
    <w:family w:val="script"/>
    <w:pitch w:val="default"/>
    <w:sig w:usb0="A00002BF" w:usb1="38CF7CFA" w:usb2="00082016" w:usb3="00000000" w:csb0="00040001" w:csb1="00000000"/>
    <w:embedRegular r:id="rId3" w:fontKey="{3EC71F23-0E45-448D-9084-601489CD4A10}"/>
  </w:font>
  <w:font w:name="楷体">
    <w:panose1 w:val="02010609060101010101"/>
    <w:charset w:val="86"/>
    <w:family w:val="modern"/>
    <w:pitch w:val="default"/>
    <w:sig w:usb0="800002BF" w:usb1="38CF7CFA" w:usb2="00000016" w:usb3="00000000" w:csb0="00040001" w:csb1="00000000"/>
    <w:embedRegular r:id="rId4" w:fontKey="{1D9817D1-7006-4DC5-8C95-F35CBCFCFC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25E9">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02CB0BA">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0920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7302E9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A31D68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BB51">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83599"/>
    <w:multiLevelType w:val="singleLevel"/>
    <w:tmpl w:val="C5B83599"/>
    <w:lvl w:ilvl="0" w:tentative="0">
      <w:start w:val="2"/>
      <w:numFmt w:val="chineseCounting"/>
      <w:suff w:val="nothing"/>
      <w:lvlText w:val="（%1）"/>
      <w:lvlJc w:val="left"/>
      <w:rPr>
        <w:rFonts w:hint="eastAsia"/>
      </w:rPr>
    </w:lvl>
  </w:abstractNum>
  <w:abstractNum w:abstractNumId="1">
    <w:nsid w:val="5D386834"/>
    <w:multiLevelType w:val="singleLevel"/>
    <w:tmpl w:val="5D38683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82541"/>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A249A6"/>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3C0266B"/>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058FF"/>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7039</Words>
  <Characters>8997</Characters>
  <Lines>186</Lines>
  <Paragraphs>52</Paragraphs>
  <TotalTime>1</TotalTime>
  <ScaleCrop>false</ScaleCrop>
  <LinksUpToDate>false</LinksUpToDate>
  <CharactersWithSpaces>9739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行走江湖的快乐小菜鸡</cp:lastModifiedBy>
  <dcterms:modified xsi:type="dcterms:W3CDTF">2025-09-26T07:39:59Z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eyJoZGlkIjoiZWFhODk1MWNhMzJjYzk4MWQzZGU4NmVkNGJkYWM4ODYiLCJ1c2VySWQiOiI4MDUxNTY1MzEifQ==</vt:lpwstr>
  </property>
</Properties>
</file>