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6ACF4">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rPr>
      </w:pPr>
      <w:bookmarkStart w:id="0" w:name="_GoBack"/>
      <w:r>
        <w:rPr>
          <w:rFonts w:hint="default" w:ascii="Times New Roman" w:hAnsi="Times New Roman" w:eastAsia="方正小标宋_GBK" w:cs="Times New Roman"/>
          <w:b w:val="0"/>
          <w:bCs w:val="0"/>
          <w:sz w:val="44"/>
          <w:szCs w:val="44"/>
        </w:rPr>
        <w:t>重庆市璧山区来凤街道综合行政执法大队</w:t>
      </w:r>
    </w:p>
    <w:p w14:paraId="4C0DCB68">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w:t>
      </w:r>
      <w:r>
        <w:rPr>
          <w:rFonts w:hint="default" w:ascii="Times New Roman" w:hAnsi="Times New Roman" w:eastAsia="方正小标宋_GBK" w:cs="Times New Roman"/>
          <w:b w:val="0"/>
          <w:bCs w:val="0"/>
          <w:sz w:val="44"/>
          <w:szCs w:val="44"/>
          <w:shd w:val="clear" w:color="auto" w:fill="FFFFFF"/>
        </w:rPr>
        <w:t>年度决算公开说明</w:t>
      </w:r>
    </w:p>
    <w:p w14:paraId="3E3F72D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一、</w:t>
      </w:r>
      <w:r>
        <w:rPr>
          <w:rStyle w:val="10"/>
          <w:rFonts w:hint="default" w:ascii="Times New Roman" w:hAnsi="Times New Roman" w:eastAsia="黑体" w:cs="Times New Roman"/>
          <w:sz w:val="32"/>
          <w:szCs w:val="32"/>
          <w:shd w:val="clear" w:color="auto" w:fill="FFFFFF"/>
          <w:lang w:eastAsia="zh-CN"/>
        </w:rPr>
        <w:t>部门</w:t>
      </w:r>
      <w:r>
        <w:rPr>
          <w:rStyle w:val="10"/>
          <w:rFonts w:hint="default" w:ascii="Times New Roman" w:hAnsi="Times New Roman" w:eastAsia="黑体" w:cs="Times New Roman"/>
          <w:sz w:val="32"/>
          <w:szCs w:val="32"/>
          <w:shd w:val="clear" w:color="auto" w:fill="FFFFFF"/>
        </w:rPr>
        <w:t>基本情况</w:t>
      </w:r>
    </w:p>
    <w:p w14:paraId="7783806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主要职能</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与综合行政执法办公室实行统筹运行的机制，集中行使依法授权或委托的农林水利、规划建设、环境保护、卫生计生、文化旅游、民政管理、城市管理、消防等领域的行政执法权；协调、配合区级有关部门及派驻机构开展其他领域的联合执法。</w:t>
      </w:r>
    </w:p>
    <w:p w14:paraId="7E42D1B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w:t>
      </w:r>
      <w:r>
        <w:rPr>
          <w:rStyle w:val="10"/>
          <w:rFonts w:hint="default" w:ascii="Times New Roman" w:hAnsi="Times New Roman" w:eastAsia="黑体" w:cs="Times New Roman"/>
          <w:sz w:val="32"/>
          <w:szCs w:val="32"/>
          <w:shd w:val="clear" w:color="auto" w:fill="FFFFFF"/>
          <w:lang w:eastAsia="zh-CN"/>
        </w:rPr>
        <w:t>部门</w:t>
      </w:r>
      <w:r>
        <w:rPr>
          <w:rStyle w:val="10"/>
          <w:rFonts w:hint="default" w:ascii="Times New Roman" w:hAnsi="Times New Roman" w:eastAsia="黑体" w:cs="Times New Roman"/>
          <w:sz w:val="32"/>
          <w:szCs w:val="32"/>
          <w:shd w:val="clear" w:color="auto" w:fill="FFFFFF"/>
        </w:rPr>
        <w:t>决算</w:t>
      </w:r>
      <w:r>
        <w:rPr>
          <w:rStyle w:val="10"/>
          <w:rFonts w:hint="default" w:ascii="Times New Roman" w:hAnsi="Times New Roman" w:eastAsia="黑体" w:cs="Times New Roman"/>
          <w:sz w:val="32"/>
          <w:szCs w:val="32"/>
          <w:shd w:val="clear" w:color="auto" w:fill="FFFFFF"/>
          <w:lang w:eastAsia="zh-CN"/>
        </w:rPr>
        <w:t>收支</w:t>
      </w:r>
      <w:r>
        <w:rPr>
          <w:rStyle w:val="10"/>
          <w:rFonts w:hint="default" w:ascii="Times New Roman" w:hAnsi="Times New Roman" w:eastAsia="黑体" w:cs="Times New Roman"/>
          <w:sz w:val="32"/>
          <w:szCs w:val="32"/>
          <w:shd w:val="clear" w:color="auto" w:fill="FFFFFF"/>
        </w:rPr>
        <w:t>情况说明</w:t>
      </w:r>
    </w:p>
    <w:p w14:paraId="63FF06B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sz w:val="32"/>
          <w:szCs w:val="32"/>
          <w:shd w:val="clear" w:color="auto" w:fill="FFFFFF"/>
          <w:lang w:val="en-US" w:eastAsia="zh-CN" w:bidi="ar"/>
        </w:rPr>
      </w:pPr>
      <w:r>
        <w:rPr>
          <w:rFonts w:hint="default" w:ascii="Times New Roman" w:hAnsi="Times New Roman" w:eastAsia="楷体" w:cs="Times New Roman"/>
          <w:b/>
          <w:bCs/>
          <w:sz w:val="32"/>
          <w:szCs w:val="32"/>
          <w:shd w:val="clear" w:color="auto" w:fill="FFFFFF"/>
          <w:lang w:val="en-US" w:eastAsia="zh-CN" w:bidi="ar"/>
        </w:rPr>
        <w:t>（一）收入支出决算总体情况说明。</w:t>
      </w:r>
    </w:p>
    <w:p w14:paraId="1FD7886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1.总体情况。202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年度收入总计</w:t>
      </w:r>
      <w:r>
        <w:rPr>
          <w:rFonts w:hint="default" w:ascii="Times New Roman" w:hAnsi="Times New Roman" w:eastAsia="方正仿宋_GBK" w:cs="Times New Roman"/>
          <w:color w:val="auto"/>
          <w:sz w:val="32"/>
          <w:szCs w:val="32"/>
          <w:shd w:val="clear" w:color="auto" w:fill="FFFFFF"/>
          <w:lang w:val="en-US" w:eastAsia="zh-CN"/>
        </w:rPr>
        <w:t>286.03</w:t>
      </w:r>
      <w:r>
        <w:rPr>
          <w:rFonts w:hint="default" w:ascii="Times New Roman" w:hAnsi="Times New Roman" w:eastAsia="方正仿宋_GBK" w:cs="Times New Roman"/>
          <w:color w:val="auto"/>
          <w:sz w:val="32"/>
          <w:szCs w:val="32"/>
          <w:shd w:val="clear" w:color="auto" w:fill="FFFFFF"/>
        </w:rPr>
        <w:t>万元，支出总计</w:t>
      </w:r>
      <w:r>
        <w:rPr>
          <w:rFonts w:hint="default" w:ascii="Times New Roman" w:hAnsi="Times New Roman" w:eastAsia="方正仿宋_GBK" w:cs="Times New Roman"/>
          <w:color w:val="auto"/>
          <w:sz w:val="32"/>
          <w:szCs w:val="32"/>
          <w:shd w:val="clear" w:color="auto" w:fill="FFFFFF"/>
          <w:lang w:val="en-US" w:eastAsia="zh-CN"/>
        </w:rPr>
        <w:t>286.03</w:t>
      </w:r>
      <w:r>
        <w:rPr>
          <w:rFonts w:hint="default" w:ascii="Times New Roman" w:hAnsi="Times New Roman" w:eastAsia="方正仿宋_GBK" w:cs="Times New Roman"/>
          <w:color w:val="auto"/>
          <w:sz w:val="32"/>
          <w:szCs w:val="32"/>
          <w:shd w:val="clear" w:color="auto" w:fill="FFFFFF"/>
        </w:rPr>
        <w:t>万元。收支较上年决算数增加</w:t>
      </w:r>
      <w:r>
        <w:rPr>
          <w:rFonts w:hint="default" w:ascii="Times New Roman" w:hAnsi="Times New Roman" w:eastAsia="方正仿宋_GBK" w:cs="Times New Roman"/>
          <w:color w:val="auto"/>
          <w:sz w:val="32"/>
          <w:szCs w:val="32"/>
          <w:shd w:val="clear" w:color="auto" w:fill="FFFFFF"/>
          <w:lang w:val="en-US" w:eastAsia="zh-CN"/>
        </w:rPr>
        <w:t>286.03</w:t>
      </w:r>
      <w:r>
        <w:rPr>
          <w:rFonts w:hint="default" w:ascii="Times New Roman" w:hAnsi="Times New Roman" w:eastAsia="方正仿宋_GBK" w:cs="Times New Roman"/>
          <w:color w:val="auto"/>
          <w:sz w:val="32"/>
          <w:szCs w:val="32"/>
          <w:shd w:val="clear" w:color="auto" w:fill="FFFFFF"/>
        </w:rPr>
        <w:t>万元，增加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w:t>
      </w:r>
    </w:p>
    <w:p w14:paraId="0658785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2.收入情况。202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年度收入合计</w:t>
      </w:r>
      <w:r>
        <w:rPr>
          <w:rFonts w:hint="default" w:ascii="Times New Roman" w:hAnsi="Times New Roman" w:eastAsia="方正仿宋_GBK" w:cs="Times New Roman"/>
          <w:color w:val="auto"/>
          <w:sz w:val="32"/>
          <w:szCs w:val="32"/>
          <w:shd w:val="clear" w:color="auto" w:fill="FFFFFF"/>
          <w:lang w:val="en-US" w:eastAsia="zh-CN"/>
        </w:rPr>
        <w:t>286.03</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286.03</w:t>
      </w:r>
      <w:r>
        <w:rPr>
          <w:rFonts w:hint="default" w:ascii="Times New Roman" w:hAnsi="Times New Roman" w:eastAsia="方正仿宋_GBK" w:cs="Times New Roman"/>
          <w:color w:val="auto"/>
          <w:sz w:val="32"/>
          <w:szCs w:val="32"/>
          <w:shd w:val="clear" w:color="auto" w:fill="FFFFFF"/>
        </w:rPr>
        <w:t>万元，增加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主要原因是本单位为2024年拆分新增事业单位，年初预算在原行政账套。其中：一般公共预算财政拨款</w:t>
      </w:r>
      <w:r>
        <w:rPr>
          <w:rFonts w:hint="default" w:ascii="Times New Roman" w:hAnsi="Times New Roman" w:eastAsia="方正仿宋_GBK" w:cs="Times New Roman"/>
          <w:color w:val="auto"/>
          <w:sz w:val="32"/>
          <w:szCs w:val="32"/>
          <w:shd w:val="clear" w:color="auto" w:fill="FFFFFF"/>
          <w:lang w:val="en-US" w:eastAsia="zh-CN"/>
        </w:rPr>
        <w:t>286.03</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%；政府性基金预算财政拨款</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%；经营收入0.00万元，占0.00%；其他收入0.00万元，占0.00%。此外，使用非财政拨款结余和专用结余0.00万元，年初结转和结余0.00万元。</w:t>
      </w:r>
    </w:p>
    <w:p w14:paraId="390CC5D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3.支出情况。202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年度支出合计</w:t>
      </w:r>
      <w:r>
        <w:rPr>
          <w:rFonts w:hint="default" w:ascii="Times New Roman" w:hAnsi="Times New Roman" w:eastAsia="方正仿宋_GBK" w:cs="Times New Roman"/>
          <w:color w:val="auto"/>
          <w:sz w:val="32"/>
          <w:szCs w:val="32"/>
          <w:shd w:val="clear" w:color="auto" w:fill="FFFFFF"/>
          <w:lang w:val="en-US" w:eastAsia="zh-CN"/>
        </w:rPr>
        <w:t>286.03</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286.03</w:t>
      </w:r>
      <w:r>
        <w:rPr>
          <w:rFonts w:hint="default" w:ascii="Times New Roman" w:hAnsi="Times New Roman" w:eastAsia="方正仿宋_GBK" w:cs="Times New Roman"/>
          <w:color w:val="auto"/>
          <w:sz w:val="32"/>
          <w:szCs w:val="32"/>
          <w:shd w:val="clear" w:color="auto" w:fill="FFFFFF"/>
        </w:rPr>
        <w:t>万元，增加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上年数为0</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shd w:val="clear" w:color="auto" w:fill="FFFFFF"/>
          <w:lang w:val="en-US" w:eastAsia="zh-CN"/>
        </w:rPr>
        <w:t>107.28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%；项目支出</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%；经营支出0.00万元，占0.00%。此外，结余分配0.00万元。</w:t>
      </w:r>
    </w:p>
    <w:p w14:paraId="11080A7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4.结转结余情况。202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年度年末结转和结余0.00万元，较上年决算数无增减。</w:t>
      </w:r>
    </w:p>
    <w:p w14:paraId="075D170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sz w:val="32"/>
          <w:szCs w:val="32"/>
          <w:shd w:val="clear" w:color="auto" w:fill="FFFFFF"/>
          <w:lang w:val="en-US" w:eastAsia="zh-CN" w:bidi="ar"/>
        </w:rPr>
      </w:pPr>
      <w:r>
        <w:rPr>
          <w:rFonts w:hint="default" w:ascii="Times New Roman" w:hAnsi="Times New Roman" w:eastAsia="楷体" w:cs="Times New Roman"/>
          <w:b/>
          <w:bCs/>
          <w:sz w:val="32"/>
          <w:szCs w:val="32"/>
          <w:shd w:val="clear" w:color="auto" w:fill="FFFFFF"/>
          <w:lang w:val="en-US" w:eastAsia="zh-CN" w:bidi="ar"/>
        </w:rPr>
        <w:t>（二）财政拨款收入支出决算总体情况说明</w:t>
      </w:r>
    </w:p>
    <w:p w14:paraId="3C6D020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年度财政拨款收、支总计</w:t>
      </w:r>
      <w:r>
        <w:rPr>
          <w:rFonts w:hint="default" w:ascii="Times New Roman" w:hAnsi="Times New Roman" w:eastAsia="方正仿宋_GBK" w:cs="Times New Roman"/>
          <w:color w:val="auto"/>
          <w:sz w:val="32"/>
          <w:szCs w:val="32"/>
          <w:shd w:val="clear" w:color="auto" w:fill="FFFFFF"/>
          <w:lang w:val="en-US" w:eastAsia="zh-CN"/>
        </w:rPr>
        <w:t>286.03</w:t>
      </w:r>
      <w:r>
        <w:rPr>
          <w:rFonts w:hint="default" w:ascii="Times New Roman" w:hAnsi="Times New Roman" w:eastAsia="方正仿宋_GBK" w:cs="Times New Roman"/>
          <w:color w:val="auto"/>
          <w:sz w:val="32"/>
          <w:szCs w:val="32"/>
          <w:shd w:val="clear" w:color="auto" w:fill="FFFFFF"/>
        </w:rPr>
        <w:t>万元。与202</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年相比，财政拨款收、支总计各增加</w:t>
      </w:r>
      <w:r>
        <w:rPr>
          <w:rFonts w:hint="default" w:ascii="Times New Roman" w:hAnsi="Times New Roman" w:eastAsia="方正仿宋_GBK" w:cs="Times New Roman"/>
          <w:color w:val="auto"/>
          <w:sz w:val="32"/>
          <w:szCs w:val="32"/>
          <w:shd w:val="clear" w:color="auto" w:fill="FFFFFF"/>
          <w:lang w:val="en-US" w:eastAsia="zh-CN"/>
        </w:rPr>
        <w:t>286.03</w:t>
      </w:r>
      <w:r>
        <w:rPr>
          <w:rFonts w:hint="default" w:ascii="Times New Roman" w:hAnsi="Times New Roman" w:eastAsia="方正仿宋_GBK" w:cs="Times New Roman"/>
          <w:color w:val="auto"/>
          <w:sz w:val="32"/>
          <w:szCs w:val="32"/>
          <w:shd w:val="clear" w:color="auto" w:fill="FFFFFF"/>
        </w:rPr>
        <w:t>万元，增加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上年数为0</w:t>
      </w:r>
      <w:r>
        <w:rPr>
          <w:rFonts w:hint="default" w:ascii="Times New Roman" w:hAnsi="Times New Roman" w:eastAsia="方正仿宋_GBK" w:cs="Times New Roman"/>
          <w:color w:val="auto"/>
          <w:sz w:val="32"/>
          <w:szCs w:val="32"/>
          <w:shd w:val="clear" w:color="auto" w:fill="FFFFFF"/>
        </w:rPr>
        <w:t>。</w:t>
      </w:r>
    </w:p>
    <w:p w14:paraId="6C8C2F3C">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sz w:val="32"/>
          <w:szCs w:val="32"/>
          <w:shd w:val="clear" w:color="auto" w:fill="FFFFFF"/>
          <w:lang w:val="en-US" w:eastAsia="zh-CN" w:bidi="ar"/>
        </w:rPr>
      </w:pPr>
      <w:r>
        <w:rPr>
          <w:rFonts w:hint="default" w:ascii="Times New Roman" w:hAnsi="Times New Roman" w:eastAsia="楷体" w:cs="Times New Roman"/>
          <w:b/>
          <w:bCs/>
          <w:sz w:val="32"/>
          <w:szCs w:val="32"/>
          <w:shd w:val="clear" w:color="auto" w:fill="FFFFFF"/>
          <w:lang w:val="en-US" w:eastAsia="zh-CN" w:bidi="ar"/>
        </w:rPr>
        <w:t>一般公共预算财政拨款收入支出决算情况说明</w:t>
      </w:r>
    </w:p>
    <w:p w14:paraId="1A22037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1.收入情况。202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年度一般公共预算财政拨款收入</w:t>
      </w:r>
      <w:r>
        <w:rPr>
          <w:rFonts w:hint="default" w:ascii="Times New Roman" w:hAnsi="Times New Roman" w:eastAsia="方正仿宋_GBK" w:cs="Times New Roman"/>
          <w:color w:val="auto"/>
          <w:sz w:val="32"/>
          <w:szCs w:val="32"/>
          <w:shd w:val="clear" w:color="auto" w:fill="FFFFFF"/>
          <w:lang w:val="en-US" w:eastAsia="zh-CN"/>
        </w:rPr>
        <w:t>286.03</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286.03</w:t>
      </w:r>
      <w:r>
        <w:rPr>
          <w:rFonts w:hint="default" w:ascii="Times New Roman" w:hAnsi="Times New Roman" w:eastAsia="方正仿宋_GBK" w:cs="Times New Roman"/>
          <w:color w:val="auto"/>
          <w:sz w:val="32"/>
          <w:szCs w:val="32"/>
          <w:shd w:val="clear" w:color="auto" w:fill="FFFFFF"/>
        </w:rPr>
        <w:t>万元，增加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上年数为0</w:t>
      </w:r>
      <w:r>
        <w:rPr>
          <w:rFonts w:hint="default" w:ascii="Times New Roman" w:hAnsi="Times New Roman" w:eastAsia="方正仿宋_GBK" w:cs="Times New Roman"/>
          <w:color w:val="auto"/>
          <w:sz w:val="32"/>
          <w:szCs w:val="32"/>
          <w:shd w:val="clear" w:color="auto" w:fill="FFFFFF"/>
        </w:rPr>
        <w:t>。较年初预算数</w:t>
      </w:r>
      <w:r>
        <w:rPr>
          <w:rFonts w:hint="default" w:ascii="Times New Roman" w:hAnsi="Times New Roman" w:eastAsia="方正仿宋_GBK" w:cs="Times New Roman"/>
          <w:color w:val="auto"/>
          <w:sz w:val="32"/>
          <w:szCs w:val="32"/>
          <w:shd w:val="clear" w:color="auto" w:fill="FFFFFF"/>
          <w:lang w:val="en-US" w:eastAsia="zh-CN"/>
        </w:rPr>
        <w:t>增加286.03</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此外，年初财政拨款结转和结余0.00万元。</w:t>
      </w:r>
    </w:p>
    <w:p w14:paraId="7B583BC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2.支出情况。202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年度一般公共预算财政拨款支出</w:t>
      </w:r>
      <w:r>
        <w:rPr>
          <w:rFonts w:hint="default" w:ascii="Times New Roman" w:hAnsi="Times New Roman" w:eastAsia="方正仿宋_GBK" w:cs="Times New Roman"/>
          <w:color w:val="auto"/>
          <w:sz w:val="32"/>
          <w:szCs w:val="32"/>
          <w:shd w:val="clear" w:color="auto" w:fill="FFFFFF"/>
          <w:lang w:val="en-US" w:eastAsia="zh-CN"/>
        </w:rPr>
        <w:t>286.03</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286.03</w:t>
      </w:r>
      <w:r>
        <w:rPr>
          <w:rFonts w:hint="default" w:ascii="Times New Roman" w:hAnsi="Times New Roman" w:eastAsia="方正仿宋_GBK" w:cs="Times New Roman"/>
          <w:color w:val="auto"/>
          <w:sz w:val="32"/>
          <w:szCs w:val="32"/>
          <w:shd w:val="clear" w:color="auto" w:fill="FFFFFF"/>
        </w:rPr>
        <w:t>万元，增加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上年数为0</w:t>
      </w:r>
      <w:r>
        <w:rPr>
          <w:rFonts w:hint="default" w:ascii="Times New Roman" w:hAnsi="Times New Roman" w:eastAsia="方正仿宋_GBK" w:cs="Times New Roman"/>
          <w:color w:val="auto"/>
          <w:sz w:val="32"/>
          <w:szCs w:val="32"/>
          <w:shd w:val="clear" w:color="auto" w:fill="FFFFFF"/>
        </w:rPr>
        <w:t>。较年初预算数</w:t>
      </w:r>
      <w:r>
        <w:rPr>
          <w:rFonts w:hint="default" w:ascii="Times New Roman" w:hAnsi="Times New Roman" w:eastAsia="方正仿宋_GBK" w:cs="Times New Roman"/>
          <w:color w:val="auto"/>
          <w:sz w:val="32"/>
          <w:szCs w:val="32"/>
          <w:shd w:val="clear" w:color="auto" w:fill="FFFFFF"/>
          <w:lang w:val="en-US" w:eastAsia="zh-CN"/>
        </w:rPr>
        <w:t>增加286.03</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w:t>
      </w:r>
      <w:r>
        <w:rPr>
          <w:rFonts w:hint="default" w:ascii="Times New Roman" w:hAnsi="Times New Roman" w:eastAsia="方正仿宋_GBK" w:cs="Times New Roman"/>
          <w:color w:val="auto"/>
          <w:sz w:val="32"/>
          <w:szCs w:val="32"/>
          <w:shd w:val="clear" w:color="auto" w:fill="FFFFFF"/>
          <w:lang w:eastAsia="zh-CN"/>
        </w:rPr>
        <w:t>。</w:t>
      </w:r>
    </w:p>
    <w:p w14:paraId="64B28E0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3.结转结余情况。202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年度年末一般公共预算财政拨款结转和结余0.00万元，较上年决算数无增减。</w:t>
      </w:r>
    </w:p>
    <w:p w14:paraId="07D172D1">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color w:val="auto"/>
          <w:sz w:val="32"/>
          <w:szCs w:val="32"/>
          <w:shd w:val="clear" w:color="auto" w:fill="FFFFFF"/>
        </w:rPr>
        <w:t>4.比较情况。本部门202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w:t>
      </w:r>
      <w:r>
        <w:rPr>
          <w:rFonts w:hint="default" w:ascii="Times New Roman" w:hAnsi="Times New Roman" w:eastAsia="方正仿宋_GBK" w:cs="Times New Roman"/>
          <w:sz w:val="32"/>
          <w:szCs w:val="32"/>
          <w:shd w:val="clear" w:color="auto" w:fill="FFFFFF"/>
        </w:rPr>
        <w:t>一般公共预算财政拨款支出主要用于以下几个方面：</w:t>
      </w:r>
    </w:p>
    <w:p w14:paraId="498525E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）一般公共服务支出</w:t>
      </w:r>
      <w:r>
        <w:rPr>
          <w:rFonts w:hint="default" w:ascii="Times New Roman" w:hAnsi="Times New Roman" w:eastAsia="方正仿宋_GBK" w:cs="Times New Roman"/>
          <w:color w:val="auto"/>
          <w:sz w:val="32"/>
          <w:szCs w:val="32"/>
          <w:shd w:val="clear" w:color="auto" w:fill="FFFFFF"/>
          <w:lang w:val="en-US" w:eastAsia="zh-CN"/>
        </w:rPr>
        <w:t>237.79</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83.13</w:t>
      </w:r>
      <w:r>
        <w:rPr>
          <w:rFonts w:hint="default" w:ascii="Times New Roman" w:hAnsi="Times New Roman" w:eastAsia="方正仿宋_GBK" w:cs="Times New Roman"/>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lang w:val="en-US" w:eastAsia="zh-CN"/>
        </w:rPr>
        <w:t>237.79</w:t>
      </w:r>
      <w:r>
        <w:rPr>
          <w:rFonts w:hint="default" w:ascii="Times New Roman" w:hAnsi="Times New Roman" w:eastAsia="方正仿宋_GBK" w:cs="Times New Roman"/>
          <w:color w:val="auto"/>
          <w:sz w:val="32"/>
          <w:szCs w:val="32"/>
          <w:shd w:val="clear" w:color="auto" w:fill="FFFFFF"/>
        </w:rPr>
        <w:t>万元，上升</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w:t>
      </w:r>
    </w:p>
    <w:p w14:paraId="5FCD68E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）社会保障和就业支出</w:t>
      </w:r>
      <w:r>
        <w:rPr>
          <w:rFonts w:hint="default" w:ascii="Times New Roman" w:hAnsi="Times New Roman" w:eastAsia="方正仿宋_GBK" w:cs="Times New Roman"/>
          <w:color w:val="auto"/>
          <w:sz w:val="32"/>
          <w:szCs w:val="32"/>
          <w:shd w:val="clear" w:color="auto" w:fill="FFFFFF"/>
          <w:lang w:val="en-US" w:eastAsia="zh-CN"/>
        </w:rPr>
        <w:t>19.20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6.71</w:t>
      </w:r>
      <w:r>
        <w:rPr>
          <w:rFonts w:hint="default" w:ascii="Times New Roman" w:hAnsi="Times New Roman" w:eastAsia="方正仿宋_GBK" w:cs="Times New Roman"/>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lang w:val="en-US" w:eastAsia="zh-CN"/>
        </w:rPr>
        <w:t>19.20</w:t>
      </w:r>
      <w:r>
        <w:rPr>
          <w:rFonts w:hint="default" w:ascii="Times New Roman" w:hAnsi="Times New Roman" w:eastAsia="方正仿宋_GBK" w:cs="Times New Roman"/>
          <w:color w:val="auto"/>
          <w:sz w:val="32"/>
          <w:szCs w:val="32"/>
          <w:shd w:val="clear" w:color="auto" w:fill="FFFFFF"/>
        </w:rPr>
        <w:t>万元，上升</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w:t>
      </w:r>
    </w:p>
    <w:p w14:paraId="4CE161C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shd w:val="clear" w:color="auto" w:fill="FFFFFF"/>
          <w:lang w:val="en-US" w:eastAsia="zh-CN"/>
        </w:rPr>
        <w:t>16.38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5.73</w:t>
      </w:r>
      <w:r>
        <w:rPr>
          <w:rFonts w:hint="default" w:ascii="Times New Roman" w:hAnsi="Times New Roman" w:eastAsia="方正仿宋_GBK" w:cs="Times New Roman"/>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lang w:val="en-US" w:eastAsia="zh-CN"/>
        </w:rPr>
        <w:t>16.38</w:t>
      </w:r>
      <w:r>
        <w:rPr>
          <w:rFonts w:hint="default" w:ascii="Times New Roman" w:hAnsi="Times New Roman" w:eastAsia="方正仿宋_GBK" w:cs="Times New Roman"/>
          <w:color w:val="auto"/>
          <w:sz w:val="32"/>
          <w:szCs w:val="32"/>
          <w:shd w:val="clear" w:color="auto" w:fill="FFFFFF"/>
        </w:rPr>
        <w:t>万元，上升</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w:t>
      </w:r>
    </w:p>
    <w:p w14:paraId="7110740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）住房保障支出</w:t>
      </w:r>
      <w:r>
        <w:rPr>
          <w:rFonts w:hint="default" w:ascii="Times New Roman" w:hAnsi="Times New Roman" w:eastAsia="方正仿宋_GBK" w:cs="Times New Roman"/>
          <w:color w:val="auto"/>
          <w:sz w:val="32"/>
          <w:szCs w:val="32"/>
          <w:shd w:val="clear" w:color="auto" w:fill="FFFFFF"/>
          <w:lang w:val="en-US" w:eastAsia="zh-CN"/>
        </w:rPr>
        <w:t>12.66</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4.43</w:t>
      </w:r>
      <w:r>
        <w:rPr>
          <w:rFonts w:hint="default" w:ascii="Times New Roman" w:hAnsi="Times New Roman" w:eastAsia="方正仿宋_GBK" w:cs="Times New Roman"/>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lang w:val="en-US" w:eastAsia="zh-CN"/>
        </w:rPr>
        <w:t>12.66</w:t>
      </w:r>
      <w:r>
        <w:rPr>
          <w:rFonts w:hint="default" w:ascii="Times New Roman" w:hAnsi="Times New Roman" w:eastAsia="方正仿宋_GBK" w:cs="Times New Roman"/>
          <w:color w:val="auto"/>
          <w:sz w:val="32"/>
          <w:szCs w:val="32"/>
          <w:shd w:val="clear" w:color="auto" w:fill="FFFFFF"/>
        </w:rPr>
        <w:t>万元，上升</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w:t>
      </w:r>
    </w:p>
    <w:p w14:paraId="465637E9">
      <w:pPr>
        <w:pStyle w:val="11"/>
        <w:autoSpaceDE w:val="0"/>
        <w:ind w:firstLine="640"/>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（四）一般公共预算财政拨款基本支出决算情况说明</w:t>
      </w:r>
    </w:p>
    <w:p w14:paraId="20715379">
      <w:pPr>
        <w:pStyle w:val="11"/>
        <w:autoSpaceDE w:val="0"/>
        <w:ind w:firstLine="640"/>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年度一般公共财政拨款基本支出</w:t>
      </w:r>
      <w:r>
        <w:rPr>
          <w:rFonts w:hint="default" w:ascii="Times New Roman" w:hAnsi="Times New Roman" w:eastAsia="方正仿宋_GBK" w:cs="Times New Roman"/>
          <w:color w:val="auto"/>
          <w:sz w:val="32"/>
          <w:szCs w:val="32"/>
          <w:shd w:val="clear" w:color="auto" w:fill="FFFFFF"/>
          <w:lang w:val="en-US" w:eastAsia="zh-CN"/>
        </w:rPr>
        <w:t>286.03</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shd w:val="clear" w:color="auto" w:fill="FFFFFF"/>
          <w:lang w:val="en-US" w:eastAsia="zh-CN"/>
        </w:rPr>
        <w:t>246.21</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286.03</w:t>
      </w:r>
      <w:r>
        <w:rPr>
          <w:rFonts w:hint="default" w:ascii="Times New Roman" w:hAnsi="Times New Roman" w:eastAsia="方正仿宋_GBK" w:cs="Times New Roman"/>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上年数为0</w:t>
      </w:r>
      <w:r>
        <w:rPr>
          <w:rFonts w:hint="default" w:ascii="Times New Roman" w:hAnsi="Times New Roman" w:eastAsia="方正仿宋_GBK" w:cs="Times New Roman"/>
          <w:color w:val="auto"/>
          <w:sz w:val="32"/>
          <w:szCs w:val="32"/>
          <w:shd w:val="clear" w:color="auto" w:fill="FFFFFF"/>
        </w:rPr>
        <w:t>。人员经费用途主要包括主要包括基本工资、规范性津贴补贴、绩效工资、社会保障缴费、住房公积金等。公用经费</w:t>
      </w:r>
      <w:r>
        <w:rPr>
          <w:rFonts w:hint="default" w:ascii="Times New Roman" w:hAnsi="Times New Roman" w:eastAsia="方正仿宋_GBK" w:cs="Times New Roman"/>
          <w:color w:val="auto"/>
          <w:sz w:val="32"/>
          <w:szCs w:val="32"/>
          <w:shd w:val="clear" w:color="auto" w:fill="FFFFFF"/>
          <w:lang w:val="en-US" w:eastAsia="zh-CN"/>
        </w:rPr>
        <w:t>39.82</w:t>
      </w:r>
      <w:r>
        <w:rPr>
          <w:rFonts w:hint="default" w:ascii="Times New Roman" w:hAnsi="Times New Roman" w:eastAsia="方正仿宋_GBK" w:cs="Times New Roman"/>
          <w:color w:val="auto"/>
          <w:sz w:val="32"/>
          <w:szCs w:val="32"/>
          <w:shd w:val="clear" w:color="auto" w:fill="FFFFFF"/>
        </w:rPr>
        <w:t>万元，较上年决算数</w:t>
      </w:r>
      <w:r>
        <w:rPr>
          <w:rFonts w:hint="default" w:ascii="Times New Roman" w:hAnsi="Times New Roman" w:eastAsia="方正仿宋_GBK" w:cs="Times New Roman"/>
          <w:color w:val="auto"/>
          <w:sz w:val="32"/>
          <w:szCs w:val="32"/>
          <w:shd w:val="clear" w:color="auto" w:fill="FFFFFF"/>
          <w:lang w:val="en-US" w:eastAsia="zh-CN"/>
        </w:rPr>
        <w:t>增加39.82</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val="en-US" w:eastAsia="zh-CN"/>
        </w:rPr>
        <w:t>上升100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val="en-US" w:eastAsia="zh-CN"/>
        </w:rPr>
        <w:t>上年数为0</w:t>
      </w:r>
      <w:r>
        <w:rPr>
          <w:rFonts w:hint="default" w:ascii="Times New Roman" w:hAnsi="Times New Roman" w:eastAsia="方正仿宋_GBK" w:cs="Times New Roman"/>
          <w:color w:val="auto"/>
          <w:sz w:val="32"/>
          <w:szCs w:val="32"/>
          <w:shd w:val="clear" w:color="auto" w:fill="FFFFFF"/>
        </w:rPr>
        <w:t>。公用经费用途主要包括办公费、电费、水费、印刷费、邮电费、差旅费、维修费、劳务费、公务车运行维护费和办公设备购置等。</w:t>
      </w:r>
    </w:p>
    <w:p w14:paraId="0A4ED9E4">
      <w:pPr>
        <w:pStyle w:val="11"/>
        <w:autoSpaceDE w:val="0"/>
        <w:ind w:left="0" w:leftChars="0" w:firstLine="643" w:firstLineChars="200"/>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（五）政府性基金预算收支决算情况说明</w:t>
      </w:r>
    </w:p>
    <w:p w14:paraId="563E4A24">
      <w:pPr>
        <w:pStyle w:val="11"/>
        <w:keepNext w:val="0"/>
        <w:keepLines w:val="0"/>
        <w:pageBreakBefore w:val="0"/>
        <w:widowControl/>
        <w:numPr>
          <w:ilvl w:val="0"/>
          <w:numId w:val="0"/>
        </w:numPr>
        <w:kinsoku/>
        <w:wordWrap/>
        <w:overflowPunct/>
        <w:topLinePunct w:val="0"/>
        <w:autoSpaceDE w:val="0"/>
        <w:autoSpaceDN/>
        <w:bidi w:val="0"/>
        <w:adjustRightInd/>
        <w:snapToGrid/>
        <w:ind w:firstLine="640" w:firstLineChars="200"/>
        <w:textAlignment w:val="auto"/>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万元，较上年决算数</w:t>
      </w:r>
      <w:r>
        <w:rPr>
          <w:rFonts w:hint="default" w:ascii="Times New Roman" w:hAnsi="Times New Roman" w:eastAsia="方正仿宋_GBK" w:cs="Times New Roman"/>
          <w:sz w:val="32"/>
          <w:szCs w:val="32"/>
          <w:shd w:val="clear" w:color="auto" w:fill="FFFFFF"/>
          <w:lang w:val="en-US" w:eastAsia="zh-CN"/>
        </w:rPr>
        <w:t>无增减</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万元，较上年决算数</w:t>
      </w:r>
      <w:r>
        <w:rPr>
          <w:rFonts w:hint="default" w:ascii="Times New Roman" w:hAnsi="Times New Roman" w:eastAsia="方正仿宋_GBK" w:cs="Times New Roman"/>
          <w:sz w:val="32"/>
          <w:szCs w:val="32"/>
          <w:shd w:val="clear" w:color="auto" w:fill="FFFFFF"/>
          <w:lang w:val="en-US" w:eastAsia="zh-CN"/>
        </w:rPr>
        <w:t>无增减</w:t>
      </w:r>
      <w:r>
        <w:rPr>
          <w:rFonts w:hint="default" w:ascii="Times New Roman" w:hAnsi="Times New Roman" w:eastAsia="方正仿宋_GBK" w:cs="Times New Roman"/>
          <w:kern w:val="0"/>
          <w:sz w:val="32"/>
          <w:szCs w:val="32"/>
          <w:lang w:val="en-US" w:eastAsia="zh-CN"/>
        </w:rPr>
        <w:t>。</w:t>
      </w:r>
    </w:p>
    <w:p w14:paraId="40145DDA">
      <w:pPr>
        <w:pStyle w:val="11"/>
        <w:autoSpaceDE w:val="0"/>
        <w:ind w:firstLine="640"/>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（六）国有资本经营预算财政拨款支出决算情况说明</w:t>
      </w:r>
    </w:p>
    <w:p w14:paraId="62A3F7B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万元，本部门202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年度无国有资本经营预算财政拨款支出。</w:t>
      </w:r>
    </w:p>
    <w:p w14:paraId="4F5B44C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w:t>
      </w:r>
      <w:r>
        <w:rPr>
          <w:rStyle w:val="10"/>
          <w:rFonts w:hint="default" w:ascii="Times New Roman" w:hAnsi="Times New Roman" w:eastAsia="黑体" w:cs="Times New Roman"/>
          <w:sz w:val="32"/>
          <w:szCs w:val="32"/>
          <w:shd w:val="clear" w:color="auto" w:fill="FFFFFF"/>
          <w:lang w:eastAsia="zh-CN"/>
        </w:rPr>
        <w:t>财政拨款</w:t>
      </w:r>
      <w:r>
        <w:rPr>
          <w:rStyle w:val="10"/>
          <w:rFonts w:hint="default" w:ascii="Times New Roman" w:hAnsi="Times New Roman" w:eastAsia="黑体" w:cs="Times New Roman"/>
          <w:sz w:val="32"/>
          <w:szCs w:val="32"/>
          <w:shd w:val="clear" w:color="auto" w:fill="FFFFFF"/>
        </w:rPr>
        <w:t>“三公”经费情况说明</w:t>
      </w:r>
    </w:p>
    <w:p w14:paraId="2428390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（一）“三公”经费支出总体情况说明</w:t>
      </w:r>
    </w:p>
    <w:p w14:paraId="1CFB3F0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年度“三公”经费支出共计</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万元，较年初预算数无增减</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shd w:val="clear" w:color="auto" w:fill="FFFFFF"/>
        </w:rPr>
        <w:t>较上年支出数无增减</w:t>
      </w:r>
      <w:r>
        <w:rPr>
          <w:rFonts w:hint="default" w:ascii="Times New Roman" w:hAnsi="Times New Roman" w:eastAsia="方正仿宋_GBK" w:cs="Times New Roman"/>
          <w:color w:val="auto"/>
          <w:sz w:val="32"/>
          <w:szCs w:val="32"/>
          <w:shd w:val="clear" w:color="auto" w:fill="FFFFFF"/>
        </w:rPr>
        <w:t>。</w:t>
      </w:r>
    </w:p>
    <w:p w14:paraId="1F73D85F">
      <w:pPr>
        <w:pStyle w:val="11"/>
        <w:numPr>
          <w:ilvl w:val="0"/>
          <w:numId w:val="2"/>
        </w:numPr>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“三公”经费分项支出情况</w:t>
      </w:r>
    </w:p>
    <w:p w14:paraId="54E4FD7F">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万元，费用支出较年初预算数无增减，较上年支出数无增减，主要原因是</w:t>
      </w:r>
      <w:r>
        <w:rPr>
          <w:rStyle w:val="10"/>
          <w:rFonts w:hint="default" w:ascii="Times New Roman" w:hAnsi="Times New Roman" w:eastAsia="方正仿宋_GBK" w:cs="Times New Roman"/>
          <w:b w:val="0"/>
          <w:bCs/>
          <w:color w:val="auto"/>
          <w:sz w:val="32"/>
          <w:szCs w:val="32"/>
          <w:lang w:eastAsia="zh-CN"/>
        </w:rPr>
        <w:t>本</w:t>
      </w:r>
      <w:r>
        <w:rPr>
          <w:rStyle w:val="10"/>
          <w:rFonts w:hint="default" w:ascii="Times New Roman" w:hAnsi="Times New Roman" w:eastAsia="方正仿宋_GBK" w:cs="Times New Roman"/>
          <w:b w:val="0"/>
          <w:bCs/>
          <w:color w:val="auto"/>
          <w:sz w:val="32"/>
          <w:szCs w:val="32"/>
          <w:lang w:eastAsia="zh-CN"/>
        </w:rPr>
        <w:t>单位</w:t>
      </w:r>
      <w:r>
        <w:rPr>
          <w:rStyle w:val="10"/>
          <w:rFonts w:hint="default" w:ascii="Times New Roman" w:hAnsi="Times New Roman" w:eastAsia="方正仿宋_GBK" w:cs="Times New Roman"/>
          <w:b w:val="0"/>
          <w:bCs/>
          <w:color w:val="auto"/>
          <w:sz w:val="32"/>
          <w:szCs w:val="32"/>
          <w:lang w:val="en-US" w:eastAsia="zh-CN"/>
        </w:rPr>
        <w:t>202</w:t>
      </w:r>
      <w:r>
        <w:rPr>
          <w:rStyle w:val="10"/>
          <w:rFonts w:hint="default" w:ascii="Times New Roman" w:hAnsi="Times New Roman" w:eastAsia="方正仿宋_GBK" w:cs="Times New Roman"/>
          <w:b w:val="0"/>
          <w:bCs/>
          <w:color w:val="auto"/>
          <w:sz w:val="32"/>
          <w:szCs w:val="32"/>
          <w:lang w:val="en-US" w:eastAsia="zh-CN"/>
        </w:rPr>
        <w:t>4</w:t>
      </w:r>
      <w:r>
        <w:rPr>
          <w:rStyle w:val="10"/>
          <w:rFonts w:hint="default" w:ascii="Times New Roman" w:hAnsi="Times New Roman" w:eastAsia="方正仿宋_GBK" w:cs="Times New Roman"/>
          <w:b w:val="0"/>
          <w:bCs/>
          <w:color w:val="auto"/>
          <w:sz w:val="32"/>
          <w:szCs w:val="32"/>
          <w:lang w:eastAsia="zh-CN"/>
        </w:rPr>
        <w:t>年度未发生</w:t>
      </w:r>
      <w:r>
        <w:rPr>
          <w:rFonts w:hint="default" w:ascii="Times New Roman" w:hAnsi="Times New Roman" w:eastAsia="方正仿宋_GBK" w:cs="Times New Roman"/>
          <w:color w:val="auto"/>
          <w:sz w:val="32"/>
          <w:szCs w:val="32"/>
          <w:lang w:eastAsia="zh-CN"/>
        </w:rPr>
        <w:t>因公出国（境）费用</w:t>
      </w:r>
      <w:r>
        <w:rPr>
          <w:rStyle w:val="10"/>
          <w:rFonts w:hint="default" w:ascii="Times New Roman" w:hAnsi="Times New Roman" w:eastAsia="方正仿宋_GBK" w:cs="Times New Roman"/>
          <w:b w:val="0"/>
          <w:bCs/>
          <w:color w:val="auto"/>
          <w:sz w:val="32"/>
          <w:szCs w:val="32"/>
          <w:lang w:eastAsia="zh-CN"/>
        </w:rPr>
        <w:t>支出。</w:t>
      </w:r>
    </w:p>
    <w:p w14:paraId="0AF6D8D8">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color w:val="auto"/>
          <w:sz w:val="32"/>
        </w:rPr>
        <w:t>本单位202</w:t>
      </w:r>
      <w:r>
        <w:rPr>
          <w:rFonts w:hint="default" w:ascii="Times New Roman" w:hAnsi="Times New Roman" w:eastAsia="方正仿宋_GBK" w:cs="Times New Roman"/>
          <w:color w:val="auto"/>
          <w:sz w:val="32"/>
          <w:lang w:val="en-US" w:eastAsia="zh-CN"/>
        </w:rPr>
        <w:t>4</w:t>
      </w:r>
      <w:r>
        <w:rPr>
          <w:rFonts w:hint="default" w:ascii="Times New Roman" w:hAnsi="Times New Roman" w:eastAsia="方正仿宋_GBK" w:cs="Times New Roman"/>
          <w:color w:val="auto"/>
          <w:sz w:val="32"/>
        </w:rPr>
        <w:t>年度未购置公务车</w:t>
      </w:r>
    </w:p>
    <w:p w14:paraId="04F52B08">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公务车运行维护费</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shd w:val="clear" w:color="auto" w:fill="FFFFFF"/>
        </w:rPr>
        <w:t>费用支出较年初预算数无增减</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较上年支出数无增减</w:t>
      </w:r>
      <w:r>
        <w:rPr>
          <w:rFonts w:hint="default" w:ascii="Times New Roman" w:hAnsi="Times New Roman" w:eastAsia="方正仿宋_GBK" w:cs="Times New Roman"/>
          <w:color w:val="auto"/>
          <w:sz w:val="32"/>
          <w:szCs w:val="32"/>
          <w:shd w:val="clear" w:color="auto" w:fill="FFFFFF"/>
        </w:rPr>
        <w:t>。</w:t>
      </w:r>
    </w:p>
    <w:p w14:paraId="0E21A3A9">
      <w:pPr>
        <w:pStyle w:val="11"/>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方正仿宋_GBK" w:cs="Times New Roman"/>
          <w:color w:val="auto"/>
          <w:sz w:val="32"/>
          <w:szCs w:val="32"/>
          <w:shd w:val="clear" w:color="auto" w:fill="FFFFFF"/>
        </w:rPr>
        <w:t>公务接待费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lang w:val="en-US" w:eastAsia="zh-CN"/>
        </w:rPr>
        <w:t>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w:t>
      </w:r>
      <w:r>
        <w:rPr>
          <w:rFonts w:hint="default" w:ascii="Times New Roman" w:hAnsi="Times New Roman" w:eastAsia="方正仿宋_GBK" w:cs="Times New Roman"/>
          <w:color w:val="auto"/>
          <w:sz w:val="32"/>
          <w:szCs w:val="32"/>
          <w:shd w:val="clear" w:color="auto" w:fill="FFFFFF"/>
        </w:rPr>
        <w:t>。</w:t>
      </w:r>
    </w:p>
    <w:p w14:paraId="7063D754">
      <w:pPr>
        <w:pStyle w:val="11"/>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（三）“三公”经费实物量情况</w:t>
      </w:r>
    </w:p>
    <w:p w14:paraId="19BD99E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年本部门</w:t>
      </w:r>
      <w:r>
        <w:rPr>
          <w:rFonts w:hint="default" w:ascii="Times New Roman" w:hAnsi="Times New Roman" w:eastAsia="方正仿宋_GBK" w:cs="Times New Roman"/>
          <w:color w:val="auto"/>
          <w:sz w:val="32"/>
          <w:szCs w:val="32"/>
          <w:highlight w:val="none"/>
          <w:shd w:val="clear" w:color="auto" w:fill="FFFFFF"/>
        </w:rPr>
        <w:t>人均接待费</w:t>
      </w:r>
      <w:r>
        <w:rPr>
          <w:rFonts w:hint="default" w:ascii="Times New Roman" w:hAnsi="Times New Roman" w:eastAsia="方正仿宋_GBK" w:cs="Times New Roman"/>
          <w:color w:val="auto"/>
          <w:sz w:val="32"/>
          <w:szCs w:val="32"/>
          <w:highlight w:val="none"/>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w:t>
      </w:r>
    </w:p>
    <w:p w14:paraId="7F2F16F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14:paraId="2A22E0F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本年度会议费支出</w:t>
      </w:r>
      <w:r>
        <w:rPr>
          <w:rFonts w:hint="default" w:ascii="Times New Roman" w:hAnsi="Times New Roman" w:eastAsia="方正仿宋_GBK" w:cs="Times New Roman"/>
          <w:color w:val="auto"/>
          <w:sz w:val="32"/>
          <w:szCs w:val="32"/>
          <w:shd w:val="clear" w:color="auto" w:fill="FFFFFF"/>
          <w:lang w:val="en-US" w:eastAsia="zh-CN"/>
        </w:rPr>
        <w:t>2.00</w:t>
      </w:r>
      <w:r>
        <w:rPr>
          <w:rFonts w:hint="default" w:ascii="Times New Roman" w:hAnsi="Times New Roman" w:eastAsia="方正仿宋_GBK" w:cs="Times New Roman"/>
          <w:color w:val="auto"/>
          <w:sz w:val="32"/>
          <w:szCs w:val="32"/>
          <w:shd w:val="clear" w:color="auto" w:fill="FFFFFF"/>
        </w:rPr>
        <w:t>万元，较上年决算数</w:t>
      </w:r>
      <w:r>
        <w:rPr>
          <w:rFonts w:hint="default" w:ascii="Times New Roman" w:hAnsi="Times New Roman" w:eastAsia="方正仿宋_GBK" w:cs="Times New Roman"/>
          <w:color w:val="auto"/>
          <w:sz w:val="32"/>
          <w:szCs w:val="32"/>
          <w:shd w:val="clear" w:color="auto" w:fill="FFFFFF"/>
          <w:lang w:val="en-US" w:eastAsia="zh-CN"/>
        </w:rPr>
        <w:t>增加2.00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val="en-US" w:eastAsia="zh-CN"/>
        </w:rPr>
        <w:t>上升100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上年数为0</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本年度培训费支出</w:t>
      </w:r>
      <w:r>
        <w:rPr>
          <w:rFonts w:hint="default" w:ascii="Times New Roman" w:hAnsi="Times New Roman" w:eastAsia="方正仿宋_GBK" w:cs="Times New Roman"/>
          <w:color w:val="auto"/>
          <w:sz w:val="32"/>
          <w:szCs w:val="32"/>
          <w:shd w:val="clear" w:color="auto" w:fill="FFFFFF"/>
          <w:lang w:val="en-US" w:eastAsia="zh-CN"/>
        </w:rPr>
        <w:t>0.22</w:t>
      </w:r>
      <w:r>
        <w:rPr>
          <w:rFonts w:hint="default" w:ascii="Times New Roman" w:hAnsi="Times New Roman" w:eastAsia="方正仿宋_GBK" w:cs="Times New Roman"/>
          <w:color w:val="auto"/>
          <w:sz w:val="32"/>
          <w:szCs w:val="32"/>
          <w:shd w:val="clear" w:color="auto" w:fill="FFFFFF"/>
        </w:rPr>
        <w:t>万元，较上年决算数</w:t>
      </w:r>
      <w:r>
        <w:rPr>
          <w:rFonts w:hint="default" w:ascii="Times New Roman" w:hAnsi="Times New Roman" w:eastAsia="方正仿宋_GBK" w:cs="Times New Roman"/>
          <w:color w:val="auto"/>
          <w:sz w:val="32"/>
          <w:szCs w:val="32"/>
          <w:shd w:val="clear" w:color="auto" w:fill="FFFFFF"/>
          <w:lang w:val="en-US" w:eastAsia="zh-CN"/>
        </w:rPr>
        <w:t>增加0.22万元，上升100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上年数为0。</w:t>
      </w:r>
    </w:p>
    <w:p w14:paraId="24377A70">
      <w:pPr>
        <w:pStyle w:val="11"/>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（二）机关运行经费情况说明</w:t>
      </w:r>
    </w:p>
    <w:p w14:paraId="7B5D4AB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年度本部门机关运行经费支出</w:t>
      </w:r>
      <w:r>
        <w:rPr>
          <w:rFonts w:hint="default"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万元，机关运行经费较上年支出数</w:t>
      </w:r>
      <w:r>
        <w:rPr>
          <w:rFonts w:hint="default" w:ascii="Times New Roman" w:hAnsi="Times New Roman" w:eastAsia="方正仿宋_GBK" w:cs="Times New Roman"/>
          <w:color w:val="auto"/>
          <w:sz w:val="32"/>
          <w:szCs w:val="32"/>
          <w:shd w:val="clear" w:color="auto" w:fill="FFFFFF"/>
          <w:lang w:val="en-US" w:eastAsia="zh-CN"/>
        </w:rPr>
        <w:t>无增减</w:t>
      </w:r>
      <w:r>
        <w:rPr>
          <w:rFonts w:hint="default" w:ascii="Times New Roman" w:hAnsi="Times New Roman" w:eastAsia="方正仿宋_GBK" w:cs="Times New Roman"/>
          <w:color w:val="auto"/>
          <w:sz w:val="32"/>
          <w:szCs w:val="32"/>
          <w:shd w:val="clear" w:color="auto" w:fill="FFFFFF"/>
        </w:rPr>
        <w:t>。</w:t>
      </w:r>
    </w:p>
    <w:p w14:paraId="7CBCE2FA">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color w:val="auto"/>
          <w:sz w:val="32"/>
          <w:szCs w:val="32"/>
          <w:shd w:val="clear" w:color="auto" w:fill="FFFFFF"/>
          <w:lang w:val="en-US" w:eastAsia="zh-CN" w:bidi="ar"/>
        </w:rPr>
      </w:pPr>
      <w:r>
        <w:rPr>
          <w:rFonts w:hint="default" w:ascii="Times New Roman" w:hAnsi="Times New Roman" w:eastAsia="楷体" w:cs="Times New Roman"/>
          <w:b/>
          <w:bCs/>
          <w:color w:val="auto"/>
          <w:sz w:val="32"/>
          <w:szCs w:val="32"/>
          <w:shd w:val="clear" w:color="auto" w:fill="FFFFFF"/>
          <w:lang w:val="en-US" w:eastAsia="zh-CN" w:bidi="ar"/>
        </w:rPr>
        <w:t>（三）国有资产占用情况说明</w:t>
      </w:r>
    </w:p>
    <w:p w14:paraId="23CCF92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截至202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年12月31日，本部门共有车辆</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辆，其中，副部（省）级及以上领导用车0辆、主要负责人用车0辆、机要通信用车0辆、应急保障用车</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辆、执法执勤用车0辆，特种专业技术用车</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辆，离退休干部用车0辆。单价100万元（含）以上专用设备0台（套）。</w:t>
      </w:r>
    </w:p>
    <w:p w14:paraId="48BFDB6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color w:val="auto"/>
          <w:sz w:val="32"/>
          <w:szCs w:val="32"/>
          <w:shd w:val="clear" w:color="auto" w:fill="FFFFFF"/>
          <w:lang w:val="en-US" w:eastAsia="zh-CN" w:bidi="ar"/>
        </w:rPr>
      </w:pPr>
      <w:r>
        <w:rPr>
          <w:rFonts w:hint="default" w:ascii="Times New Roman" w:hAnsi="Times New Roman" w:eastAsia="楷体" w:cs="Times New Roman"/>
          <w:b/>
          <w:bCs/>
          <w:color w:val="auto"/>
          <w:sz w:val="32"/>
          <w:szCs w:val="32"/>
          <w:shd w:val="clear" w:color="auto" w:fill="FFFFFF"/>
          <w:lang w:val="en-US" w:eastAsia="zh-CN" w:bidi="ar"/>
        </w:rPr>
        <w:t>（四）政府采购支出情况说明</w:t>
      </w:r>
    </w:p>
    <w:p w14:paraId="171CA06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2024年度本部门政府采购支出总额0.00万元，其中：政府采购货物支出0.00万元、政府采购工程支出0.00万元、政府采购服务支出0.00万元。授予中小企业合同金额0.00万元，其中：授予小微企业合同金额0.00万元。</w:t>
      </w:r>
    </w:p>
    <w:p w14:paraId="3929D3D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lang w:val="en-US" w:eastAsia="zh-CN" w:bidi="ar-SA"/>
        </w:rPr>
      </w:pPr>
      <w:r>
        <w:rPr>
          <w:rStyle w:val="10"/>
          <w:rFonts w:hint="default" w:ascii="Times New Roman" w:hAnsi="Times New Roman" w:eastAsia="黑体" w:cs="Times New Roman"/>
          <w:sz w:val="32"/>
          <w:szCs w:val="32"/>
          <w:shd w:val="clear" w:color="auto" w:fill="FFFFFF"/>
          <w:lang w:val="en-US" w:eastAsia="zh-CN" w:bidi="ar-SA"/>
        </w:rPr>
        <w:t>五、2024年度预算绩效管理情况说明</w:t>
      </w:r>
    </w:p>
    <w:p w14:paraId="32C2367E">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（一）单位自评情况</w:t>
      </w:r>
    </w:p>
    <w:p w14:paraId="127B040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本单位自评合并在重庆市璧山区人民政府来凤街道办事处（本级）中。</w:t>
      </w:r>
    </w:p>
    <w:p w14:paraId="54E67B25">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（二）部门绩效评价情况</w:t>
      </w:r>
    </w:p>
    <w:p w14:paraId="4A7A16B6">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我单位未组织开展绩效评价。</w:t>
      </w:r>
    </w:p>
    <w:p w14:paraId="4B3E03B1">
      <w:pPr>
        <w:pStyle w:val="16"/>
        <w:keepNext w:val="0"/>
        <w:keepLines w:val="0"/>
        <w:pageBreakBefore w:val="0"/>
        <w:widowControl/>
        <w:numPr>
          <w:ilvl w:val="0"/>
          <w:numId w:val="2"/>
        </w:numPr>
        <w:kinsoku/>
        <w:wordWrap/>
        <w:overflowPunct/>
        <w:topLinePunct w:val="0"/>
        <w:autoSpaceDE w:val="0"/>
        <w:autoSpaceDN/>
        <w:bidi w:val="0"/>
        <w:adjustRightInd/>
        <w:snapToGrid/>
        <w:spacing w:after="0" w:afterAutospacing="0" w:line="596" w:lineRule="exact"/>
        <w:ind w:left="0" w:leftChars="0" w:firstLine="643" w:firstLineChars="200"/>
        <w:textAlignment w:val="auto"/>
        <w:rPr>
          <w:rFonts w:hint="default" w:ascii="Times New Roman" w:hAnsi="Times New Roman" w:eastAsia="楷体" w:cs="Times New Roman"/>
          <w:b/>
          <w:bCs/>
          <w:kern w:val="0"/>
          <w:sz w:val="32"/>
          <w:szCs w:val="32"/>
          <w:shd w:val="clear" w:fill="FFFFFF"/>
          <w:lang w:val="en-US" w:eastAsia="zh-CN" w:bidi="ar"/>
        </w:rPr>
      </w:pPr>
      <w:r>
        <w:rPr>
          <w:rFonts w:hint="default" w:ascii="Times New Roman" w:hAnsi="Times New Roman" w:eastAsia="楷体" w:cs="Times New Roman"/>
          <w:b/>
          <w:bCs/>
          <w:kern w:val="0"/>
          <w:sz w:val="32"/>
          <w:szCs w:val="32"/>
          <w:shd w:val="clear" w:fill="FFFFFF"/>
          <w:lang w:val="en-US" w:eastAsia="zh-CN" w:bidi="ar"/>
        </w:rPr>
        <w:t>财政绩效评价情况</w:t>
      </w:r>
    </w:p>
    <w:p w14:paraId="38368B3D">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lang w:val="en-US" w:eastAsia="zh-CN"/>
        </w:rPr>
        <w:t>市财政局未</w:t>
      </w:r>
      <w:r>
        <w:rPr>
          <w:rFonts w:hint="default" w:ascii="Times New Roman" w:hAnsi="Times New Roman" w:eastAsia="方正仿宋_GBK" w:cs="Times New Roman"/>
          <w:kern w:val="0"/>
          <w:sz w:val="32"/>
          <w:szCs w:val="32"/>
          <w:shd w:val="clear" w:fill="FFFFFF"/>
        </w:rPr>
        <w:t>委托第三方对我单位开展绩效评价。</w:t>
      </w:r>
    </w:p>
    <w:p w14:paraId="4F5A367F">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仿宋_GBK" w:cs="Times New Roman"/>
          <w:b/>
          <w:bCs/>
          <w:sz w:val="32"/>
          <w:szCs w:val="32"/>
          <w:shd w:val="clear" w:fill="FFFFFF"/>
        </w:rPr>
        <w:t xml:space="preserve"> </w:t>
      </w:r>
      <w:r>
        <w:rPr>
          <w:rStyle w:val="13"/>
          <w:rFonts w:hint="default" w:ascii="Times New Roman" w:hAnsi="Times New Roman" w:eastAsia="方正仿宋_GBK" w:cs="Times New Roman"/>
          <w:b/>
          <w:bCs/>
          <w:sz w:val="32"/>
          <w:szCs w:val="32"/>
          <w:shd w:val="clear" w:fill="FFFFFF"/>
          <w:lang w:val="en-US" w:eastAsia="zh-CN"/>
        </w:rPr>
        <w:t xml:space="preserve">  </w:t>
      </w:r>
      <w:r>
        <w:rPr>
          <w:rStyle w:val="10"/>
          <w:rFonts w:hint="default" w:ascii="Times New Roman" w:hAnsi="Times New Roman" w:eastAsia="黑体" w:cs="Times New Roman"/>
          <w:sz w:val="32"/>
          <w:szCs w:val="32"/>
          <w:shd w:val="clear" w:color="auto" w:fill="FFFFFF"/>
          <w:lang w:val="en-US" w:eastAsia="zh-CN" w:bidi="ar-SA"/>
        </w:rPr>
        <w:t xml:space="preserve"> 六、专业名词解释</w:t>
      </w:r>
    </w:p>
    <w:p w14:paraId="2C7DE1B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6F96A2B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6CE3654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0D1209E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08ED68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AA4909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19AB131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0BD355A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406AF05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A88263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28416BA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4ABC744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680C4A1">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A8E346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55CF0E2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098535D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740CC4E1">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D33663D">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黑体" w:cs="Times New Roman"/>
          <w:sz w:val="32"/>
          <w:szCs w:val="32"/>
          <w:shd w:val="clear" w:color="auto" w:fill="FFFFFF"/>
          <w:lang w:val="en-US" w:eastAsia="zh-CN" w:bidi="ar-SA"/>
        </w:rPr>
        <w:t>七、决算公开联系方式及信息反馈渠道</w:t>
      </w:r>
    </w:p>
    <w:p w14:paraId="38807CD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shd w:val="clear" w:fill="FFFFFF"/>
        </w:rPr>
        <w:t>本单位决算公开信息反馈和联系方式：</w:t>
      </w:r>
      <w:r>
        <w:rPr>
          <w:rFonts w:hint="default" w:ascii="Times New Roman" w:hAnsi="Times New Roman" w:eastAsia="方正仿宋_GBK" w:cs="Times New Roman"/>
          <w:color w:val="FF0000"/>
          <w:kern w:val="0"/>
          <w:sz w:val="32"/>
          <w:szCs w:val="32"/>
          <w:shd w:val="clear" w:fill="FFFFFF"/>
        </w:rPr>
        <w:t>023-</w:t>
      </w:r>
      <w:r>
        <w:rPr>
          <w:rFonts w:hint="default" w:ascii="Times New Roman" w:hAnsi="Times New Roman" w:eastAsia="方正仿宋_GBK" w:cs="Times New Roman"/>
          <w:color w:val="FF0000"/>
          <w:kern w:val="0"/>
          <w:sz w:val="32"/>
          <w:szCs w:val="32"/>
          <w:shd w:val="clear" w:fill="FFFFFF"/>
          <w:lang w:val="en-US" w:eastAsia="zh-CN"/>
        </w:rPr>
        <w:t>41696200</w:t>
      </w:r>
    </w:p>
    <w:p w14:paraId="56BD63AB">
      <w:pPr>
        <w:pStyle w:val="11"/>
        <w:autoSpaceDE w:val="0"/>
        <w:spacing w:line="596" w:lineRule="exact"/>
        <w:ind w:firstLine="640"/>
        <w:jc w:val="both"/>
        <w:rPr>
          <w:rStyle w:val="10"/>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6A8E319E">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455DFC51">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33A7D16C">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537603C3">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778A8E75">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76838CB3">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5B1D645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01</w:t>
            </w:r>
            <w:r>
              <w:rPr>
                <w:rFonts w:hint="default" w:ascii="Times New Roman" w:hAnsi="Times New Roman" w:cs="Times New Roman"/>
                <w:color w:val="000000"/>
                <w:sz w:val="20"/>
                <w:szCs w:val="20"/>
              </w:rPr>
              <w:t>表</w:t>
            </w:r>
          </w:p>
        </w:tc>
      </w:tr>
      <w:tr w14:paraId="502234AA">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5CE83F5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重庆市璧山区来凤街道综合行政执法大队</w:t>
            </w:r>
          </w:p>
        </w:tc>
        <w:tc>
          <w:tcPr>
            <w:tcW w:w="4044" w:type="dxa"/>
            <w:tcBorders>
              <w:top w:val="nil"/>
              <w:left w:val="nil"/>
              <w:bottom w:val="nil"/>
              <w:right w:val="nil"/>
            </w:tcBorders>
            <w:shd w:val="clear" w:color="auto" w:fill="auto"/>
            <w:noWrap/>
            <w:tcMar>
              <w:top w:w="15" w:type="dxa"/>
              <w:left w:w="15" w:type="dxa"/>
              <w:right w:w="15" w:type="dxa"/>
            </w:tcMar>
            <w:vAlign w:val="bottom"/>
          </w:tcPr>
          <w:p w14:paraId="2F55B068">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4E056FE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96E3E7E">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E683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75C46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4D118CC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BFD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1874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9A144">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BD114">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39CD37A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22E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26ED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286.03</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CD30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BB6C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237.79</w:t>
            </w:r>
            <w:r>
              <w:rPr>
                <w:rFonts w:hint="default" w:ascii="Times New Roman" w:hAnsi="Times New Roman" w:cs="Times New Roman"/>
                <w:color w:val="000000"/>
                <w:sz w:val="20"/>
                <w:u w:color="auto"/>
              </w:rPr>
              <w:t xml:space="preserve"> </w:t>
            </w:r>
          </w:p>
        </w:tc>
      </w:tr>
      <w:tr w14:paraId="3771A2C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565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C8FA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0ABA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3B24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64BDA8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615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2BC2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9591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06F7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95716D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5EE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EEAE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8AD0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F10E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7AF58D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655C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90E9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36E6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3E50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722C85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BC64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4811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A760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4F79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45393B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110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EDC0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3DE5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280F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4AD2C3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780F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4A410E6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2182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D909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19.20</w:t>
            </w:r>
            <w:r>
              <w:rPr>
                <w:rFonts w:hint="default" w:ascii="Times New Roman" w:hAnsi="Times New Roman" w:cs="Times New Roman"/>
                <w:color w:val="000000"/>
                <w:sz w:val="20"/>
                <w:u w:color="auto"/>
              </w:rPr>
              <w:t xml:space="preserve"> </w:t>
            </w:r>
          </w:p>
        </w:tc>
      </w:tr>
      <w:tr w14:paraId="20744F6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EE025">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8F61AA">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9D7A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15BF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16.38</w:t>
            </w:r>
            <w:r>
              <w:rPr>
                <w:rFonts w:hint="default" w:ascii="Times New Roman" w:hAnsi="Times New Roman" w:cs="Times New Roman"/>
                <w:color w:val="000000"/>
                <w:sz w:val="20"/>
                <w:u w:color="auto"/>
              </w:rPr>
              <w:t xml:space="preserve"> </w:t>
            </w:r>
          </w:p>
        </w:tc>
      </w:tr>
      <w:tr w14:paraId="23B0DA6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730E">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4B6FEE">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AEAB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C2CD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492179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0A16A">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288364">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C40F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30C6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4D5958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EE4CB">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47FC7D">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122B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D4E0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6EAD70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3A5E">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99387">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1AB3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D319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B36B0E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CFD8F">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6790D">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E743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5143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75E1E1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8023">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1B6B4">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113E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1B41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39013F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8DCC8">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39E1F">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7245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4AB4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ADF102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EE9A5">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56947">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6D9B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52FE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21DC673">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477A8">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5C049">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9AF5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1B8B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4B51CF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E4EA">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30948">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5773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9519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12.66</w:t>
            </w:r>
            <w:r>
              <w:rPr>
                <w:rFonts w:hint="default" w:ascii="Times New Roman" w:hAnsi="Times New Roman" w:cs="Times New Roman"/>
                <w:color w:val="000000"/>
                <w:sz w:val="20"/>
                <w:u w:color="auto"/>
              </w:rPr>
              <w:t xml:space="preserve"> </w:t>
            </w:r>
          </w:p>
        </w:tc>
      </w:tr>
      <w:tr w14:paraId="4DF4665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45CD">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09F19">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772F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79D8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86F360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67361">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246ED">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0A9C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0AE0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CD88F0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5A4A7">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04308">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00E9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CE5E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D99901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A9C83">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2E111">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FD5A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D0B1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8F685B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5714">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3C60A">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0E33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B357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39ED8B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528B">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F8F09">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C59D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5101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9FBA1F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D37E5">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1C72D">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A5DC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A732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28D6F6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A6244">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935C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286.03</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4F3F2">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96F6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286.03</w:t>
            </w:r>
            <w:r>
              <w:rPr>
                <w:rFonts w:hint="default" w:ascii="Times New Roman" w:hAnsi="Times New Roman" w:cs="Times New Roman"/>
                <w:color w:val="000000"/>
                <w:sz w:val="20"/>
                <w:u w:color="auto"/>
              </w:rPr>
              <w:t xml:space="preserve"> </w:t>
            </w:r>
          </w:p>
        </w:tc>
      </w:tr>
      <w:tr w14:paraId="3B12818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F0A1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FFC4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0D9A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9CD4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1557EA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4C7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EDD5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6FDC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84C50E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C5D36E5">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B668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6EAE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286.03</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A78D82D">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3AA2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286.03</w:t>
            </w:r>
            <w:r>
              <w:rPr>
                <w:rFonts w:hint="default" w:ascii="Times New Roman" w:hAnsi="Times New Roman" w:cs="Times New Roman"/>
                <w:color w:val="000000"/>
                <w:sz w:val="20"/>
                <w:u w:color="auto"/>
              </w:rPr>
              <w:t xml:space="preserve"> </w:t>
            </w:r>
          </w:p>
        </w:tc>
      </w:tr>
    </w:tbl>
    <w:p w14:paraId="32BDCBD3">
      <w:pPr>
        <w:rPr>
          <w:rFonts w:hint="default" w:ascii="Times New Roman" w:hAnsi="Times New Roman" w:cs="Times New Roman"/>
          <w:sz w:val="21"/>
          <w:szCs w:val="21"/>
        </w:rPr>
      </w:pPr>
    </w:p>
    <w:p w14:paraId="6E397FC8">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039E5777">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7484D127">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11A0C150">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0D21B3F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重庆市璧山区来凤街道综合行政执法大队</w:t>
            </w:r>
          </w:p>
        </w:tc>
        <w:tc>
          <w:tcPr>
            <w:tcW w:w="1432" w:type="dxa"/>
            <w:tcBorders>
              <w:top w:val="nil"/>
              <w:left w:val="nil"/>
              <w:bottom w:val="nil"/>
              <w:right w:val="nil"/>
            </w:tcBorders>
            <w:shd w:val="clear" w:color="auto" w:fill="auto"/>
            <w:noWrap/>
            <w:tcMar>
              <w:top w:w="15" w:type="dxa"/>
              <w:left w:w="15" w:type="dxa"/>
              <w:right w:w="15" w:type="dxa"/>
            </w:tcMar>
            <w:vAlign w:val="bottom"/>
          </w:tcPr>
          <w:p w14:paraId="6CD15FCA">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3D90958F">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52A7F69D">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4A52A3EC">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8DD1EB7">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51E38A3">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3E9D6FD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02</w:t>
            </w:r>
            <w:r>
              <w:rPr>
                <w:rFonts w:hint="default" w:ascii="Times New Roman" w:hAnsi="Times New Roman" w:cs="Times New Roman"/>
                <w:color w:val="000000"/>
                <w:sz w:val="20"/>
                <w:szCs w:val="20"/>
              </w:rPr>
              <w:t>表</w:t>
            </w:r>
          </w:p>
        </w:tc>
      </w:tr>
      <w:tr w14:paraId="27F4B1EC">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652AE656">
            <w:pPr>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5FC29464">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49997061">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5109536E">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1E7DAC8B">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6E251BC">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9563B61">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0EB378A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0643A8D">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62A96A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C4C9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6B81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42A2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7F1489">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B90B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462E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66A9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21021D08">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DBD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5CD53C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85A26">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D7551">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AF474">
            <w:pPr>
              <w:jc w:val="center"/>
              <w:rPr>
                <w:rFonts w:hint="default" w:ascii="Times New Roman" w:hAnsi="Times New Roman" w:cs="Times New Roman"/>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7A7F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857F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12E99">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A62F5">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1617A">
            <w:pPr>
              <w:jc w:val="center"/>
              <w:rPr>
                <w:rFonts w:hint="default" w:ascii="Times New Roman" w:hAnsi="Times New Roman" w:cs="Times New Roman"/>
                <w:b/>
                <w:color w:val="000000"/>
                <w:sz w:val="20"/>
                <w:szCs w:val="20"/>
              </w:rPr>
            </w:pPr>
          </w:p>
        </w:tc>
      </w:tr>
      <w:tr w14:paraId="7D51F3D7">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CDEBB">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C5F1406">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C002C">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F9B62">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2807A">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F59EF">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E61CC">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2F3F2">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1C4F7">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06682">
            <w:pPr>
              <w:jc w:val="center"/>
              <w:rPr>
                <w:rFonts w:hint="default" w:ascii="Times New Roman" w:hAnsi="Times New Roman" w:cs="Times New Roman"/>
                <w:b/>
                <w:color w:val="000000"/>
                <w:sz w:val="20"/>
                <w:szCs w:val="20"/>
              </w:rPr>
            </w:pPr>
          </w:p>
        </w:tc>
      </w:tr>
      <w:tr w14:paraId="6C2FC3F8">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4A0B0">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9AA4C3A">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11699">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9AE0A">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A64DE">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0ECD3">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5FC64">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44E8A">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452B5">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ADB2B">
            <w:pPr>
              <w:jc w:val="center"/>
              <w:rPr>
                <w:rFonts w:hint="default" w:ascii="Times New Roman" w:hAnsi="Times New Roman" w:cs="Times New Roman"/>
                <w:b/>
                <w:color w:val="000000"/>
                <w:sz w:val="20"/>
                <w:szCs w:val="20"/>
              </w:rPr>
            </w:pPr>
          </w:p>
        </w:tc>
      </w:tr>
      <w:tr w14:paraId="61939D13">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8F4BB">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723249">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A6F99">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84A49">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0FA76">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DB8E2">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1FDF0">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14435">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94CF1">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63B19">
            <w:pPr>
              <w:jc w:val="center"/>
              <w:rPr>
                <w:rFonts w:hint="default" w:ascii="Times New Roman" w:hAnsi="Times New Roman" w:cs="Times New Roman"/>
                <w:b/>
                <w:color w:val="000000"/>
                <w:sz w:val="20"/>
                <w:szCs w:val="20"/>
              </w:rPr>
            </w:pPr>
          </w:p>
        </w:tc>
      </w:tr>
      <w:tr w14:paraId="35ABD827">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D4C9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20A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286.03</w:t>
            </w:r>
            <w:r>
              <w:rPr>
                <w:rFonts w:hint="default" w:ascii="Times New Roman" w:hAnsi="Times New Roman" w:cs="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D10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286.03</w:t>
            </w:r>
            <w:r>
              <w:rPr>
                <w:rFonts w:hint="default" w:ascii="Times New Roman" w:hAnsi="Times New Roman" w:cs="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D1F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4F7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668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87D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7F7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38AA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C06703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72A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2AA4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A1A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237.79</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9B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237.79</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93A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B69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92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FA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C4F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60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CB328D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C3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9FF5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F85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237.79</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73C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237.79</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3E3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56D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291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E73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53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5C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B0BD52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C66C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28C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B09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237.79</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2A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237.79</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2BF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3C7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F81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5F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3A0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BFE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3E115D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5B52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D1DA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E0A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36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747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CE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B8F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B2D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9C4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E6F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E37092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3C9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BC10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E72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143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40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0AC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E93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BDD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6BC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149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7B15B9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64A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EAF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0E6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F3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858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F77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7F4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B17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15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E43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1D4306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D90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02C9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C52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421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FE6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D8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29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C19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627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1E4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79891C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8D4B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AF7F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BE8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16.38</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EDA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16.38</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A0A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F2E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C8D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C5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AA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A5D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34CAB1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6C2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4AF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96F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16.38</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8C9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16.38</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8E0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8E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AA4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731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E2F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33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A17F9B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B0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722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F92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14.91</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1FD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14.91</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20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CCE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22E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E8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170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536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FE7F52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739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5CF1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538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FB8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4E7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995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E8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095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D1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146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93E3B7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6CE6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B45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E58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12.66</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7E6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12.66</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65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4AB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87D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455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686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395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7123E7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225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E74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08E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12.66</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5DB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12.66</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40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0BE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E7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A96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7AB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A8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675C5C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C13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6FE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CF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12.66</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CEC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12.66</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95E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C4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3E6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85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DEF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B39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1C4B8E1">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BB5118C">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45B0C575">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1D1EF5F2">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50105EA1">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14:paraId="474E85DD">
            <w:pPr>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重庆市璧山区来凤街道综合行政执法大队 </w:t>
            </w:r>
          </w:p>
        </w:tc>
        <w:tc>
          <w:tcPr>
            <w:tcW w:w="1740" w:type="dxa"/>
            <w:tcBorders>
              <w:top w:val="nil"/>
              <w:left w:val="nil"/>
              <w:bottom w:val="nil"/>
              <w:right w:val="nil"/>
            </w:tcBorders>
            <w:shd w:val="clear" w:color="auto" w:fill="auto"/>
            <w:noWrap/>
            <w:tcMar>
              <w:top w:w="15" w:type="dxa"/>
              <w:left w:w="15" w:type="dxa"/>
              <w:right w:w="15" w:type="dxa"/>
            </w:tcMar>
            <w:vAlign w:val="bottom"/>
          </w:tcPr>
          <w:p w14:paraId="065A04F9">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3F34EF3F">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66BB15B2">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2F2813E0">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37A0EF1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03</w:t>
            </w:r>
            <w:r>
              <w:rPr>
                <w:rFonts w:hint="default" w:ascii="Times New Roman" w:hAnsi="Times New Roman" w:cs="Times New Roman"/>
                <w:color w:val="000000"/>
                <w:sz w:val="20"/>
                <w:szCs w:val="20"/>
              </w:rPr>
              <w:t>表</w:t>
            </w:r>
          </w:p>
        </w:tc>
      </w:tr>
      <w:tr w14:paraId="3388C28B">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14:paraId="33D9277A">
            <w:pPr>
              <w:rPr>
                <w:rFonts w:hint="default" w:ascii="Times New Roman" w:hAnsi="Times New Roman" w:cs="Times New Roman"/>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14:paraId="16B0C1C9">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268F3ECD">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0D468A6F">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4CA87D8C">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772AB35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94E64F1">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692AF6">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D7ED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4506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D04C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D465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4F93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69C8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68543CB2">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DF30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99B97D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E8592">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F8789">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FDFBA">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2DEE9">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DB798">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D8190">
            <w:pPr>
              <w:jc w:val="center"/>
              <w:rPr>
                <w:rFonts w:hint="default" w:ascii="Times New Roman" w:hAnsi="Times New Roman" w:cs="Times New Roman"/>
                <w:b/>
                <w:color w:val="000000"/>
                <w:sz w:val="20"/>
                <w:szCs w:val="20"/>
              </w:rPr>
            </w:pPr>
          </w:p>
        </w:tc>
      </w:tr>
      <w:tr w14:paraId="5C44F79B">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2FAB4">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3A0EA68">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A4DBB">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AFCCA">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CB7AB">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1C21D">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4D858">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8619D">
            <w:pPr>
              <w:jc w:val="center"/>
              <w:rPr>
                <w:rFonts w:hint="default" w:ascii="Times New Roman" w:hAnsi="Times New Roman" w:cs="Times New Roman"/>
                <w:b/>
                <w:color w:val="000000"/>
                <w:sz w:val="20"/>
                <w:szCs w:val="20"/>
              </w:rPr>
            </w:pPr>
          </w:p>
        </w:tc>
      </w:tr>
      <w:tr w14:paraId="5E18F25D">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B7C1">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FB5DB33">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F8EC6">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3D68C">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FC04D">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5C754">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6BD3B">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04781">
            <w:pPr>
              <w:jc w:val="center"/>
              <w:rPr>
                <w:rFonts w:hint="default" w:ascii="Times New Roman" w:hAnsi="Times New Roman" w:cs="Times New Roman"/>
                <w:b/>
                <w:color w:val="000000"/>
                <w:sz w:val="20"/>
                <w:szCs w:val="20"/>
              </w:rPr>
            </w:pPr>
          </w:p>
        </w:tc>
      </w:tr>
      <w:tr w14:paraId="1C5714CE">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639A">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FDB902D">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A1CCA">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2E689">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AC64">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795B6">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A69A0">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E347B">
            <w:pPr>
              <w:jc w:val="center"/>
              <w:rPr>
                <w:rFonts w:hint="default" w:ascii="Times New Roman" w:hAnsi="Times New Roman" w:cs="Times New Roman"/>
                <w:b/>
                <w:color w:val="000000"/>
                <w:sz w:val="20"/>
                <w:szCs w:val="20"/>
              </w:rPr>
            </w:pPr>
          </w:p>
        </w:tc>
      </w:tr>
      <w:tr w14:paraId="1DC5B5AF">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F849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1E3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286.03</w:t>
            </w:r>
            <w:r>
              <w:rPr>
                <w:rFonts w:hint="default" w:ascii="Times New Roman" w:hAnsi="Times New Roman" w:cs="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6C7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286.03</w:t>
            </w:r>
            <w:r>
              <w:rPr>
                <w:rFonts w:hint="default" w:ascii="Times New Roman" w:hAnsi="Times New Roman" w:cs="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AEB7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F25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3B7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2AF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5E19F0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B9CF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EE20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89E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237.79</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0E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237.79</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407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1B9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646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1C2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F7BF8D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B1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501F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391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237.79</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D89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237.79</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C19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3E8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33C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2C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B9710E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80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7EBB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DE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237.79</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46C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237.79</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78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FB5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12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CF1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C5F84B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7DE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E56A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909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4AB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B16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1FE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5EC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F32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3DABCE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B25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E3E0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094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52A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735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C70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DB4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08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576C28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65F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7553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61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E5B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415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7A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A1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A47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E12B85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9AF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3CF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28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D5C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853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DF3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8E3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E0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BA9406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D59B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090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00B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16.38</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B80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16.38</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196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76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8D2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DB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7C4A85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804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8F92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F98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16.38</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F3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16.38</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1B3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D77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3F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F6F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993722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4C4B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9F0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944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14.91</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035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14.91</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526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4B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6E8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5E0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BD438C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9C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30E6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A9B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914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846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BB5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308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00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A4FE96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A2E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0C5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813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12.66</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25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12.66</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A6E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904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C87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8E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05DE6D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814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8ED6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909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12.66</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359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12.66</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35A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AA3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EF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F4E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C0CA21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ABD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4D12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946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12.66</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C6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12.66</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6D0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F36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3D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69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47D3F6DC">
      <w:pPr>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08CF1DC">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43B2F3E6">
      <w:pPr>
        <w:rPr>
          <w:rFonts w:hint="default" w:ascii="Times New Roman" w:hAnsi="Times New Roman" w:cs="Times New Roman"/>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66598977">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57B60578">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795AE3BF">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21BABFF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重庆市璧山区来凤街道综合行政执法大队</w:t>
            </w:r>
          </w:p>
        </w:tc>
        <w:tc>
          <w:tcPr>
            <w:tcW w:w="1694" w:type="dxa"/>
            <w:tcBorders>
              <w:top w:val="nil"/>
              <w:left w:val="nil"/>
              <w:bottom w:val="nil"/>
              <w:right w:val="nil"/>
            </w:tcBorders>
            <w:shd w:val="clear" w:color="auto" w:fill="auto"/>
            <w:noWrap/>
            <w:tcMar>
              <w:top w:w="15" w:type="dxa"/>
              <w:left w:w="15" w:type="dxa"/>
              <w:right w:w="15" w:type="dxa"/>
            </w:tcMar>
            <w:vAlign w:val="bottom"/>
          </w:tcPr>
          <w:p w14:paraId="4FB28CCF">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7955D76">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077B0B8">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5AC7832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04</w:t>
            </w:r>
            <w:r>
              <w:rPr>
                <w:rFonts w:hint="default" w:ascii="Times New Roman" w:hAnsi="Times New Roman" w:cs="Times New Roman"/>
                <w:color w:val="000000"/>
                <w:sz w:val="20"/>
                <w:szCs w:val="20"/>
              </w:rPr>
              <w:t>表</w:t>
            </w:r>
          </w:p>
        </w:tc>
      </w:tr>
      <w:tr w14:paraId="490E23A9">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766F706A">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5F14544">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FE6E213">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82A2392">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558DBA0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446CF2F">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5DB9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2026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6C28B1DB">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7615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172D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2D6C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63E7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5EA25561">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F91CE">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DBA6F">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620D2">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9A2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1655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3570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9602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537AC20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1C3D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891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286.03</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63D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F8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237.79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54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237.79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DC6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725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5C38A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7516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055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787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F91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B6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365F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3AA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43005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3A0F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5BF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77D5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57B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E33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8A1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591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16D7E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2C5A0">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E67C17">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D812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3F0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968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A43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0C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2717C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EE309">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2E1FDD">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71C8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E8F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4D4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E58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FCC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F8972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30A1B">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1CF643">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CB11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21F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DC7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91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17D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CA590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902D3">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97618B">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F0F9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B87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B79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B1AA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8C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40C90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72A48">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23D3E9">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3A53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53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19.20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15B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19.20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D7C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6C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34D9B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1618">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0484CB">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8326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5902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16.38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257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16.38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3B6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6D7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2B9F3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6F741">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75B71">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872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34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98A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58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0C3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8A06E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E649C">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09B6D">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244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036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39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32C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27E5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64A6DC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B6E20">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EFC3">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265F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6BA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67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0F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D19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60D9C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718C">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1A485">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FD32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33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546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99B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D16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23827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B493E">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4AF89">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50C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F7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B885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B8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BAD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A009D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F2A35">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13338">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490E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16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336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E29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598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AFC6B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75521">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C0DBC">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6C5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7DC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0F4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59C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1C7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CD090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930B">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5E43D">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6ADB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FDF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A34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A58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145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43F62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AF7D1">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027CD">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D37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B86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048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0B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52E6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BF1BEB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4393C">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00FC">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6A97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C803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12.66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134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12.66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E1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893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B553F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0B11">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F2CD">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2EC8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688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E4E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AE2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EDC6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DCE86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11EA">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46F97">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1F2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36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480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0D7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77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A3DB5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E6249">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30DAC">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C63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89A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7279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5B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BA2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6F7D3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3C8E3">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2CCE2">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57F7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926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A7DC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10B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107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7353E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8DED40">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7D73">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5290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D3A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577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D79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B77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756F6F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100C4B">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8651">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0D17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FB5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B7F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CCF9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1CFD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C923F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2A5B3A">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E1709">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777A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D0C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A1D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35E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F4C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FD9C1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F9069">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E5F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286.03</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0B9BD">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1E3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286.03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B2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286.03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5433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62A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E4CDD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D14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DE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5687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97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7E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814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E78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736A54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435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38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0AF9C8">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CA3325">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2AB237">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6F9BE2">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62F7C2">
            <w:pPr>
              <w:spacing w:line="200" w:lineRule="exact"/>
              <w:rPr>
                <w:rFonts w:hint="default" w:ascii="Times New Roman" w:hAnsi="Times New Roman" w:cs="Times New Roman"/>
                <w:color w:val="000000"/>
                <w:sz w:val="18"/>
                <w:szCs w:val="18"/>
              </w:rPr>
            </w:pPr>
          </w:p>
        </w:tc>
      </w:tr>
      <w:tr w14:paraId="32A6538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714D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02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B3846">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0A216">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B505">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6B71A">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D755C">
            <w:pPr>
              <w:spacing w:line="200" w:lineRule="exact"/>
              <w:jc w:val="right"/>
              <w:rPr>
                <w:rFonts w:hint="default" w:ascii="Times New Roman" w:hAnsi="Times New Roman" w:cs="Times New Roman"/>
                <w:color w:val="000000"/>
                <w:sz w:val="18"/>
                <w:szCs w:val="18"/>
              </w:rPr>
            </w:pPr>
          </w:p>
        </w:tc>
      </w:tr>
      <w:tr w14:paraId="6123D71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5CDF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117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C8F1">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15F3">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D53E8">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2F952">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6D931">
            <w:pPr>
              <w:spacing w:line="200" w:lineRule="exact"/>
              <w:jc w:val="right"/>
              <w:rPr>
                <w:rFonts w:hint="default" w:ascii="Times New Roman" w:hAnsi="Times New Roman" w:cs="Times New Roman"/>
                <w:color w:val="000000"/>
                <w:sz w:val="18"/>
                <w:szCs w:val="18"/>
              </w:rPr>
            </w:pPr>
          </w:p>
        </w:tc>
      </w:tr>
      <w:tr w14:paraId="671BCDD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024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79F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286.03</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997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F9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286.03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7E1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286.03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9A0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B31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5771B8FD">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30"/>
        <w:gridCol w:w="4067"/>
        <w:gridCol w:w="3300"/>
        <w:gridCol w:w="3291"/>
        <w:gridCol w:w="3334"/>
      </w:tblGrid>
      <w:tr w14:paraId="72C12318">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6A864C02">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186EF9E2">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79F17D9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重庆市璧山区来凤街道综合行政执法大队</w:t>
            </w:r>
          </w:p>
        </w:tc>
        <w:tc>
          <w:tcPr>
            <w:tcW w:w="3291" w:type="dxa"/>
            <w:tcBorders>
              <w:top w:val="nil"/>
              <w:left w:val="nil"/>
              <w:bottom w:val="nil"/>
              <w:right w:val="nil"/>
            </w:tcBorders>
            <w:shd w:val="clear" w:color="auto" w:fill="auto"/>
            <w:noWrap/>
            <w:tcMar>
              <w:top w:w="15" w:type="dxa"/>
              <w:left w:w="15" w:type="dxa"/>
              <w:right w:w="15" w:type="dxa"/>
            </w:tcMar>
            <w:vAlign w:val="bottom"/>
          </w:tcPr>
          <w:p w14:paraId="794E9468">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6458C90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05</w:t>
            </w:r>
            <w:r>
              <w:rPr>
                <w:rFonts w:hint="default" w:ascii="Times New Roman" w:hAnsi="Times New Roman" w:cs="Times New Roman"/>
                <w:color w:val="000000"/>
                <w:sz w:val="20"/>
                <w:szCs w:val="20"/>
              </w:rPr>
              <w:t>表</w:t>
            </w:r>
          </w:p>
        </w:tc>
      </w:tr>
      <w:tr w14:paraId="288C5450">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4F2935B6">
            <w:pPr>
              <w:rPr>
                <w:rFonts w:hint="default" w:ascii="Times New Roman" w:hAnsi="Times New Roman" w:cs="Times New Roman"/>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533AF545">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4D09A3A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EBB4975">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9618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96D2D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1769DDA">
        <w:tblPrEx>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234E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5013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7A5F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291F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B934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6033050">
        <w:tblPrEx>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64A3F">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C4707">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66857">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5E423">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459D7A">
            <w:pPr>
              <w:jc w:val="center"/>
              <w:rPr>
                <w:rFonts w:hint="default" w:ascii="Times New Roman" w:hAnsi="Times New Roman" w:cs="Times New Roman"/>
                <w:b/>
                <w:color w:val="000000"/>
                <w:sz w:val="20"/>
                <w:szCs w:val="20"/>
              </w:rPr>
            </w:pPr>
          </w:p>
        </w:tc>
      </w:tr>
      <w:tr w14:paraId="305F00AD">
        <w:tblPrEx>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06146">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DDC94">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CDCBA">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3053A">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56919">
            <w:pPr>
              <w:jc w:val="center"/>
              <w:rPr>
                <w:rFonts w:hint="default" w:ascii="Times New Roman" w:hAnsi="Times New Roman" w:cs="Times New Roman"/>
                <w:b/>
                <w:color w:val="000000"/>
                <w:sz w:val="20"/>
                <w:szCs w:val="20"/>
              </w:rPr>
            </w:pPr>
          </w:p>
        </w:tc>
      </w:tr>
      <w:tr w14:paraId="454BC33A">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D20D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7D4E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286.03</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A27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286.03</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B93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C70581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8059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5DA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B93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237.79</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7D4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237.79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96A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DB22DE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42A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738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0C6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237.79</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1A2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237.79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3F9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B9AF7D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2DC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7BA9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E2B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237.79</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45B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237.79</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CBE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E002A7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4D7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EF14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3E0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19.20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E20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19.20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748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6E8B94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2FA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DEB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5CF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19.20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6CF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19.20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7E5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A6B4AD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579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8FD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D3D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12.80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561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12.80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46B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9BBDE8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B12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E84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106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6.40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FE3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6.40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BDE9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6C382E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D98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22DB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4C0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16.38</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4BE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16.38</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1F9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91505F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C81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5FCE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EB0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16.38</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4E7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16.38</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E5A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374CF2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A0B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141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845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14.91</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03E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14.91</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C1D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EF3855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3C5C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228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D37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1.47</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131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1.47</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283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A4244B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9E93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C44A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245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12.66</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5EA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12.66</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586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6543AD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910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313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A55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12.66</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D55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12.66</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E43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3FDE5E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6A58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74B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8F3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12.66</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175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12.66</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2E0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474F8CB2">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FB371E0">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14:paraId="0B1E8496">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692D399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0BD16261">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3BE8187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重庆市璧山区来凤街道综合行政执法大队</w:t>
            </w:r>
          </w:p>
        </w:tc>
        <w:tc>
          <w:tcPr>
            <w:tcW w:w="1400" w:type="dxa"/>
            <w:tcBorders>
              <w:top w:val="nil"/>
              <w:left w:val="nil"/>
              <w:bottom w:val="nil"/>
              <w:right w:val="nil"/>
            </w:tcBorders>
            <w:shd w:val="clear" w:color="auto" w:fill="auto"/>
            <w:noWrap/>
            <w:tcMar>
              <w:top w:w="15" w:type="dxa"/>
              <w:left w:w="15" w:type="dxa"/>
              <w:right w:w="15" w:type="dxa"/>
            </w:tcMar>
            <w:vAlign w:val="bottom"/>
          </w:tcPr>
          <w:p w14:paraId="6E24634D">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14:paraId="7F9923B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14:paraId="0F439075">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27F697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06</w:t>
            </w:r>
            <w:r>
              <w:rPr>
                <w:rFonts w:hint="default" w:ascii="Times New Roman" w:hAnsi="Times New Roman" w:cs="Times New Roman"/>
                <w:color w:val="000000"/>
                <w:sz w:val="20"/>
                <w:szCs w:val="20"/>
              </w:rPr>
              <w:t>表</w:t>
            </w:r>
          </w:p>
        </w:tc>
      </w:tr>
      <w:tr w14:paraId="36C3EDE2">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5EA10570">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400" w:type="dxa"/>
            <w:tcBorders>
              <w:top w:val="nil"/>
              <w:left w:val="nil"/>
              <w:bottom w:val="nil"/>
              <w:right w:val="nil"/>
            </w:tcBorders>
            <w:shd w:val="clear" w:color="auto" w:fill="auto"/>
            <w:noWrap/>
            <w:tcMar>
              <w:top w:w="15" w:type="dxa"/>
              <w:left w:w="15" w:type="dxa"/>
              <w:right w:w="15" w:type="dxa"/>
            </w:tcMar>
            <w:vAlign w:val="bottom"/>
          </w:tcPr>
          <w:p w14:paraId="270C0826">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14:paraId="6515EBE0">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14:paraId="4683C874">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378C386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FCAA9DE">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E076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80422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2F5F2060">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2939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E56F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9F36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0AE4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9CC4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CEEE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84E4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C509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E115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60278152">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A0C38">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7AF7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FA6B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C8CC4">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ABC0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CFB4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080CF">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0047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4BAA9">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0A7BC89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355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3EE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1E8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246.21</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A02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BE8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B56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39.82</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99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372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42F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8F2E4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20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5DF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1ED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57.44</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54A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600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BB2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12.21</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B99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8BF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1A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6FB89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7A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760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46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2.09</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2E0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EF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9C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D43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06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2C7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81CF7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1DE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A69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2D9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04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8B8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71B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AA5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EFE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646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52328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191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DA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29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2A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34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E5D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E59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9BF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F9B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D609A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86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A37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1E8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136.16</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AF8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55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B4D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D4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0C0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06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32A92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D47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513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C5A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25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77B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E1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049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534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F6F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DDE52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21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755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A1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215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7FD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3D0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0.73</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1F3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70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13C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C284B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DD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55B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D80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10.61</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39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43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721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34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41E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410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9B3F7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4E3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CDE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EBA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5F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4B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370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E32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3A6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74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AA30A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973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97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3A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2.52</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472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FE2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A0C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24C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BD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F18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98913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D5E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63E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575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12.66</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AC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056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D0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A27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574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7BE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33498C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4F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DF9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1D4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3.55</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7FE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2D6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DBD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3FF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9FE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CCF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4AB50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446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104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9CD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1.98</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1BA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24F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745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0F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54F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233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5C7E8B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D52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EA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3F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325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23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FA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E2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02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4B8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5E775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BC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A9A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32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E80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D3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71E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0.22</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C3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F5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FCF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0EEC1E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A2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3F7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F57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050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C72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A78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AD7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FE4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7C2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C2BA8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16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5AE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EFA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54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EB7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6D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9B2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7A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54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8E81C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3A5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C77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2D0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AFC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D4D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8A0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CA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E3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1BA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035AE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3C2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A15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1FE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70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3C3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FCD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A15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A05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52C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3BE30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6FB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683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CC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9B2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7B7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BE0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0.18</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D51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617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78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38E1F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BE6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D5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86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98D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2E0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64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BD4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468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3C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084B3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80E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EF6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BE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10A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FEC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285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1.98</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051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432DD">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04D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D8596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5CA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93C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77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AB1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ECA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B4B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1.55</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0D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054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A57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4EF28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9BC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F4B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9F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C02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E0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7C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130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6C8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FF0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4676F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48C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2B7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833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196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1AC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65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0.96</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B94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133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CF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0E819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A3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AF7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C08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CE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F1D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3F5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76E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C78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508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8E31B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4A3A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871E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28A94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4AB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FA9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D0B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11.67</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E6D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39F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60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27486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E0F1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693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623F9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21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775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96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E32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06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C47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542C6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F21C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B15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77F24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352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C4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BB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03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70F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3DD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D75BD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B04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EFF1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60AE3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D02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BA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969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F3E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54C6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C93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57B6879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9DCB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CE9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4B552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DF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C4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EE3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0B18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AC09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BA8E">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753708DF">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A39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D56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AF8C5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E3A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A32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5CD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64C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6AAC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0797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6DAA6CF1">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E0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FFA1FA">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246.21</w:t>
            </w:r>
            <w:r>
              <w:rPr>
                <w:rFonts w:hint="default" w:ascii="Times New Roman" w:hAnsi="Times New Roman" w:cs="Times New Roman"/>
                <w:color w:val="000000"/>
                <w:sz w:val="18"/>
                <w:u w:color="auto"/>
              </w:rPr>
              <w:t xml:space="preserve"> </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51FC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402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39.82</w:t>
            </w:r>
            <w:r>
              <w:rPr>
                <w:rFonts w:hint="default" w:ascii="Times New Roman" w:hAnsi="Times New Roman" w:cs="Times New Roman"/>
                <w:color w:val="000000"/>
                <w:sz w:val="18"/>
                <w:u w:color="auto"/>
              </w:rPr>
              <w:t xml:space="preserve"> </w:t>
            </w:r>
          </w:p>
        </w:tc>
      </w:tr>
    </w:tbl>
    <w:p w14:paraId="51EF23D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501C6B02">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FC899DC">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0E25DA13">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668D0DD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重庆市璧山区来凤街道综合行政执法大队</w:t>
            </w:r>
          </w:p>
        </w:tc>
        <w:tc>
          <w:tcPr>
            <w:tcW w:w="1701" w:type="dxa"/>
            <w:tcBorders>
              <w:top w:val="nil"/>
              <w:left w:val="nil"/>
              <w:bottom w:val="nil"/>
              <w:right w:val="nil"/>
            </w:tcBorders>
            <w:shd w:val="clear" w:color="auto" w:fill="auto"/>
            <w:noWrap/>
            <w:tcMar>
              <w:top w:w="15" w:type="dxa"/>
              <w:left w:w="15" w:type="dxa"/>
              <w:right w:w="15" w:type="dxa"/>
            </w:tcMar>
            <w:vAlign w:val="bottom"/>
          </w:tcPr>
          <w:p w14:paraId="7457913A">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146D10F">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3CFD9B9">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302C2B5E">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1F4E243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07</w:t>
            </w:r>
            <w:r>
              <w:rPr>
                <w:rFonts w:hint="default" w:ascii="Times New Roman" w:hAnsi="Times New Roman" w:cs="Times New Roman"/>
                <w:color w:val="000000"/>
                <w:sz w:val="20"/>
                <w:szCs w:val="20"/>
              </w:rPr>
              <w:t>表</w:t>
            </w:r>
          </w:p>
        </w:tc>
      </w:tr>
      <w:tr w14:paraId="5E751054">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6778C6F9">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8CADBC3">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DF434CD">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CADCBFB">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87F4B1E">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317C1F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AA1D6A5">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1756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63FB6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0796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59CE1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2FF1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0CD159AB">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AED9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6BB5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8E91A0">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B834F">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5DE3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A3C6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EABC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9AE0B">
            <w:pPr>
              <w:jc w:val="center"/>
              <w:rPr>
                <w:rFonts w:hint="default" w:ascii="Times New Roman" w:hAnsi="Times New Roman" w:cs="Times New Roman"/>
                <w:b/>
                <w:color w:val="000000"/>
                <w:sz w:val="20"/>
                <w:szCs w:val="20"/>
              </w:rPr>
            </w:pPr>
          </w:p>
        </w:tc>
      </w:tr>
      <w:tr w14:paraId="23744E44">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D0360">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E44A1">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6B29DF">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7481B">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F55ED">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AD45A3">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8DBE2">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01C3E">
            <w:pPr>
              <w:jc w:val="center"/>
              <w:rPr>
                <w:rFonts w:hint="default" w:ascii="Times New Roman" w:hAnsi="Times New Roman" w:cs="Times New Roman"/>
                <w:b/>
                <w:color w:val="000000"/>
                <w:sz w:val="20"/>
                <w:szCs w:val="20"/>
              </w:rPr>
            </w:pPr>
          </w:p>
        </w:tc>
      </w:tr>
      <w:tr w14:paraId="654FB9B9">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DA5FB">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EC612">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6B3377">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CADCC">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778B6">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7D5C4">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A9D16">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A4734">
            <w:pPr>
              <w:jc w:val="center"/>
              <w:rPr>
                <w:rFonts w:hint="default" w:ascii="Times New Roman" w:hAnsi="Times New Roman" w:cs="Times New Roman"/>
                <w:b/>
                <w:color w:val="000000"/>
                <w:sz w:val="20"/>
                <w:szCs w:val="20"/>
              </w:rPr>
            </w:pPr>
          </w:p>
        </w:tc>
      </w:tr>
      <w:tr w14:paraId="7625FA95">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3B4D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05F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D56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9D1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7A1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D66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B92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2CB7F64F">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920A5">
            <w:pPr>
              <w:jc w:val="both"/>
              <w:textAlignment w:val="center"/>
              <w:rPr>
                <w:rFonts w:hint="default" w:ascii="Times New Roman" w:hAnsi="Times New Roman" w:cs="Times New Roman"/>
                <w:color w:val="000000"/>
                <w:sz w:val="20"/>
                <w:szCs w:val="20"/>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E6CC7">
            <w:pPr>
              <w:jc w:val="both"/>
              <w:textAlignment w:val="center"/>
              <w:rPr>
                <w:rFonts w:hint="default" w:ascii="Times New Roman" w:hAnsi="Times New Roman" w:cs="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2F3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985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4C8C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9CD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52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923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7AD0ACF">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备注：本表反映部门本年度政府性基金预算财政拨款收入支出及结转和结余情况。本部门无政府性基金收支，故本表无数据。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9962A73">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7C2BE35C">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1CF150CA">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3A08D0DD">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315C9C8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重庆市璧山区来凤街道综合行政执法大队</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19F8AF8">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445371E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08</w:t>
            </w:r>
            <w:r>
              <w:rPr>
                <w:rFonts w:hint="default" w:ascii="Times New Roman" w:hAnsi="Times New Roman" w:cs="Times New Roman"/>
                <w:color w:val="000000"/>
                <w:sz w:val="20"/>
                <w:szCs w:val="20"/>
              </w:rPr>
              <w:t>表</w:t>
            </w:r>
          </w:p>
        </w:tc>
      </w:tr>
      <w:tr w14:paraId="0773CD59">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4777A4A6">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15CC0ADE">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6CB547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34057D7">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E03AD7">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52BCB4">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FF5F873">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32B1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00EF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BC0E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2733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A30D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2C47C70">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1823C">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231DF">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0EB09">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E1FF7">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6AAB6">
            <w:pPr>
              <w:jc w:val="center"/>
              <w:rPr>
                <w:rFonts w:hint="default" w:ascii="Times New Roman" w:hAnsi="Times New Roman" w:cs="Times New Roman"/>
                <w:b/>
                <w:color w:val="000000"/>
                <w:sz w:val="20"/>
                <w:szCs w:val="20"/>
              </w:rPr>
            </w:pPr>
          </w:p>
        </w:tc>
      </w:tr>
      <w:tr w14:paraId="015DD774">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03499">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619EA">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F9DA6">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0C615">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48A98">
            <w:pPr>
              <w:jc w:val="center"/>
              <w:rPr>
                <w:rFonts w:hint="default" w:ascii="Times New Roman" w:hAnsi="Times New Roman" w:cs="Times New Roman"/>
                <w:b/>
                <w:color w:val="000000"/>
                <w:sz w:val="20"/>
                <w:szCs w:val="20"/>
              </w:rPr>
            </w:pPr>
          </w:p>
        </w:tc>
      </w:tr>
      <w:tr w14:paraId="2318FE78">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9F465">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71DB0">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B601C">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0EEE1">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A879F">
            <w:pPr>
              <w:jc w:val="center"/>
              <w:rPr>
                <w:rFonts w:hint="default" w:ascii="Times New Roman" w:hAnsi="Times New Roman" w:cs="Times New Roman"/>
                <w:b/>
                <w:color w:val="000000"/>
                <w:sz w:val="20"/>
                <w:szCs w:val="20"/>
              </w:rPr>
            </w:pPr>
          </w:p>
        </w:tc>
      </w:tr>
      <w:tr w14:paraId="7338204B">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9703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989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0BDE6">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3B8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289DEFE">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9B025">
            <w:pPr>
              <w:textAlignment w:val="center"/>
              <w:rPr>
                <w:rFonts w:hint="default" w:ascii="Times New Roman" w:hAnsi="Times New Roman" w:cs="Times New Roman"/>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D98A1">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948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7E226">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49E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321C9171">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2A970A2">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7AAEEAB0">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4A6F7E63">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17C7DE20">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56EDE60B">
            <w:pPr>
              <w:spacing w:line="280" w:lineRule="exact"/>
              <w:rPr>
                <w:rFonts w:hint="default" w:ascii="Times New Roman" w:hAnsi="Times New Roman" w:cs="Times New Roman"/>
                <w:color w:val="000000"/>
                <w:kern w:val="2"/>
                <w:sz w:val="20"/>
                <w:szCs w:val="20"/>
              </w:rPr>
            </w:pPr>
          </w:p>
        </w:tc>
        <w:tc>
          <w:tcPr>
            <w:tcW w:w="2402" w:type="dxa"/>
            <w:shd w:val="clear" w:color="auto" w:fill="auto"/>
            <w:noWrap/>
            <w:tcMar>
              <w:top w:w="15" w:type="dxa"/>
              <w:left w:w="15" w:type="dxa"/>
              <w:right w:w="15" w:type="dxa"/>
            </w:tcMar>
            <w:vAlign w:val="bottom"/>
          </w:tcPr>
          <w:p w14:paraId="3E13730E">
            <w:pPr>
              <w:spacing w:line="280" w:lineRule="exact"/>
              <w:jc w:val="center"/>
              <w:rPr>
                <w:rFonts w:hint="default" w:ascii="Times New Roman" w:hAnsi="Times New Roman" w:cs="Times New Roman"/>
                <w:color w:val="000000"/>
                <w:kern w:val="2"/>
                <w:sz w:val="20"/>
                <w:szCs w:val="20"/>
              </w:rPr>
            </w:pPr>
          </w:p>
        </w:tc>
        <w:tc>
          <w:tcPr>
            <w:tcW w:w="2360" w:type="dxa"/>
            <w:shd w:val="clear" w:color="auto" w:fill="auto"/>
            <w:noWrap/>
            <w:tcMar>
              <w:top w:w="15" w:type="dxa"/>
              <w:left w:w="15" w:type="dxa"/>
              <w:right w:w="15" w:type="dxa"/>
            </w:tcMar>
            <w:vAlign w:val="bottom"/>
          </w:tcPr>
          <w:p w14:paraId="5E8349C6">
            <w:pPr>
              <w:spacing w:line="280" w:lineRule="exact"/>
              <w:jc w:val="right"/>
              <w:rPr>
                <w:rFonts w:hint="default" w:ascii="Times New Roman" w:hAnsi="Times New Roman" w:cs="Times New Roman"/>
                <w:color w:val="000000"/>
                <w:kern w:val="2"/>
                <w:sz w:val="20"/>
                <w:szCs w:val="20"/>
              </w:rPr>
            </w:pPr>
          </w:p>
        </w:tc>
        <w:tc>
          <w:tcPr>
            <w:tcW w:w="3726" w:type="dxa"/>
            <w:shd w:val="clear" w:color="auto" w:fill="auto"/>
            <w:noWrap/>
            <w:tcMar>
              <w:top w:w="15" w:type="dxa"/>
              <w:left w:w="15" w:type="dxa"/>
              <w:right w:w="15" w:type="dxa"/>
            </w:tcMar>
            <w:vAlign w:val="bottom"/>
          </w:tcPr>
          <w:p w14:paraId="0DEC1938">
            <w:pPr>
              <w:spacing w:line="280" w:lineRule="exact"/>
              <w:rPr>
                <w:rFonts w:hint="default" w:ascii="Times New Roman" w:hAnsi="Times New Roman" w:cs="Times New Roman"/>
                <w:color w:val="000000"/>
                <w:kern w:val="2"/>
                <w:sz w:val="20"/>
                <w:szCs w:val="20"/>
              </w:rPr>
            </w:pPr>
          </w:p>
        </w:tc>
        <w:tc>
          <w:tcPr>
            <w:tcW w:w="2480" w:type="dxa"/>
            <w:shd w:val="clear" w:color="auto" w:fill="auto"/>
            <w:noWrap/>
            <w:tcMar>
              <w:top w:w="15" w:type="dxa"/>
              <w:left w:w="15" w:type="dxa"/>
              <w:right w:w="15" w:type="dxa"/>
            </w:tcMar>
            <w:vAlign w:val="bottom"/>
          </w:tcPr>
          <w:p w14:paraId="2776BD5A">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rPr>
              <w:t>09</w:t>
            </w:r>
            <w:r>
              <w:rPr>
                <w:rFonts w:hint="default" w:ascii="Times New Roman" w:hAnsi="Times New Roman" w:cs="Times New Roman"/>
                <w:color w:val="000000"/>
                <w:kern w:val="2"/>
                <w:sz w:val="20"/>
                <w:szCs w:val="20"/>
              </w:rPr>
              <w:t>表</w:t>
            </w:r>
          </w:p>
        </w:tc>
      </w:tr>
      <w:tr w14:paraId="637A54AF">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A513EDC">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重庆市璧山区来凤街道综合行政执法大队</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21C8E914">
            <w:pPr>
              <w:spacing w:line="280" w:lineRule="exact"/>
              <w:jc w:val="right"/>
              <w:rPr>
                <w:rFonts w:hint="default" w:ascii="Times New Roman" w:hAnsi="Times New Roman" w:cs="Times New Roman"/>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59AD87D7">
            <w:pPr>
              <w:spacing w:line="280" w:lineRule="exact"/>
              <w:rPr>
                <w:rFonts w:hint="default" w:ascii="Times New Roman" w:hAnsi="Times New Roman" w:cs="Times New Roman"/>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43CCA0C5">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69BBD618">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5AE1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FFD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D477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EF3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5D59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58A40744">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D9F3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DBF8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75D2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0F68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89E1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0ECC3D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B75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8E5F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33DF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4749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3315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E13FE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82C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90E2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0F82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CD95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3F54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4A35A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BA5D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34E5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36BE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326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6022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350B7A8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B156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5195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871B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A04C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CECC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B8018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AB7A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DCAB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24C6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D8D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35B0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A1E1F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D98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666B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CCA7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A0D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F05F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00638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9521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9A4F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CC01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6CA7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35BD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2CF2A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A7DB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E317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D045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6E4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79D6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C49E9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387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D4E0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61B3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C4F7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DA0F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B5B32F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35AB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13C9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87727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651B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4925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BCC6A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42F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948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0BB5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970A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22A7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B6B48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A384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B1CC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E0B8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6443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5C7B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617A5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198D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12E21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75FC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A18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0F05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FC4B2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4106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D64D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8DF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B85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28184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6F0D605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CDA6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B0F7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C39B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262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28C2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C6152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F004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A7F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3AA2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1191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D4B8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06AC0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87D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C53C8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A9BF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DFE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E24C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00833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BF2A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B1E4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E3DC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EFEA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2E9F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AE65C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0D39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4F92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D60B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0217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E5C0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B2B16E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2B1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681D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DB94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7C9A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34B5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4C3944">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F0D9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221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1DF8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2.00</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3261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723BA0">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0CE4B6F6">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7DD7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994B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1DE4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0.22</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3D9A0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EAF671">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5ADD652A">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3186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007B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8971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3.90</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CC5C7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A76BC3">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01004FEA">
      <w:pPr>
        <w:rPr>
          <w:rFonts w:hint="default" w:ascii="Times New Roman" w:hAnsi="Times New Roman" w:cs="Times New Roman"/>
          <w:sz w:val="18"/>
          <w:szCs w:val="18"/>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bookmarkEnd w:id="0"/>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57D879-5200-4802-AC9C-49B03638F99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D9B0C65F-DD53-4D43-BEF5-DABF7193FCBB}"/>
  </w:font>
  <w:font w:name="方正仿宋_GBK">
    <w:panose1 w:val="02000000000000000000"/>
    <w:charset w:val="86"/>
    <w:family w:val="script"/>
    <w:pitch w:val="default"/>
    <w:sig w:usb0="A00002BF" w:usb1="38CF7CFA" w:usb2="00082016" w:usb3="00000000" w:csb0="00040001" w:csb1="00000000"/>
    <w:embedRegular r:id="rId3" w:fontKey="{E46AB08A-3FD0-4D50-A5ED-F973D75E4E40}"/>
  </w:font>
  <w:font w:name="楷体">
    <w:panose1 w:val="02010609060101010101"/>
    <w:charset w:val="86"/>
    <w:family w:val="modern"/>
    <w:pitch w:val="default"/>
    <w:sig w:usb0="800002BF" w:usb1="38CF7CFA" w:usb2="00000016" w:usb3="00000000" w:csb0="00040001" w:csb1="00000000"/>
    <w:embedRegular r:id="rId4" w:fontKey="{07804F3C-13D8-4773-84C4-DA4D355923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28A93">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29FD492">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51BF6">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6A1376F6">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33398679">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14BA6">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83599"/>
    <w:multiLevelType w:val="singleLevel"/>
    <w:tmpl w:val="C5B83599"/>
    <w:lvl w:ilvl="0" w:tentative="0">
      <w:start w:val="2"/>
      <w:numFmt w:val="chineseCounting"/>
      <w:suff w:val="nothing"/>
      <w:lvlText w:val="（%1）"/>
      <w:lvlJc w:val="left"/>
      <w:rPr>
        <w:rFonts w:hint="eastAsia"/>
      </w:rPr>
    </w:lvl>
  </w:abstractNum>
  <w:abstractNum w:abstractNumId="1">
    <w:nsid w:val="5D386834"/>
    <w:multiLevelType w:val="singleLevel"/>
    <w:tmpl w:val="5D38683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65B3E69"/>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3FFA530D"/>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6781</Words>
  <Characters>8733</Characters>
  <Lines>186</Lines>
  <Paragraphs>52</Paragraphs>
  <TotalTime>1</TotalTime>
  <ScaleCrop>false</ScaleCrop>
  <LinksUpToDate>false</LinksUpToDate>
  <CharactersWithSpaces>9401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行走江湖的快乐小菜鸡</cp:lastModifiedBy>
  <dcterms:modified xsi:type="dcterms:W3CDTF">2025-09-26T07:40:26Z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eyJoZGlkIjoiZWFhODk1MWNhMzJjYzk4MWQzZGU4NmVkNGJkYWM4ODYiLCJ1c2VySWQiOiI4MDUxNTY1MzEifQ==</vt:lpwstr>
  </property>
</Properties>
</file>