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napToGrid w:val="0"/>
        <w:spacing w:line="620" w:lineRule="exact"/>
        <w:ind w:firstLine="640" w:firstLineChars="200"/>
        <w:rPr>
          <w:rFonts w:ascii="Times New Roman" w:hAnsi="Times New Roman" w:eastAsia="方正仿宋_GBK"/>
          <w:sz w:val="32"/>
          <w:szCs w:val="32"/>
        </w:rPr>
      </w:pPr>
    </w:p>
    <w:p>
      <w:pPr>
        <w:overflowPunct w:val="0"/>
        <w:autoSpaceDE w:val="0"/>
        <w:autoSpaceDN w:val="0"/>
        <w:adjustRightInd w:val="0"/>
        <w:snapToGrid w:val="0"/>
        <w:spacing w:line="62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重庆市璧山区2023年国民经济和社会发展</w:t>
      </w:r>
    </w:p>
    <w:p>
      <w:pPr>
        <w:overflowPunct w:val="0"/>
        <w:autoSpaceDE w:val="0"/>
        <w:autoSpaceDN w:val="0"/>
        <w:adjustRightInd w:val="0"/>
        <w:snapToGrid w:val="0"/>
        <w:spacing w:line="62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计划执行情况及2024年计划草案的报告</w:t>
      </w:r>
    </w:p>
    <w:p>
      <w:pPr>
        <w:overflowPunct w:val="0"/>
        <w:autoSpaceDE w:val="0"/>
        <w:autoSpaceDN w:val="0"/>
        <w:adjustRightInd w:val="0"/>
        <w:snapToGrid w:val="0"/>
        <w:spacing w:line="620" w:lineRule="exact"/>
        <w:jc w:val="center"/>
        <w:rPr>
          <w:rFonts w:ascii="Times New Roman" w:hAnsi="Times New Roman" w:eastAsia="方正楷体_GBK"/>
          <w:sz w:val="32"/>
          <w:szCs w:val="32"/>
        </w:rPr>
      </w:pPr>
    </w:p>
    <w:p>
      <w:pPr>
        <w:overflowPunct w:val="0"/>
        <w:autoSpaceDE w:val="0"/>
        <w:autoSpaceDN w:val="0"/>
        <w:adjustRightInd w:val="0"/>
        <w:snapToGrid w:val="0"/>
        <w:spacing w:line="620" w:lineRule="exact"/>
        <w:jc w:val="center"/>
        <w:rPr>
          <w:rFonts w:ascii="Times New Roman" w:hAnsi="Times New Roman" w:eastAsia="方正楷体_GBK"/>
          <w:sz w:val="32"/>
          <w:szCs w:val="32"/>
        </w:rPr>
      </w:pPr>
      <w:r>
        <w:rPr>
          <w:rFonts w:hint="eastAsia" w:ascii="Times New Roman" w:hAnsi="Times New Roman" w:eastAsia="方正楷体_GBK"/>
          <w:sz w:val="32"/>
          <w:szCs w:val="32"/>
        </w:rPr>
        <w:t>重庆市璧山区发展和改革委员会</w:t>
      </w:r>
    </w:p>
    <w:p>
      <w:pPr>
        <w:overflowPunct w:val="0"/>
        <w:autoSpaceDE w:val="0"/>
        <w:autoSpaceDN w:val="0"/>
        <w:adjustRightInd w:val="0"/>
        <w:snapToGrid w:val="0"/>
        <w:spacing w:line="620" w:lineRule="exact"/>
        <w:ind w:firstLine="640" w:firstLineChars="200"/>
        <w:rPr>
          <w:rFonts w:ascii="Times New Roman" w:hAnsi="Times New Roman" w:eastAsia="方正仿宋_GBK"/>
          <w:sz w:val="32"/>
          <w:szCs w:val="32"/>
        </w:rPr>
      </w:pPr>
    </w:p>
    <w:p>
      <w:pPr>
        <w:overflowPunct w:val="0"/>
        <w:autoSpaceDE w:val="0"/>
        <w:autoSpaceDN w:val="0"/>
        <w:adjustRightInd w:val="0"/>
        <w:snapToGrid w:val="0"/>
        <w:spacing w:line="578" w:lineRule="exact"/>
        <w:rPr>
          <w:rFonts w:ascii="Times New Roman" w:hAnsi="Times New Roman" w:eastAsia="方正仿宋_GBK"/>
          <w:sz w:val="32"/>
          <w:szCs w:val="32"/>
        </w:rPr>
      </w:pPr>
      <w:r>
        <w:rPr>
          <w:rFonts w:hint="eastAsia" w:ascii="Times New Roman" w:hAnsi="Times New Roman" w:eastAsia="方正仿宋_GBK"/>
          <w:sz w:val="32"/>
          <w:szCs w:val="32"/>
        </w:rPr>
        <w:t>各位代表：</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受区政府委托，现将2023年国民经济和社会发展计划执行情况及2024年计划草案提请大会审议，并请各位政协委员提出意见。</w:t>
      </w:r>
    </w:p>
    <w:p>
      <w:pPr>
        <w:overflowPunct w:val="0"/>
        <w:autoSpaceDE w:val="0"/>
        <w:autoSpaceDN w:val="0"/>
        <w:adjustRightInd w:val="0"/>
        <w:snapToGrid w:val="0"/>
        <w:spacing w:line="578"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一、2023年国民经济和社会发展计划执行情况</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2023年，在区委的坚强领导下，全区上下坚持以习近平新时代中国特色社会主义思想为指导，全面贯彻党的二十大和习近平总书记对重庆的重要指示批示精神，深入开展学习贯彻习近平新时代中国特色社会主义思想主题教育，坚决贯彻落实党中央、国务院决策部署和市委、市政府工作安排，坚持高质量发展不动摇，强化党建统领，突出稳进增效、除险清患、改革求变、惠民有感的工作导向，在多重挑战中逆势而上，在巨大困难中承压前行，在复杂矛盾中主动求变，以自身工作的确定性应对形势变化的不确定性，经济运行稳中有进、进中向好，全年地区生产总值达到983亿元、增长7.2%，主要经济指标符合预期、居全市前列，发展动能加快转换，深化改革取得新成效，安全发展有力有效，人民福祉持续增进，为新时代新征程新重庆建设作出璧山新贡献。</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——这一年，我们不负使命、奋发有为，服务大局“有力度”。</w:t>
      </w:r>
      <w:r>
        <w:rPr>
          <w:rFonts w:hint="eastAsia" w:ascii="Times New Roman" w:hAnsi="Times New Roman" w:eastAsia="方正仿宋_GBK"/>
          <w:sz w:val="32"/>
          <w:szCs w:val="32"/>
        </w:rPr>
        <w:t>推动成渝地区双城经济圈建设展现新担当，“十项行动”重大项目超全年投资计划目标21.9个百分点，圆满承办重庆四川党政联席会议第七次会议，市委主要领导、四川省委主要领导以“令人眼前一亮”“是重庆推进国家战略实施的生动写照”盛赞璧山发展。推动西部陆海新通道建设实现新作为，“璧山造”优质产品走出国门拓展市场，重庆新机场获民航总局批复，中新重庆实体化合作重点项目落户璧山，中新生命科技城蓄势待发，战略地位和区域价值持续提升。推动长江经济带绿色发展迈上新台阶，空气质量优良天数创近5年最佳位次，PM2.5年均浓度首次优于全市平均水平，上榜国家级绿色工厂5家。</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——这一年，我们实干笃行、争先创优，跑出发展“加速度”。</w:t>
      </w:r>
      <w:r>
        <w:rPr>
          <w:rFonts w:hint="eastAsia" w:ascii="Times New Roman" w:hAnsi="Times New Roman" w:eastAsia="方正仿宋_GBK"/>
          <w:sz w:val="32"/>
          <w:szCs w:val="32"/>
        </w:rPr>
        <w:t>更大力度推动产业高质量发展，在振兴实体经济上展现大区担当。经济报表总积分自二季度以来稳居全市前四位，规上工业总产值突破千亿大关、增加值增长8.6%，固定资产投资增长14.7%，社会消费品零售总额增长8.8%，进出口总额增长33.7%，全体居民人均可支</w:t>
      </w:r>
      <w:bookmarkStart w:id="0" w:name="_GoBack"/>
      <w:bookmarkEnd w:id="0"/>
      <w:r>
        <w:rPr>
          <w:rFonts w:hint="eastAsia" w:ascii="Times New Roman" w:hAnsi="Times New Roman" w:eastAsia="方正仿宋_GBK"/>
          <w:sz w:val="32"/>
          <w:szCs w:val="32"/>
        </w:rPr>
        <w:t>配收入达到44704元。惠程科技迁入璧山，成为近年来唯一完成国资控股上市企业注册地和生产地“双迁址”案例，经济证券化水平进一步提升。在全市“一把手”例会、成渝地区双城经济圈建设、民营经济高质量发展等全市性大会上作经验交流20余次。</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——这一年，我们慎终如始、善作善成，擦亮璧山“辨识度”。</w:t>
      </w:r>
      <w:r>
        <w:rPr>
          <w:rFonts w:hint="eastAsia" w:ascii="Times New Roman" w:hAnsi="Times New Roman" w:eastAsia="方正仿宋_GBK"/>
          <w:sz w:val="32"/>
          <w:szCs w:val="32"/>
        </w:rPr>
        <w:t>新能源汽车电驱系统、光电显示两大产业</w:t>
      </w:r>
      <w:r>
        <w:rPr>
          <w:rFonts w:hint="eastAsia" w:ascii="Times New Roman" w:hAnsi="Times New Roman" w:eastAsia="方正仿宋_GBK"/>
          <w:sz w:val="32"/>
          <w:szCs w:val="32"/>
          <w:lang w:val="en-US" w:eastAsia="zh-CN"/>
        </w:rPr>
        <w:t>集群</w:t>
      </w:r>
      <w:r>
        <w:rPr>
          <w:rFonts w:hint="eastAsia" w:ascii="Times New Roman" w:hAnsi="Times New Roman" w:eastAsia="方正仿宋_GBK"/>
          <w:sz w:val="32"/>
          <w:szCs w:val="32"/>
        </w:rPr>
        <w:t>入选国家特色产业集群，汽车关键零部件产业集群获评科技部绿色智能制造创新型产业集群，青山工业入选创建世界一流专精特新示范企业名单，国家级工业设计中心、技术创新中心实现“零突破”。“璧山葡萄”“璧山番茄”上榜全国名特优新农产品名录。永嘉实验小学成功创建为全国国防教育示范学校。中央组织部、国家发展改革委等部门在璧召开10余场国家级和市级现场会、片区会。家政社区一体化发展、打造“公园之城”“无废城市”、果蔬产业绿色发展等璧山经验向全国推广。再添“全国自然资源节约集约示范县（市）”“全国社会信用体系建设示范区”“全国再生水利用配置优秀试点城市”等“国字号”名片。</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一年来，我们重点抓了以下十个方面工作：</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（一）全力共建成渝地区双城经济圈，落实市委“一号工程”精准有力。</w:t>
      </w:r>
      <w:r>
        <w:rPr>
          <w:rFonts w:hint="eastAsia" w:ascii="Times New Roman" w:hAnsi="Times New Roman" w:eastAsia="方正仿宋_GBK"/>
          <w:sz w:val="32"/>
          <w:szCs w:val="32"/>
        </w:rPr>
        <w:t>牢固树立一盘棋思想和一体化发展理念，坚决扛起壮大成渝主轴、挺起中部脊梁的重任，加快建设“五新四城”，争当成渝地区双城经济圈建设先行区排头兵。</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工作体系高效运转。坚持把助推市委“一号工程”走深走实作为坚决拥护“两个确立”、做到“两个维护”的具体行动和务实举措，乘势而上、积极作为。优化完善璧山区推动成渝地区双城经济圈建设领导小组组织架构，建立健全抓落实工作机制，明确重点合作领域牵头单位，强化压力传导、压紧压实责任。第一时间召开专题研讨会，学习贯彻全市建设成渝地区双城经济圈工作推进大会精神，立足璧山实际、高位统筹谋划落实思路举措。细化市级“十项行动”落地，出台区级“十项行动”方案及具体工作举措，引导全区各级各部门在推动成渝地区双城经济圈建设上干出新业绩。</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是“十项行动”“四张清单”落地见效。8个成渝地区双城经济圈建设“十项行动”重大项目全年完成投资29.3亿元，中科曙光先进数据中心、国科量子通信全国运营中心、先进计算产业创新中心GPU等3个项目建成投用，智能网联新能源汽车线控底盘及轻量化中心、比亚迪电池研究总院等2个项目超时序进度实施。3个重大平台协同发力，璧山高新区完成固定资产投资228亿元、增长21.9%，实现进出口63亿元；东数西算工程起步区数字经济创新发展示范平台载体建设投资额完成约3亿元，量子通信全国运营中心重庆节点在璧部署完成；成功举办第十五届中国西部动漫文化节。</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三是川渝合作增点扩面。持续扩容川渝“朋友圈”，与四川区（市）县签订合作协议13项。璧山高新区与四川乐至、射洪两地经开区入选成渝地区双城经济圈产业合作示范园区。联合宜宾、龙泉驿启动“璧玉</w:t>
      </w:r>
      <w:r>
        <w:rPr>
          <w:rFonts w:hint="eastAsia" w:ascii="宋体" w:hAnsi="宋体" w:eastAsia="宋体" w:cs="宋体"/>
          <w:sz w:val="32"/>
          <w:szCs w:val="32"/>
        </w:rPr>
        <w:t>·</w:t>
      </w:r>
      <w:r>
        <w:rPr>
          <w:rFonts w:hint="eastAsia" w:ascii="方正仿宋_GBK" w:hAnsi="方正仿宋_GBK" w:eastAsia="方正仿宋_GBK" w:cs="方正仿宋_GBK"/>
          <w:sz w:val="32"/>
          <w:szCs w:val="32"/>
        </w:rPr>
        <w:t>人才季”，发布“招才纳贤令”，集聚川渝人才。璧山、简阳两地市场监管局建立协作机制，开展“简阳羊肉”地理标志专项执法行动；两地法院协同</w:t>
      </w:r>
      <w:r>
        <w:rPr>
          <w:rFonts w:hint="eastAsia" w:ascii="Times New Roman" w:hAnsi="Times New Roman" w:eastAsia="方正仿宋_GBK"/>
          <w:sz w:val="32"/>
          <w:szCs w:val="32"/>
        </w:rPr>
        <w:t>化解一起跨成渝地区旅游纠纷案，获评成渝地区双城经济圈消费维权协作典型案例。人民医院、中医院实现“45+67”项检查检验结果川渝互认。深化与梁平“一区两群”对口协同发展，协助招引项目3个、到位资金1.07亿元，完成产品助销2000余万元。</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（二）全面融入西部陆海新通道建设，高水平对外开放蹄疾步稳。</w:t>
      </w:r>
      <w:r>
        <w:rPr>
          <w:rFonts w:hint="eastAsia" w:ascii="Times New Roman" w:hAnsi="Times New Roman" w:eastAsia="方正仿宋_GBK"/>
          <w:sz w:val="32"/>
          <w:szCs w:val="32"/>
        </w:rPr>
        <w:t>加快提升对外开放能力水平，实施更大范围、更宽领域、更深层次对外开放，加强国际合作交流，开拓互利共赢新局面。</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融入西部陆海新通道建设成效明显。深入贯彻落实全市建设西部陆海新通道工作推进大会精神，组建西部陆海新通道建设工作专班，印发实施《重庆市璧山区积极融入西部陆海新通道建设五年行动实施方案（2023－2027年）》。建立与陆海新通道运营公司常态化联系机制，帮助23家企业个性化定制出海路线方案。</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是中新生命科技城蓝图落定。成立中新生命科技城建设工作专班，加强与市级专班协同联动，完成60平方公里空间和产业规划，实施征地拆迁1875亩。市委主要领导在出访新加坡时进行推荐，区相关领导在中新互联互通项目联合实施委员会议、第六届中国国际进口博览会上作专题推介，对接吉宝、胜科、中新健康产业集团，引进中新合作（璧山）肿瘤治疗与研究中心等中新合作项目。</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是开放型经济聚能成势。获批重庆自贸试验区联动创新区、重庆内外贸一体化改革试点基地。深入实施“百团千企”国际市场开拓计划，健全外贸主体梯队培养机制，加强与俄罗斯、新加坡、缅甸、马来西亚等国家经贸合作，新增东盟、俄罗斯等地区市场订单约5亿元，成功举办2023年中国川渝地区—湄公河国家地方合作论坛经贸对话交流活动，搭建璧山与湄公河国家交流合作重要平台。接待德国、韩国、日本等21个国际参访团来璧访问，与俄罗斯乌索利耶市缔结友好交流城市。新增进出口企业33家，进出口总额达到70.9亿元，中车恒通汽车远销俄罗斯，比亚迪“刀片电池”出口额25亿元。</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（三）深入推动长江经济带绿色发展，生态环境质量持续改善。</w:t>
      </w:r>
      <w:r>
        <w:rPr>
          <w:rFonts w:hint="eastAsia" w:ascii="Times New Roman" w:hAnsi="Times New Roman" w:eastAsia="方正仿宋_GBK"/>
          <w:sz w:val="32"/>
          <w:szCs w:val="32"/>
        </w:rPr>
        <w:t>坚定不移贯彻落实好党中央关于长江经济带发展的重大决策部署，以钉钉子精神筑牢长江上游重要生态屏障，在推动长江经济带发展中彰显璧山新担当新作为。</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生态环境质量持续改善。全面深化林长制，启动缙云山生态修复工程和森林质量提升工程，森林覆盖率达到48.1%。突出抓好深入打好重污染天气消除、臭氧污染防治和柴油货车污染治理攻坚战，空气质量持续改善。推进河长制工作走深走实，联动江津区、永川区实施璧南河流域横向生态保护补偿，“三河”出境断面水质达到Ⅲ类标准，城市集中式饮用水源地水质达标率100%，获批全国农业面源污染综合防治试点。提升土壤环境质量，推动农药、化肥施用总量持续下降。推进“无废城市”建设，加快打造“无废电镀园区”和固废云系统，新创建“无废城市细胞”31个，一般工业固废规范收运处置体系入选全市“无废城市”建设典型案例，并获生态环境部推介。</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是绿色低碳发展成效显著。加快构建碳达峰碳中和政策体系，“1+2+6+N”政策体系基本成型，与市节能中心建立节能低碳战略合作。强化重点用能单位管理，扎实做好节能监察，全区单位GDP能耗持续下降。有序实施高耗能行业重点领域节能降碳改造升级工程，璧山高新区获评全市首批近零碳园区试点，装配式建筑项目落户绿色低碳材料产业园，青山工业成功创建“绿色+智能”双化协同示范工厂，96家企业入选绿色工厂培育库，创建国家级绿色工厂5家、市级绿色工厂6家。强化绿色低碳发展支撑保障，绿色贷款105.3亿元，绿色保险保费收入3921.6万元，向长江绿融通系统推送绿色项目130个。</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（四）加快构建现代化产业体系，产业发展质效稳步提升。</w:t>
      </w:r>
      <w:r>
        <w:rPr>
          <w:rFonts w:hint="eastAsia" w:ascii="Times New Roman" w:hAnsi="Times New Roman" w:eastAsia="方正仿宋_GBK"/>
          <w:sz w:val="32"/>
          <w:szCs w:val="32"/>
        </w:rPr>
        <w:t>坚持把发展经济的着力点放在实体经济上，深入推进新型工业化，全力推动制造业高质量发展，促进服务业与制造业深度融合，加快培育壮大数字经济。</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制造业高质量发展纵深推进。召开璧山区推动经济高质量发展大会，印发实施《深入推进璧山区制造业高质量发展行动方案（2023—2027年）》，统筹抓好传统产业改造提升和战略性新兴产业培育壮大，实施“千亿集群、百亿链主、亿元规上、万家创新”四大产业培育工程，加快构建“千亿领航、百亿带动、百花齐放”的产业雁阵，全区475家规上工业企业实现总产值1071亿元，工业对全区经济增长贡献率达到42.2%，拉动经济增长3个百分点。智能网联新能源汽车产业集群引擎作用持续显现，出台《璧山区智能网联新能源汽车零部件产业发展倍增行动计划（2023－2027年）》，举办智能网联新能源汽车供应链对接活动，协力推动整零协同、聚链成群发展，汇集规上企业135家，产值突破600亿元，恒通客车实现全工序批量生产，比亚迪刀片电池产能达到35GWh。新一代电子信息制造业稳步发展，汇集规上企业87家，实现产值158亿元，昇印光电等重点项目签约落地。智能装备产业集群加快建链补链强链，新签约科普动力、宇辰高端机床等项目33个，合同投资额198.8亿元。</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是现代服务业同先进制造业融合共生。软件和信息服务业提质增效，规模以上软件和信息服务业企业营收增长100%。科技服务业助推创新链与产业链加速融合，高新技术产业研究院累计引进转化科技成果624件，孵化科技项目10个。金融业服务实体经济作用不断增强，银行业金融机构存贷款余额1632.1亿元、增长12.9%，贷存比提高到92.9%，“八大资金池”累计支持1235家企业获得贷款74.7亿元，知识产权质押融资金额2.4亿元、增长270%，金融业增加值占地区生产总值比重达到6.2%。</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是数字经济发展壮大。推动数字经济产业项目落地见效，打造“梦界空间”数字经济产业园，先进计算产业创新中心GPU1号芯片实现流片，奇安信软件供应链安全检测服务平台成功上线。培育数字经济新增长点，在第六届数字中国峰会作经验交流发言，举办重庆网络与数据安全产业大会、元宇宙数字内容创作大赛，引进人民网、阿里元境、复星体育等头部企业，世界级电竞战队主场落户璧山，新签约数字经济产业项目23个、投资额128.6亿元。促进制造业数字化转型，完成59个智能化改造项目，建成数字化车间21个、智能工厂4个，永达精密变速器齿轮智能工厂入选市级5G全连接工厂。强化数字基础设施建设，建成5G基站301个，福禄镇、广普镇入选全市“互联网小镇”名单。成立数字经济产业商会，充分发挥桥梁纽带作用，为企业构建良性发展环境。</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（五）全面强化科技创新引领，创新创造活力有效激发。</w:t>
      </w:r>
      <w:r>
        <w:rPr>
          <w:rFonts w:hint="eastAsia" w:ascii="Times New Roman" w:hAnsi="Times New Roman" w:eastAsia="方正仿宋_GBK"/>
          <w:sz w:val="32"/>
          <w:szCs w:val="32"/>
        </w:rPr>
        <w:t>坚持科技是第一生产力、人才是第一资源、创新是第一动力，紧紧围绕全市“416”科技创新战略布局方向，在更广范围集聚创新资源、催生创新活力，点燃新质生产力的科创引擎。</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创新载体提质增效。璧山高新区成功纳入国家成果转化示范区建设范围，按照“一区多园”模式有序扩容，建成投用“专精特新”产业园、新能源特色产业园，入园企业突破2400家。西部（重庆）璧山创新生态社区二期5万方中试基地建成投用，累计聚集创新创业团队（企业）80余个。“研究院经济”效益显著，创新平台梯次培育机制更加健全，新增国家级博士后科研工作站1个、市级研发平台21个、区级研发平台15个，规上工业企业建立研发机构比例达到51%。“众创空间+孵化器+加速器”全链条孵化体系持续完善，新获批国家级孵化器1个、市级孵化器2个、市级众创空间2个。</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二是创新主体活力迸发。实施高新技术企业和科技型企业“双倍增”行动</w:t>
      </w:r>
      <w:r>
        <w:rPr>
          <w:rFonts w:hint="eastAsia" w:ascii="Times New Roman" w:hAnsi="Times New Roman" w:eastAsia="方正仿宋_GBK"/>
          <w:sz w:val="32"/>
          <w:szCs w:val="32"/>
          <w:lang w:val="en-US" w:eastAsia="zh-CN"/>
        </w:rPr>
        <w:t>计划</w:t>
      </w:r>
      <w:r>
        <w:rPr>
          <w:rFonts w:hint="eastAsia" w:ascii="Times New Roman" w:hAnsi="Times New Roman" w:eastAsia="方正仿宋_GBK"/>
          <w:sz w:val="32"/>
          <w:szCs w:val="32"/>
        </w:rPr>
        <w:t>，构建“微成长、小升高、高壮大”的梯次培育机制，新增科技型企业321家、累计1908家，新增高新技术企业57家、累计417家，新增“专精特新”企业69家、累计201家，新增小巨人企业3家、累计14家。12家企业入选2023重庆民营企业科技创新指数100强，上榜企业数量居全市第一。</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是创新生态持续优化。强化政策支撑，“科技创新25条”累计奖励项目292个、金额1600余万元，景山人才社区启用入住，15名人才和16支团队入选“省部级人才计划”，人才资源总量达到12.9万人，预计全社会研发经费支出占地区生产总值比重达到2.9%。做好科技金融服务，大力支持创新创业、科技成果转化，协助16家企业共获773万元种子基金扶持，为482家企业发放知识价值信用贷款9.8亿元。营造良好创新氛围，密集开展“知玉</w:t>
      </w:r>
      <w:r>
        <w:rPr>
          <w:rFonts w:hint="eastAsia" w:ascii="宋体" w:hAnsi="宋体" w:eastAsia="宋体" w:cs="宋体"/>
          <w:sz w:val="32"/>
          <w:szCs w:val="32"/>
        </w:rPr>
        <w:t>·</w:t>
      </w:r>
      <w:r>
        <w:rPr>
          <w:rFonts w:hint="eastAsia" w:ascii="方正仿宋_GBK" w:hAnsi="方正仿宋_GBK" w:eastAsia="方正仿宋_GBK" w:cs="方正仿宋_GBK"/>
          <w:sz w:val="32"/>
          <w:szCs w:val="32"/>
        </w:rPr>
        <w:t>盛夏时”等人才品牌活动，成功举办</w:t>
      </w:r>
      <w:r>
        <w:rPr>
          <w:rFonts w:hint="eastAsia" w:ascii="Times New Roman" w:hAnsi="Times New Roman" w:eastAsia="方正仿宋_GBK"/>
          <w:sz w:val="32"/>
          <w:szCs w:val="32"/>
        </w:rPr>
        <w:t>2023年科技活动周科普展、中国</w:t>
      </w:r>
      <w:r>
        <w:rPr>
          <w:rFonts w:hint="eastAsia" w:ascii="Times New Roman" w:hAnsi="Times New Roman" w:eastAsia="方正仿宋_GBK"/>
          <w:spacing w:val="-6"/>
          <w:sz w:val="32"/>
          <w:szCs w:val="32"/>
        </w:rPr>
        <w:t>创新创业大赛（重庆赛区）暨重庆“高新杯”众创大赛等活动。</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（六）全力扩大有效投资和社会消费，内需潜力持续释放。</w:t>
      </w:r>
      <w:r>
        <w:rPr>
          <w:rFonts w:hint="eastAsia" w:ascii="Times New Roman" w:hAnsi="Times New Roman" w:eastAsia="方正仿宋_GBK"/>
          <w:sz w:val="32"/>
          <w:szCs w:val="32"/>
        </w:rPr>
        <w:t>增加投资对优化供给结构的关键性作用，充分发挥消费对经济发展的基础性作用，全力推动投资提级升位、招商引资提质增效，多形式多渠道加快恢复扩大消费。</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有效投资持续扩大。扎实开展“抓项目促投资”专项行动，强化项目“全生命周期”监管，统筹全区资源要素保障项目建设。完成固定资产投资425.9亿元，其中工业投资增长17.1%、基础设施投资增长44.1%，合计拉动全区投资增长12.5个百分点；民间投资占比达到45.5%。有序推进片区开发重点项目建设，季度评选“猛虎奖”“蜗牛奖”，积极拓宽资金筹集渠道，撬动社会资本389.2亿元。提高招商引资质效，新引进项目161个，其中，50亿元以上项目2个、20亿至50亿元项目11个，合同额780.8亿元，到位资金185亿元。强化项目包装储备，争取上级资金28.6亿元、新增政府专项债券29.3亿元、一般债券1.9亿元。夯实项目用地保障，获批建设用地7341亩，完成征地拆迁6427亩，供应土地1.2万亩。33个市级重大项目完成投资120.5亿元、实现年度投资计划的120%，73个区级重点项目完成投资77.6亿元、实现年度投资计划的106.3%。稳定和促进工业技改投资，精准对接企业技术改造新需求，组织实施技术改造项目201个。</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二是消费市场加快恢复。实施“爱尚重庆 乐享璧山”系列消费促进活动，发放餐饮住宿文旅消费券，累计带动消费29.3亿元。提升传统消费供给，重庆新世界酒店投入运营，东南亚风情小镇启动招商，“璧山兔”“来凤鱼”成为重庆地标菜。拓展消费新场景，《光明日报》点赞璧北农副产品集散中心打造特色创意集市和新型活力夜市；梦界空间</w:t>
      </w:r>
      <w:r>
        <w:rPr>
          <w:rFonts w:hint="eastAsia" w:ascii="宋体" w:hAnsi="宋体" w:eastAsia="宋体" w:cs="宋体"/>
          <w:sz w:val="32"/>
          <w:szCs w:val="32"/>
        </w:rPr>
        <w:t>·</w:t>
      </w:r>
      <w:r>
        <w:rPr>
          <w:rFonts w:hint="eastAsia" w:ascii="方正仿宋_GBK" w:hAnsi="方正仿宋_GBK" w:eastAsia="方正仿宋_GBK" w:cs="方正仿宋_GBK"/>
          <w:sz w:val="32"/>
          <w:szCs w:val="32"/>
        </w:rPr>
        <w:t>红岩</w:t>
      </w:r>
      <w:r>
        <w:rPr>
          <w:rFonts w:hint="eastAsia" w:ascii="Times New Roman" w:hAnsi="Times New Roman" w:eastAsia="方正仿宋_GBK"/>
          <w:sz w:val="32"/>
          <w:szCs w:val="32"/>
        </w:rPr>
        <w:t>VR元宇宙投入试运行，逐步塑造沉浸交互新体验新消费。积极扩大文旅消费，绘制《璧山全域旅游实景地图》，玉泉湖公园、动漫公园投入使用，全年过夜游客接待人数158万人次，实现旅游收入97.4亿元，分别增长76%、253.2%。激发大宗消费潜能，开展汽车惠民购，拉动汽车消费1.5亿元；举办春、秋房地产展示交易会，商品房销售面积212.7万平方米、降幅较去年收窄9.1个百分点。</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（七）坚持以数字重庆建设为引领，全面深化改革成效显著。</w:t>
      </w:r>
      <w:r>
        <w:rPr>
          <w:rFonts w:hint="eastAsia" w:ascii="Times New Roman" w:hAnsi="Times New Roman" w:eastAsia="方正仿宋_GBK"/>
          <w:sz w:val="32"/>
          <w:szCs w:val="32"/>
        </w:rPr>
        <w:t>深刻认识数字重庆建设是全面深化改革的突破性抓手，准确把握数字重庆建设的目标内涵、实践要求，深度破除制约高质量发展的体制机制障碍，充分激发和保护企业发展活力，让国企敢干、民企敢闯、外企敢投。</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推进数字重庆建设实现良好开局。成立璧山区推进数字重庆建设领导小组，组建工作专班，统筹推进全区数字重庆建设工作。全面开展应用、公共数据、物联感知资源、云网资源四类目录编制及数据仓建设，库表类数据治理率达到100%。全覆盖开展核心业务梳理，形成职能部门及镇街核心业务510项，归集数据超240万条。发布“一件事”场景重点培育清单，“电气火灾智能防控”纳入区县数字应用“一本账”并将全市推广，“水生态环境治理”应用通过市级专家评审，“入学一件事”“身后一件事”等应用上线“渝快办”。区级城运中心和镇街基层治理中心建成投用，“一中心四板块一网络”基层智治体系覆盖全部镇街。璧泉街道应对物业紧急撤场案例获评全市基层治理创新案例。</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是民营经济发展活力持续增强。聚焦打通民营企业发展痛点堵点，着力打造市场化、法治化、国际化一流营商环境，在全市率先建立法治营商服务站和“检侨驿站”，推行首台（套）产品政府首购，开办企业实现全环节“一网通办”。迭代升级“企业吹哨</w:t>
      </w:r>
      <w:r>
        <w:rPr>
          <w:rFonts w:hint="eastAsia" w:ascii="宋体" w:hAnsi="宋体" w:eastAsia="宋体" w:cs="宋体"/>
          <w:sz w:val="32"/>
          <w:szCs w:val="32"/>
        </w:rPr>
        <w:t>·</w:t>
      </w:r>
      <w:r>
        <w:rPr>
          <w:rFonts w:hint="eastAsia" w:ascii="方正仿宋_GBK" w:hAnsi="方正仿宋_GBK" w:eastAsia="方正仿宋_GBK" w:cs="方正仿宋_GBK"/>
          <w:sz w:val="32"/>
          <w:szCs w:val="32"/>
        </w:rPr>
        <w:t>部门报到”与“企业之家”，深入开展“千人助万企”活动，持续运行“区领导坐班”“部门摆摊</w:t>
      </w:r>
      <w:r>
        <w:rPr>
          <w:rFonts w:hint="eastAsia" w:ascii="Times New Roman" w:hAnsi="Times New Roman" w:eastAsia="方正仿宋_GBK"/>
          <w:sz w:val="32"/>
          <w:szCs w:val="32"/>
        </w:rPr>
        <w:t xml:space="preserve"> 企业赶场”机制，全年协调化解企业问题诉求8100个。围绕落实全市“推动经济企稳恢复提振36条”细化推出7条配套政策，为</w:t>
      </w:r>
      <w:r>
        <w:rPr>
          <w:rFonts w:hint="eastAsia" w:ascii="Times New Roman" w:hAnsi="Times New Roman" w:eastAsia="方正仿宋_GBK"/>
          <w:sz w:val="32"/>
          <w:szCs w:val="32"/>
          <w:lang w:val="en-US" w:eastAsia="zh-CN"/>
        </w:rPr>
        <w:t>经营</w:t>
      </w:r>
      <w:r>
        <w:rPr>
          <w:rFonts w:hint="eastAsia" w:ascii="Times New Roman" w:hAnsi="Times New Roman" w:eastAsia="方正仿宋_GBK"/>
          <w:sz w:val="32"/>
          <w:szCs w:val="32"/>
        </w:rPr>
        <w:t>主体降本减负，全年减税降费及退缓税费11.5亿元。开展清欠专项行动，清偿化解拖欠民营企业账款6578万元。围绕民营企业全周期培育，推动个转企、小升规、规上亿、优上市，新增经营主体13213户、增长18.3%，其中民营主体占比达到97.9%。预计民营经济增加值增长7.5%、占GDP比重达到77.5%，民营主体对全区税收贡献率达到69%。</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是重点领域和关键环节改革取得积极进展。家政服务业提质扩容“领跑者”行动试点深入推进，社区嵌入式服务设施联合线上“城市生活网”累计为社区居民提供服务超过300万次，帮助1.5万余人解决就业问题。推动区属国企职能重塑、机构重组、资源重配，保留优质国企30家，资产总额突破1100亿元，利润总额增长30.1%，3家区属国企主体信用评级实现AA+。深化园区开发区改革，印发改革整体方案，优化管理机构设置，有序推进璧山高新区、服务业发展区、国家农业科技园区优化整合、规范调整。启动制造业“亩均论英雄”改革，规上制造业亩均增加值、亩均税收分别达到186.3万元、15.8万元。完成国防动员体制改革，区国动办挂牌运行。</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（八）加快推进城乡融合，城乡发展协调性逐步增强。</w:t>
      </w:r>
      <w:r>
        <w:rPr>
          <w:rFonts w:hint="eastAsia" w:ascii="Times New Roman" w:hAnsi="Times New Roman" w:eastAsia="方正仿宋_GBK"/>
          <w:sz w:val="32"/>
          <w:szCs w:val="32"/>
        </w:rPr>
        <w:t>全面推进乡村振兴，加快实施以人为核心的新型城镇化，走出一条以城带乡、以乡促城、城乡互动的融合发展之路。</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巩固拓展脱贫攻坚成果同乡村振兴有效衔接。扎实开展“大走访大排查大整改”专项行动，持续健全防返贫监测机制，帮扶监测对象实现人均纯收入19645元。加强就业产业帮扶，实施璧城街道老旧小区改造配套基础设施（一期）等以工代赈项目13个、带动当地1993人就业增收，帮助脱贫人口外出务工2010人，有意愿、有能力人员全部实现就业。加快发展农产品加工业，新增规上农产品加工企业4家，琪金公司、有友食品入选重庆农产品加工业100户领军企业，农产品加工业总产值86亿元。实施云雾花涧、石伞云遮等农文旅融合项目，建成投用江家坪七彩田园、万亩梯田会客厅、喜观乡村振兴驿站，培育观光旅游、休闲体验、研学科普等“农文旅、产加销”新业态，接待游客超25万人次，实现农文旅收入超4000万元。发展壮大新型农村集体经济，村集体经济经营性收入10万元以上的村实现全覆盖。农村居民人均可支配收入27018元、增速高于城镇居民人均可支配收入1.8个百分点，城乡居民人均可支配收入差距缩小至1.9∶1。</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是乡村建设和农村改革稳步推进。加快建设宜居宜业和美乡村，农村危旧房全面消除，农村生活垃圾有效治理率、卫生厕所普及率、行政村通车率分别达到100%、98%、100%，创建全国乡村治理示范村1个、市级乡村治理示范镇（村）4个，新增绿色示范村3个，建成巴蜀美丽庭院示范片1个。有序推进国家城乡融合发展试验区改革，新增“三变”改革试点村22个、全域推广镇1个，“三社”融合覆盖率达到100%。</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是城市功能品质全面提升。加快交通设施建设，市郊铁路璧铜线云雾山隧道贯通，金凤隧道双向贯通，轨道27号线璧山段土建工程完成80%，新增城市道路15.5公里。持续推动城市有机更新，大成广场城市更新核心区</w:t>
      </w:r>
      <w:r>
        <w:rPr>
          <w:rFonts w:hint="eastAsia" w:ascii="Times New Roman" w:hAnsi="Times New Roman" w:eastAsia="方正仿宋_GBK"/>
          <w:sz w:val="32"/>
          <w:szCs w:val="32"/>
          <w:lang w:val="en-US" w:eastAsia="zh-CN"/>
        </w:rPr>
        <w:t>基本</w:t>
      </w:r>
      <w:r>
        <w:rPr>
          <w:rFonts w:hint="eastAsia" w:ascii="Times New Roman" w:hAnsi="Times New Roman" w:eastAsia="方正仿宋_GBK"/>
          <w:sz w:val="32"/>
          <w:szCs w:val="32"/>
        </w:rPr>
        <w:t>完工，完成老旧小区改造项目3个，整治雨污窨井盖607套，排水管网整治三期基本完工，璧南河一级截污干管改造工程进度过半，新建成“城市微客厅”14个。优化城市绿地布局，新建成“口袋公园”3个，新增坡坎崖绿化美化示范点1个、城市绿地面积达到66.2万平方米，公园补缺提质面积100万平方米以上，38个城市公园各具特色，市民尽享“绿色福利”。提升生活便利度，打造15分钟便民服务圈，文化艺术中心、三甲医院、重点中学、国家一级图书馆、五星级养老机构、重庆中医药学院等城市功能配套完善。</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是城乡融合发展取得积极成效。国土空间分区规划编制完成，“多规合一”国土空间规划体系基本形成。按照节约集约用地要求，处置批而未供土地10362亩、闲置土地806亩，城市发展空间进一步拓展。有序推进农业转移人口市民化，健全常住地提供基本公共服务制度，持续开展为返乡农民工提供至少1次职业指导、3个岗位信息、推荐至少1个培训项目的“131”服务，回引1100人返乡创业就业，常住人口城镇化率达到73.5%。</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（九）用心用情办好民生实事，人民生活福祉不断增进。</w:t>
      </w:r>
      <w:r>
        <w:rPr>
          <w:rFonts w:hint="eastAsia" w:ascii="Times New Roman" w:hAnsi="Times New Roman" w:eastAsia="方正仿宋_GBK"/>
          <w:sz w:val="32"/>
          <w:szCs w:val="32"/>
        </w:rPr>
        <w:t>坚持民生为本，聚焦教育、医疗、养老等群众最关心的问题，深入推进就业创收，加快补齐民生事业短板，全力惠民、富民、安民、便民。</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居民就业稳中向好。积极扩大就业容量、优化就业结构、提升就业质量，城镇新增就业1.8万人，城镇调查失业率降至5.1%，高校毕业生就业率达到96.2%。优化就业服务，运用“线上+线下”招聘会提供就业岗位4万个，开展职业技能培训5044人次，发放创业担保贷款6100万元。强化分类帮扶，发放灵活就业社保补贴1591人次、948.2万元，失业金26645人次、3999.7万元，帮助就业困难人员就业2466人。</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是民生实事有序推进。15件年度重点民生实事全部完成，第二批主题教育3项民生项目取得阶段性成效。新开工4个城镇老旧小区改造项目，建成投用小微停车场21个、新增停车泊位2048个。新建幼儿园3所，学前三年毛入园率达到98.5%，普惠性幼儿园覆盖率达到92%。区精神卫生中心医技楼、福禄镇卫生院迁建项目主体完工。3693名适龄在校女学生免费接种HPV疫苗，适龄儿童免疫规划疫苗接种率达到98.1%。创建“渝馨家园（残疾人之家）”4个，完成残疾人家庭无障碍改造253户。实施特殊困难老年人家庭适老化改造1100户。启动公益性公墓建设3个。</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是社会事业蓬勃发展。重庆中医药学院、璧山巴蜀中学开学招生，新投用东林中小学、高新区中小学4所学校，改扩建大路中学、城北小学、凤凰小学、新民学校、职教中心5所学校，新增义务教育学位10140个、义务教育巩固率保持在99.8%以上，高中阶段教育毛入学率巩固在91%以上。医疗服务水平持续提升，入选紧密型城市医疗集团建设市级试点，创建全市首支市级紧急医学救援队伍，人民医院顺利通过“三甲”复审，妇幼保健院、疾控中心分别通过“三甲”“二甲”创建评审。社会保障扩面提质，基本养老、基本医疗保险参保率稳定在95%以上。加大重点群体关爱保障力度，城镇、农村居民每人每月低保标准分别由</w:t>
      </w:r>
      <w:r>
        <w:rPr>
          <w:rFonts w:hint="eastAsia" w:ascii="Times New Roman" w:hAnsi="Times New Roman" w:eastAsia="方正仿宋_GBK"/>
          <w:sz w:val="32"/>
          <w:szCs w:val="32"/>
          <w:lang w:val="en-US" w:eastAsia="zh-CN"/>
        </w:rPr>
        <w:t>717</w:t>
      </w:r>
      <w:r>
        <w:rPr>
          <w:rFonts w:hint="eastAsia" w:ascii="Times New Roman" w:hAnsi="Times New Roman" w:eastAsia="方正仿宋_GBK"/>
          <w:sz w:val="32"/>
          <w:szCs w:val="32"/>
        </w:rPr>
        <w:t>元、</w:t>
      </w:r>
      <w:r>
        <w:rPr>
          <w:rFonts w:hint="eastAsia" w:ascii="Times New Roman" w:hAnsi="Times New Roman" w:eastAsia="方正仿宋_GBK"/>
          <w:sz w:val="32"/>
          <w:szCs w:val="32"/>
          <w:lang w:val="en-US" w:eastAsia="zh-CN"/>
        </w:rPr>
        <w:t>581</w:t>
      </w:r>
      <w:r>
        <w:rPr>
          <w:rFonts w:hint="eastAsia" w:ascii="Times New Roman" w:hAnsi="Times New Roman" w:eastAsia="方正仿宋_GBK"/>
          <w:sz w:val="32"/>
          <w:szCs w:val="32"/>
        </w:rPr>
        <w:t>元提高到735元、600元，累计向低保、特困、临时救助对象发放保障金1.03亿元。提升“一老一小”照护水平，妇幼保健院获评全市首批“五心”妇幼保健院，重医附一院青杠老年养护中心获评五星级养老服务机构，每千人口拥有3岁以下婴幼儿托位数达到2.83个，入选第二批建设国家儿童友好城市名单。</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是文化事业更加繁荣。加强古道文化、状元文化、抗战文化、非遗文化等优秀传统文化保护传承，实施文庙大成殿、狮子桥牌坊等文化遗产保护修缮工程，烈士陵园修缮工程、谢唯进故居保护修缮工程主体完工。举办首届璧山“全马”、区七运会等体育赛事，开展惠民演出476场，舞蹈作品《鼓儿咚咚》荣获第十二届“小荷风采”全国少儿舞蹈展演金奖。推动军民深度融合协调发展，连续8届荣获市级双拥模范城。</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（十）全力防范化解各类风险，社会发展大局保持稳定。</w:t>
      </w:r>
      <w:r>
        <w:rPr>
          <w:rFonts w:hint="eastAsia" w:ascii="Times New Roman" w:hAnsi="Times New Roman" w:eastAsia="方正仿宋_GBK"/>
          <w:sz w:val="32"/>
          <w:szCs w:val="32"/>
        </w:rPr>
        <w:t>牢固树立底线思维，突出除险清患导向，综合考虑传统安全与非传统安全因素，把安全发展贯穿各领域和全过程，以高效能治理护航现代化新璧山建设。</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重点领域风险稳妥有效化解。全力做好“保交楼”工作。落实“一楼一策”，争取专项借款8.5亿元，落实配套融资9.4亿元，竣工销号保交楼项目14个，交房20241套。财政收入结构不断优化，税收收入占一般公共预算收入比重较2022年提高9个百分点。有效防范化解债务风险，偿还政府隐性债务本金22.7亿元，压减行政支出2100万元，政府债务风险等级控制在黄色区间。有效防范化解金融风险，建立全市首个全民反诈联合宣传站，电信网络诈骗立案数下降20.8%，化解非法集资积案1起。</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是粮食、能源保障能力持续提升。严格落实耕地保护和粮食安全党政同责，坚决遏制耕地“非农化”“非粮化”，恢复补足耕地7300亩，改造提升高标准农田1.5万亩，全年粮食播种面积41.3万亩、产量17.1万吨，完成原粮和成品粮油储备任务。优化建设电力输送通道，大兴至丁家π接入莲花坝变电站35千伏线路工程竣工投运，110千伏凤凰至璧山项目开工建设。稳步推进分布式光储项目建设，累计建成分布式光伏项目45个、分布式储能项目2个，并网容量规模共计达到11.85万千瓦，其中，璧山综合智慧零碳电厂比亚迪光储项目成功实现全容量“满充满放”，成为西南地区最大规模的单体用户侧储能项目。加强天然气供应保障，向上争取用气指标2.14亿立方，新铺设天然气管线73千米。</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是安全生产及自然灾害防治抓实抓细。处置暴雨、大风、雷电、地质灾害等险情40起，有力防范应对“7.26”区域性暴雨天气，全年自然灾害“零伤亡”。深入开展重大事故隐患排查整治、火灾防控“除险清患”专项行动，建成投用消防指挥中心、森林防火监测预警中心，督促整改安全隐患13175个，电气火灾智能防控系统获全市推广，安全生产亡人事故起数、死亡人数分别下降9.1%、8.3%，连续6年未发生重特大事故。</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是社会治理能力不断提升。构建平安璧山法治璧山建设“八大体系”，健全风险闭环管控“七项机制”，全区社会政治大局平稳。强化信访源头治理，常态化开展“治理化积”，排查化解矛盾纠纷1.5万余件次，化解率98.2%。完善立体化智能化的社会治安防控体系，刑事案件立案数下降29.4%，暴恐案事件“零发生”。深入推进“家校社”共育五项行动，专门学校在全市率先建成投用，未成年人犯罪案件同比下降41.8%。全面构建“一中心四板块一网格”基层智治体系，划分网格1068个、微网格2896个，聘请专兼职网格员1695人。强化食品药品全链条监管，全年开展抽检3995批次，合格率97.5%。开展“两品一械”抽检130批次，合格率99%。</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总体看，在全国经济恢复“波浪式发展、曲折式前进”背景下，我区经济稳住了大盘、提升了质效，国民经济和社会发展主要指标符合预期。</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2023年，实施重大建设项目121个，总投资2362.9亿元，全年完成投资337.5亿元，占年度计划的106.3%，其中：政府投资项目完成投资127亿元、占年度计划的105.1%；社会投资项目完成投资210.5亿元、占年度计划的107%。开工建设新材料产业园一期等53个项目，建成投用中新智能产业园等39个项目。截至2023年底，全区“十四五”规划纲要重点储备项目已开工建设173个，其中建成投用65个。</w:t>
      </w:r>
    </w:p>
    <w:p>
      <w:pPr>
        <w:overflowPunct w:val="0"/>
        <w:autoSpaceDE w:val="0"/>
        <w:autoSpaceDN w:val="0"/>
        <w:adjustRightInd w:val="0"/>
        <w:snapToGrid w:val="0"/>
        <w:spacing w:line="578"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二、2024年国民经济和社会发展计划总体考虑</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（一）宏观形势判断。</w:t>
      </w:r>
      <w:r>
        <w:rPr>
          <w:rFonts w:hint="eastAsia" w:ascii="Times New Roman" w:hAnsi="Times New Roman" w:eastAsia="方正仿宋_GBK"/>
          <w:sz w:val="32"/>
          <w:szCs w:val="32"/>
        </w:rPr>
        <w:t>2024年，我区发展面临的困难和挑战依然不少。外部环境的复杂性、严峻性、不确定性上升，国际政治经济环境变化不利影响加大。国内经济恢复仍处在疫情防控平稳转段后的波浪式发展、曲折式前进过程，有效需求不足、部分行业产能过剩、社会预期偏弱、风险隐患仍然较多，国内大循环存在堵点。全市经济社会发展仍然面临一些困难和挑战，我区自身发展也存在问题和短板，主要是：综合实力还不够强，经济总量还不够大；传统产业转型升级步伐较慢，现代服务业发展水平还不够高；</w:t>
      </w:r>
      <w:r>
        <w:rPr>
          <w:rFonts w:hint="eastAsia" w:ascii="Times New Roman" w:hAnsi="Times New Roman" w:eastAsia="方正仿宋_GBK"/>
          <w:sz w:val="32"/>
          <w:szCs w:val="32"/>
          <w:lang w:val="en-US" w:eastAsia="zh-CN"/>
        </w:rPr>
        <w:t>经营</w:t>
      </w:r>
      <w:r>
        <w:rPr>
          <w:rFonts w:hint="eastAsia" w:ascii="Times New Roman" w:hAnsi="Times New Roman" w:eastAsia="方正仿宋_GBK"/>
          <w:sz w:val="32"/>
          <w:szCs w:val="32"/>
        </w:rPr>
        <w:t>主体仍面临较多困难，营商环境仍需优化；投资信心还需提振，消费恢复不及预期；区属国有企业市场化水平偏低，园区开发区效益有待进一步提升；房地产金融领域风险交织，政府债务压力凸显，各类矛盾纠纷和安全隐患问题排查化解任务重、难度大。</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机遇和挑战并存，总体上机遇大于挑战。国内大循环内生动力和可靠性不断增强，中央持续加大宏观政策调控力度，实施增发万亿元国债等系列逆周期调节政策，将为2024年经济社会发展带来强大动力。全市上下把成渝地区双城经济圈建设作为市委“一号工程”和全市工作总抓手总牵引，加快推动西部陆海新通道建设，进一步推动长江经济带高质量发展，深入推进以数字重庆建设为牵引的全面深化改革，奋力实现“三攻坚一盘活”改革突破，将逐步形成一批标志性成果，激发新动能、焕发新活力。市委六届四次全会、市委经济工作会议对推动全面深化改革、抓好2024 年经济工作作出具体部署，为我们描绘了清晰的任务书、路线图。我们要坚定信心、开拓奋进，抢抓发展机遇，乘势而上推动璧山高质量发展，努力展现经济大区的责任担当，争当成渝地区双城经济圈建设先行区排头兵。</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（二）总体要求。</w:t>
      </w:r>
      <w:r>
        <w:rPr>
          <w:rFonts w:hint="eastAsia" w:ascii="Times New Roman" w:hAnsi="Times New Roman" w:eastAsia="方正仿宋_GBK"/>
          <w:sz w:val="32"/>
          <w:szCs w:val="32"/>
        </w:rPr>
        <w:t>坚持以习近平新时代中国特色社会主义思想为指导，全面贯彻党的二十大、二十届二中全会和中央经济工作会议精神，深入落实市委六届二次、三次、四次全会和市委经济工作会议精神，全面落实区委十五届七次全会部署，坚持“稳中求进”工作总基调，完整、准确、全面贯彻新发展理念，积极服务融入新发展格局，统筹扩大内需和深化供给侧结构性改革，统筹新型城镇化和乡村全面振兴，统筹高质量发展和高水平安全，强化稳进增效、除险固安、改革突破、惠民强企工作导向，以深层次改革牵引高质量发展、高品质生活、高效能治理，持之以恒建设“五新四城”，努力在现代化新重庆建设中展现更大担当作为，奋力谱写中国式现代化璧山新篇章！</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（三）主要发展目标。</w:t>
      </w:r>
      <w:r>
        <w:rPr>
          <w:rFonts w:hint="eastAsia" w:ascii="Times New Roman" w:hAnsi="Times New Roman" w:eastAsia="方正仿宋_GBK"/>
          <w:sz w:val="32"/>
          <w:szCs w:val="32"/>
        </w:rPr>
        <w:t>2024年国民经济和社会发展计划指标在沿用2023年指标体系基础上进一步优化调整，优化调整后的指标共计35项，其中包含9项约束性指标，26项预期性指标。为全面贯彻中央经济工作会议和市委经济工作会议要求，全面落实区委十五届七次全会部署，充分考虑外部环境、基础优势、潜力后劲，合理衔接“十四五”规划目标要求，兼顾需要与可能、短期与长期、发展与底线，按照“跳一跳、够得着”原则，建议：2024年地区生产总值增长7%，规模以上工业增加值增长9%，固定资产投资增长7%、其中工业投资增长14%，社会消费品零售总额增长8.5%，进出口总额增长3%，一般公共预算收入增长6%，全体居民人均可支配收入增长与地区生产总值增长基本同步。同时，考虑到受国家统筹耕地保护和生态安全政策调整影响，建议森林覆盖率稳定在43%以上。</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（四）重大项目安排。</w:t>
      </w:r>
      <w:r>
        <w:rPr>
          <w:rFonts w:hint="eastAsia" w:ascii="Times New Roman" w:hAnsi="Times New Roman" w:eastAsia="方正仿宋_GBK"/>
          <w:sz w:val="32"/>
          <w:szCs w:val="32"/>
        </w:rPr>
        <w:t>2024年，计划实施重大建设项目128个，总投资1127.2亿元，年度计划投资304.1亿元。按以下五类安排：产业转型升级重点项目58个，总投资576.3亿元，年度计划投资125.6亿元；城市提升重点项目25个，总投资324.9亿元，年度计划投资84亿元；社会民生重点项目26个，总投资181.3亿元，年度计划投资62.4亿元；生态环保重点项目9个，总投资17.6亿元，年度计划投资11.7亿元；乡村振兴重点项目10个，总投资27.1亿元，年度计划投资20.4亿元。</w:t>
      </w:r>
    </w:p>
    <w:p>
      <w:pPr>
        <w:overflowPunct w:val="0"/>
        <w:autoSpaceDE w:val="0"/>
        <w:autoSpaceDN w:val="0"/>
        <w:adjustRightInd w:val="0"/>
        <w:snapToGrid w:val="0"/>
        <w:spacing w:line="578"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三、2024年实现国民经济和社会发展计划的重点工作</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（一）坚持一体化和高质量两个关键，全力推动成渝地区双城经济圈建设走深走实。</w:t>
      </w:r>
      <w:r>
        <w:rPr>
          <w:rFonts w:hint="eastAsia" w:ascii="Times New Roman" w:hAnsi="Times New Roman" w:eastAsia="方正仿宋_GBK"/>
          <w:sz w:val="32"/>
          <w:szCs w:val="32"/>
        </w:rPr>
        <w:t>持续以市委“一号工程”为工作总抓手总牵引，促进区域协同、共建成渝“双圈”，着力打造成渝地区双城经济圈重要先进制造业承载地、科技成果转移转化首选地、城乡融合发展示范地、高品质生活宜居地和对外开放新门户。</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压茬推进“十项行动”和“四张清单”。聚焦成渝地区双城经济圈建设“十项行动”，储备一批高质量项目，谋划一批高能级平台，总结一批高辨识度改革，优化实施一批重大政策。强化纵向对接、横向协同，把准上级工作动向和进度安排，把握迭代窗口期，全力争取更多“璧山元素”进入“四张清单”。抓好2024年度市级“四张清单”衔接落实，滚动更新、迭代升级区级“四张清单”。锚定目标、加力推进区级“十项行动”实施方案，清单化、项目化、事项化推动各项任务落实落地。</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是协同推动渝西地区高质量发展。加快推动交通建设，聚焦多式联运，更好服务渝西高能级综合交通枢纽体系建设，加密璧山进出中心城区通道，实现与中心城区、成都市及渝西各区之间“1小时畅达”。深入贯彻先进制造业发展“渝西跨越计划”，大力发展智能网联新能源汽车、电子信息两大主导产业，面向重庆中心城区与成都市的整车、整机、整装积极发展整零配套，突出“错位协同、优势互补”，推动与渝西地区产业链协作配套，争取一批国家战略腹地项目落地，确保规上工业营收增长17%以上，扩大产业集群集聚效应，支撑服务市域、成渝地区双城经济圈现代化产业体系建设。</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是持续深化川渝全方位多领域合作。加快动力电池研究总院、璧山西部（国际）数字经济产业园等共建“双圈”重大项目建设。深化与四川简阳、遂宁等友好城市合作，加强与梁平区“一区两群”对口协同发展。加快融入川渝地区产业协作体系，推进与四川乐至、射洪共建产业合作示范园区，与天府数据中心共建全国一体化算力网络成渝国家枢纽节点，积极融入成渝氢走廊建设，联动遂宁、宜宾壮大川渝新能源汽车电池产业规模，共同打造“成渝新能源汽车零部件配套走廊”。推进生态环境共建共保，健全与永川、江津联防联控、联合执法、合力治污机制。加强公共服务共建共享，全面推动“川渝通办”事项落地。</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（二）坚持扩大开放、敢闯善创，全方位融入西部陆海新通道建设。</w:t>
      </w:r>
      <w:r>
        <w:rPr>
          <w:rFonts w:hint="eastAsia" w:ascii="Times New Roman" w:hAnsi="Times New Roman" w:eastAsia="方正仿宋_GBK"/>
          <w:sz w:val="32"/>
          <w:szCs w:val="32"/>
        </w:rPr>
        <w:t>进一步拓宽开放通道，培育发展更高水平开放型经济，</w:t>
      </w:r>
      <w:r>
        <w:rPr>
          <w:rFonts w:hint="eastAsia" w:ascii="Times New Roman" w:hAnsi="Times New Roman" w:eastAsia="方正仿宋_GBK"/>
          <w:spacing w:val="2"/>
          <w:sz w:val="32"/>
          <w:szCs w:val="32"/>
        </w:rPr>
        <w:t>推动中新生命科技城迈出新步伐，更好在全市带头开放、带动开</w:t>
      </w:r>
      <w:r>
        <w:rPr>
          <w:rFonts w:hint="eastAsia" w:ascii="Times New Roman" w:hAnsi="Times New Roman" w:eastAsia="方正仿宋_GBK"/>
          <w:sz w:val="32"/>
          <w:szCs w:val="32"/>
        </w:rPr>
        <w:t>放。</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一是畅通对外开放通道。积极对接全市“四向五廊六通道”物流通道规划工作，启动物流通道预控工作，探索组建综合物流</w:t>
      </w:r>
      <w:r>
        <w:rPr>
          <w:rFonts w:hint="eastAsia" w:ascii="Times New Roman" w:hAnsi="Times New Roman" w:eastAsia="方正仿宋_GBK"/>
          <w:spacing w:val="2"/>
          <w:sz w:val="32"/>
          <w:szCs w:val="32"/>
        </w:rPr>
        <w:t>运营平台。争取重庆新机场早日开工，推进渝昆高铁、成渝中线高铁、轨通27号线、成渝高速改扩建项目，加快建设渝遂高速复线、永璧高速、合璧津高速、璧铜线，金凤隧道及连接线实现</w:t>
      </w:r>
      <w:r>
        <w:rPr>
          <w:rFonts w:hint="eastAsia" w:ascii="Times New Roman" w:hAnsi="Times New Roman" w:eastAsia="方正仿宋_GBK"/>
          <w:sz w:val="32"/>
          <w:szCs w:val="32"/>
        </w:rPr>
        <w:t>通车。</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是全力建好中新生命科技城。增强片区承载能力。按照“一核五片”设计理念，聚焦中医药、医疗器械、医疗康养、生物制药、数字医疗、健康食品等重点赛道，编制片区建设实施方案。完善道路管网等基础设施，投用御湖公园、龙梭山公园。加快推进中医智谷建设，建成投用中新生命科技城展示中心、孵化中心，完成新加坡海峡制药等项目入驻。发挥中关村联创医学工程转化中心作用，完善企业入园标准和产业扶持政策体系，畅通园区绿色服务通道。培育生命科技产业。围绕“医养数药食”，签约落地AFC中国总部、A-Z理研、京东医药、京业汇等重点项目，引入仲景宛西、敖东集团、北京中医药大学王琦书院、联仁健康大数据、联影医疗元宇宙等头部企业、优质项目，对接南洋理工大学、新加坡国立大学、启奥生命科学园等新加坡优质资源，筹建中药材交易平台，建设肿瘤治疗康复中心，布局打造“茅莱康境”，构建集“政、产、学、研、用”为一体的产业链生态圈。夯实政策支撑体系。配套制定生命科技产业高质量发展政策，推行国产医疗器械设备首台（套）产品政府首购。全面梳理财政扶持、金融服务、科技创新应用、人才支撑等政策需求，积极争取国家、市级政策倾斜支持，争取生命健康领域重大改革试点政策落地，倾力推动中新生命科技城上升为两国政府间合作项目。</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是提升开放型经济水平。依托缅甸推广中心等功能平台载体，深度对接RCEP成员国驻渝总领事馆、商协会、金融机构等功能性平台，积极参与RCEP合作、东盟合作、澜湄合作。做优国家外贸转型升级基地，发挥自贸区联动创新区政策优势，加快运用跨境电商B2B出口新模式，扩大新能源汽车、锂电池、车载充电机出口，新增进出口企业5家，进出口总额达到72亿元，服务贸易额超1亿美元。系统梳理绘制国际合作产业链图谱，健全外商投资及对外贸易全流程服务体系，引进外资项目4个，实际使用外资2000万美元以上。</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（三）坚持生态优先、绿色发展，做好长江经济带生态答卷。</w:t>
      </w:r>
      <w:r>
        <w:rPr>
          <w:rFonts w:hint="eastAsia" w:ascii="Times New Roman" w:hAnsi="Times New Roman" w:eastAsia="方正仿宋_GBK"/>
          <w:sz w:val="32"/>
          <w:szCs w:val="32"/>
        </w:rPr>
        <w:t>牢固树立和践行“两山论”，坚决打好长江经济带污染治理和生态保护攻坚战，深入实施绿色低碳转型行动，持续提升全域生态环境质量，加快打造人与自然和谐共生的璧山范例。</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深入打好污染防治攻坚战。持续开展工业、交通等重点领域综合治理，严格落实污染天气预警应对措施，PM2.5年均浓度达到国家二级标准，单位GDP二氧化碳排放降低完成市级下达目标，提高空气质量优良天数比例。严格落实河长制，建成智慧排水“一张网”，加快建设城区一级截污干管改造项目和排水管网整治工程，加快推进梅江河、三江水库、同心水库市级幸福河湖创建工作，确保“三河”水质达标，城市集中式饮用水水源地水质达标率100%。保持土壤环境治理总体稳定，强化污染地块治理修复和农村面源污染治理，受污染耕地安全利用率稳定在92%以上；严格建设用地准入，重点建设用地安全利用率达到100%。</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是坚决筑牢生态安全屏障。守牢国土空间开发保护底线，统筹优化农业、生态、城镇等各类空间格局，启动自然保护地总体规划编制。落实“三线一单”分区管控，完成生态红线勘界定标。推深做实林长制，完善“智慧林长”系统信息采集平台，加强林业有害生物防控。建成防火通道190公里、生物防火阻隔带470公里，投用缙云山生态环道，完成“最美隔离带”建设。实施国土绿化行动，改造低质低效林1万亩，森林覆盖率稳定在43%以上，创建国家森林城市和市级“两山”基地。持续推进历史遗留和关闭矿山生态修复，启动正兴垃圾填埋场无害化综合治理。严格落实长江十年禁渔政策，加强蓄水合理调度，持续巩固良好水生态环境。</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是稳妥推进碳达峰碳中和。实施碳达峰碳中和专项行动，强化节能监测预警和调度管理，严控“两高一低”项目盲目发展。推动近零碳园区试点，促进重点行业实施节能降碳改造升级，创建绿色工厂2家、节水型企业5家，提速建设绿色低碳材料产业园、循环经济产业园。开展全域“无废城市”建设，创建“无废城市细胞”35个，持续推进渝西一般工业固废处置利用中心建设，推广运用“固废云”系统。加快推进LNG加注站、醇基燃料分装站建设，新增分布式光伏、用户侧储能项目5个，新建换电站1座。深入开展垃圾分类治理，创建市级垃圾分类先锋区，城市生活垃圾回收利用率提升至42%以上。</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（四）坚持产业立区、制造业强区，加快构建现代化产业体系。</w:t>
      </w:r>
      <w:r>
        <w:rPr>
          <w:rFonts w:hint="eastAsia" w:ascii="Times New Roman" w:hAnsi="Times New Roman" w:eastAsia="方正仿宋_GBK"/>
          <w:sz w:val="32"/>
          <w:szCs w:val="32"/>
        </w:rPr>
        <w:t>坚持高端化、智能化、绿色化方向，深入推进“千亿集群、百亿链主、亿元规上、万家创新”四大工程，做强智能网联新能源汽车产业集群，培育壮大电子信息、智能装备、生命科技、先进材料、数字经济产业，加快打造制造业发展新引擎。</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打造现代制造业集群体系。围绕全市“33618”现代制造业集群体系，大力推进新型工业化，发展壮大优势产业。智能网联新能源汽车方面，深入实施智能网联新能源汽车零部件产业发展倍增计划，围绕电池、电驱、电转向、电制动、底盘、智能座舱等细分领域补链强链延链，投用比亚迪动力电池研究总院，建好中国长安璧山智能网联低碳产业园一期，力争产值突破700亿元。电子信息方面，依托平创、台冠、康佳等重点企业，发力集成电路设计、先进封装测试、晶圆制造和新型显示等领域，力争产值突破180亿元。智能装备方面，发挥军民融合优势，推动智能装备产业向研发、设计、总部等高端业态升级，围绕数控机床、智能检测、动力装备引育企业5家，加快建设新能源装备产业园，开工建设新能源汽车高端检测装备研发制造基地，力争产值突破120亿元。生命科技方面，依托中新生命科技城、重庆中医药学院等资源优势，围绕“医养数药食”五大方向构建产业链生态圈，招引落地重点项目10个，力争创建生物经济先导区、医疗旅游先行区。先进材料方面，推动合成生物基金项目落地，布局一批产业项目；加快建设医用聚氨酯医疗器械研发及生产基地，助力国产高端医疗器械走向市场。持续开展产业链供应链对接活动，引导链主企业与上下游配套企业集群发展，推动首台（套）装备、首批次材料等示范应用，新培育100亿级龙头企业1家、“专精特新”企业和小巨人企业20家、“明日之星”企业100家，新增产值过亿企业30家。增强园区承载能力，投用标准厂房35万平方米，建成园区道路18.5公里，“专精特新”产业园、新能源汽车特色产业园入驻率超70%。做好招工就业服务，助力招引产业工人1.5万人以上。开展“亩均论英雄”效益综合评价，规上制造业亩均增加值、税收分别提高到194万元、16.5万元。</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是促进数字经济创新提质。大力推进数字产业化。建好“梦界空间”数字经济产业园，力争落户数字经济项目10个。上线元宇宙产业平台，争创国家级网络、数据安全产业示范园区。数字经济核心产业增加值实现80亿元以上、增速达到10%。加快推进产业数字化。推动“百企数智技改升级”，组织30家企业开展智能制造能力成熟度评估，新建6个数字化车间和智能工厂。深化数字化装备、信息系统集成应用，实施“机器人+”行动。以数字化赋能消费品工业，打造阿里设计C2M数字经济创新中心，推动制鞋、食品加工业加快转型，争创全国中小企业数字化转型试点城市。强化数字基础设施建设，进一步打造全国一体化算力示范工程成渝枢纽节点璧山起步区示范，推进5G、千兆光网规模化部署，有效发挥中科曙光先进数据中心、量子可信云平台效益。</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是促进现代服务业与先进制造业深度融合。增强金融服务实体经济能力，积极引进培育金融机构，探索推出更多普惠性金融产品；出台支持企业上市政策十六条，新增拟上市储备企业10家。支持西部网科、创业汇等电商</w:t>
      </w:r>
      <w:r>
        <w:rPr>
          <w:rFonts w:hint="eastAsia" w:ascii="Times New Roman" w:hAnsi="Times New Roman" w:eastAsia="方正仿宋_GBK"/>
          <w:sz w:val="32"/>
          <w:szCs w:val="32"/>
          <w:lang w:val="en-US" w:eastAsia="zh-CN"/>
        </w:rPr>
        <w:t>经营</w:t>
      </w:r>
      <w:r>
        <w:rPr>
          <w:rFonts w:hint="eastAsia" w:ascii="Times New Roman" w:hAnsi="Times New Roman" w:eastAsia="方正仿宋_GBK"/>
          <w:sz w:val="32"/>
          <w:szCs w:val="32"/>
        </w:rPr>
        <w:t>主体发展壮大，鼓励传统商贸企业线上线下互动创新。健全三级物流配送体系，加快建设城乡冷链物流项目一期，推动物流提质、增效、降本。提升科技服务能力，加强孵化载体市场化、专业化运营管理，充分发挥重庆科技成果转化股权投资基金作用，助力更多优质科技成果转化、产业化。</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（五）坚持扩大投资、促进消费，全力以赴稳定经济增长。</w:t>
      </w:r>
      <w:r>
        <w:rPr>
          <w:rFonts w:hint="eastAsia" w:ascii="Times New Roman" w:hAnsi="Times New Roman" w:eastAsia="方正仿宋_GBK"/>
          <w:sz w:val="32"/>
          <w:szCs w:val="32"/>
        </w:rPr>
        <w:t>做强项目投资主引擎，打造产业聚集高地、投资兴业热土，吸引更多民间投资参与重点领域建设。紧跟全市打造国际消费中心城市步伐，加快消费提质升级，打造独具魅力的数智消费高地。</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全力扩大有效投资。加强重点项目建设，推动30个市级重点项目全年完成投资超112.6亿元，提速建设片区开发重点项目，新开工亿元级项目40个。推动基础设施投资提质增效，千秋堰水库下闸蓄水，新建城市新区水厂（三期）和璧北水厂；实施天然气老旧管网改造，新铺设天然气管线30公里。突出工业投资主力军作用，开工建设宸兮高科</w:t>
      </w:r>
      <w:r>
        <w:rPr>
          <w:rFonts w:hint="eastAsia" w:ascii="宋体" w:hAnsi="宋体" w:eastAsia="宋体" w:cs="宋体"/>
          <w:sz w:val="32"/>
          <w:szCs w:val="32"/>
        </w:rPr>
        <w:t>·</w:t>
      </w:r>
      <w:r>
        <w:rPr>
          <w:rFonts w:hint="eastAsia" w:ascii="方正仿宋_GBK" w:hAnsi="方正仿宋_GBK" w:eastAsia="方正仿宋_GBK" w:cs="方正仿宋_GBK"/>
          <w:sz w:val="32"/>
          <w:szCs w:val="32"/>
        </w:rPr>
        <w:t>重庆璧山智车港等重点项目，完成技改投资</w:t>
      </w:r>
      <w:r>
        <w:rPr>
          <w:rFonts w:hint="eastAsia" w:ascii="Times New Roman" w:hAnsi="Times New Roman" w:eastAsia="方正仿宋_GBK"/>
          <w:sz w:val="32"/>
          <w:szCs w:val="32"/>
        </w:rPr>
        <w:t>70亿元，占工业投资比重稳定在30%以上。进一步稳住房地产投资，持续攻坚化解问题楼盘，做好“保交楼”工作。积极探索投融资体制改革，鼓励提振民间投资。加强资金资源要素统筹。聚焦制造业、交通、水利、能源等国家支持领域，动态谋划和前瞻储备一批投资效益好、拉动作用大的重大项目，全力争取中央预算内投资、地方政府专项债券等重点资金支持。编制年度土地征收成片开发方案，争取用地指标2000亩、实施征地拆迁3000亩、供应土地6000亩，优先保障重点项目建设用地需求。做好环保审批要素支撑，支持低能耗高产出项目优先用能。充分发挥重点项目联席会议制度督查效力，用好项目“季、月、旬”三级调度协调机制，加强重点项目卡点难点问题解决，促进重点项目早开工、快建设。</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是加大招商引资力度。牢固树立“招商为王”项目理念，坚定不移推行“走出去”“引进来”的对外开放招商模式，全面提升招商引资质效。持续健全招商机制，优化招商中心、开放平台、八大专班、重点项目指挥部招商体系，专班专人打表推进招商项目对接落地。精心做好城市宣传，用好智博会、西洽会、渝西地区招商座谈会等经贸投资活动，常态化举办集中签约、项目开工活动，提升璧山城市形象。围绕全区重点产业集群，完善产业链图谱和招商地图，大力开展产业链招商、资本招商，做好招商项目全流程全生命周期服务，力争引进100亿级项目1个、50亿级项目2个。</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是不断激发消费潜能。提振大宗消费，全面落实新能源汽车、电子产品、智能家居、绿色建材等领域消费促进政策，推动房地产与装修装饰、家电销售、金融信贷联动，稳住和扩大重点商品消费，更好满足居民刚性和改善性住房需求。提升传统消费，推动梦界水乐园实现开园，爱琴海商圈、古德里酒店正式营业，提档升级“梦圆广场”夜市，加快东南亚风情小镇招商引流，培育一批特色街区和“老字号”餐饮门店。培育新型消费，持续办好西部动漫节、电竞职业联赛，打造环玉泉湖AR体验带，建成电竞赛事主场馆，培育动漫电竞、数字影视拍摄、智慧广电等数字文化产业，塑造更多沉浸式、体验式、互动式消费新场景。发展融合消费，依托本地文旅资源、历史文化底蕴、体育设施配套，扩大养老托幼、医疗康养、文化体育等领域消费，推动文化产业增加值增长8%。营造良好消费氛围，结合节假日及节庆赛事办好消费促进活动，动员</w:t>
      </w:r>
      <w:r>
        <w:rPr>
          <w:rFonts w:hint="eastAsia" w:ascii="Times New Roman" w:hAnsi="Times New Roman" w:eastAsia="方正仿宋_GBK"/>
          <w:sz w:val="32"/>
          <w:szCs w:val="32"/>
          <w:lang w:val="en-US" w:eastAsia="zh-CN"/>
        </w:rPr>
        <w:t>经营</w:t>
      </w:r>
      <w:r>
        <w:rPr>
          <w:rFonts w:hint="eastAsia" w:ascii="Times New Roman" w:hAnsi="Times New Roman" w:eastAsia="方正仿宋_GBK"/>
          <w:sz w:val="32"/>
          <w:szCs w:val="32"/>
        </w:rPr>
        <w:t>主体联动金融机构推出购物补贴，适时发放消费券，充分释放重点领域消费潜力。</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cs="Times New Roman"/>
          <w:sz w:val="32"/>
          <w:szCs w:val="32"/>
        </w:rPr>
        <w:t>（六）坚持科技兴区、人才强区，塑造发展新动能新优势。</w:t>
      </w:r>
      <w:r>
        <w:rPr>
          <w:rFonts w:hint="eastAsia" w:ascii="Times New Roman" w:hAnsi="Times New Roman" w:eastAsia="方正仿宋_GBK"/>
          <w:sz w:val="32"/>
          <w:szCs w:val="32"/>
        </w:rPr>
        <w:t>坚持创新制胜，强化人才引领，突出企业科技创新主体地位，集聚力量进行原创性引领性科技攻关，加快打造科技创新新高地，营造近悦远来人才生态。</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优化提升创新载体。建强以西部（重庆）科学城璧山片区为引领的科创核心承载区，加快建设曙光湖智造城。用好高新技术产业研究院、清研理工等平台资源，力争新培育国家级研发平台1个、市级研发平台5个、区级研发平台15个。</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二是培育壮大创新主体。深入实施“双倍增”</w:t>
      </w:r>
      <w:r>
        <w:rPr>
          <w:rFonts w:hint="eastAsia" w:ascii="Times New Roman" w:hAnsi="Times New Roman" w:eastAsia="方正仿宋_GBK"/>
          <w:sz w:val="32"/>
          <w:szCs w:val="32"/>
          <w:lang w:val="en-US" w:eastAsia="zh-CN"/>
        </w:rPr>
        <w:t>行动</w:t>
      </w:r>
      <w:r>
        <w:rPr>
          <w:rFonts w:hint="eastAsia" w:ascii="Times New Roman" w:hAnsi="Times New Roman" w:eastAsia="方正仿宋_GBK"/>
          <w:sz w:val="32"/>
          <w:szCs w:val="32"/>
        </w:rPr>
        <w:t>计划，构建科技企业梯次引育体系，力争高新技术企业、科技型企业分别达到490家、2250家，全社会研发投入占比达到3%，研发投入总量增速超12%，规模以上工业企业拥有研发机构比重达到51%以上。发挥“链主”企业带动作用，用好“链主”企业配套奖励政策，加快培育“瞪羚”“独角兽”企业，形成更多专精特新“小巨人”企业、制造业单项冠军企业。立足“416”科技创新战略布局，深化“揭榜挂帅”“赛马”等攻关机制，推动区属国企围绕生命科技、先进材料等领域组建基金参与股权投资，引导企业积极参与重大科技创新，向上争取市级重点（重大）科技创新项目2个以上。</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是打造一流创新生态。拓宽“研究院+产业园+基金”科技成果转化路径，构建“众创空间—孵化器—加速器—产业园”成果孵化全链条，做好全周期全要素科技创新服务，促进车规级芯片、域控制器、甲醇重整制氢等一批科技成果在璧产业化。打通政府、高校、机构、企业等科技合作通道，用好用活“科技创新25条”、科技创新容错纠错机制、知识产权保护等创新支持政策，全力支持企业开展研发创新活动。加大科技创新领域金融支持力度，科技型企业知识价值信用贷款累计达到10.5亿元以上。积极承接市级以上创新赛事活动，常态化开展科技活动周、科普讲解大赛等。</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是强化有力人才支撑。扩大“璧玉计划”人才品牌影响力，完善引才育才用才体系，人才资源总量突破14万人。用好“新重庆引才计划”等市级引才政策，开展“百校千岗引万才”等活动，精准绘制“产业人才图谱”，实施“靶向”引才工程。做靓“订单式”培养机制，联合知名高校院所开展重点领域产业人才“订单式”培养、来璧设立重点实验室和院士工作站。完善“5+N”服务体系，做好人才社区、“人才十条”等硬件、软件提档升级，营造服务人才、尊重人才的良好生态。</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cs="Times New Roman"/>
          <w:sz w:val="32"/>
          <w:szCs w:val="32"/>
        </w:rPr>
        <w:t>（七）坚持数字引领、改革突破，深层次激发经济社会发展活力。</w:t>
      </w:r>
      <w:r>
        <w:rPr>
          <w:rFonts w:hint="eastAsia" w:ascii="Times New Roman" w:hAnsi="Times New Roman" w:eastAsia="方正仿宋_GBK"/>
          <w:sz w:val="32"/>
          <w:szCs w:val="32"/>
        </w:rPr>
        <w:t>以实用实战推动数字重庆建设，城市发展能力、服务能力、治理能力全方位提升。奋力实现“三攻坚一盘活”改革突破，园区开发区做大做强，国企核心竞争力持续提升，存量国资规范高效盘活。持续深入优化营商环境，民营经济综合实力和竞争力全面增强。</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全力推进数字重庆建设。深化党政机关数字化变革，打通整合党政机关各项职能，推动数据共享、流程再造、业务协同。迭代梳理职能部门及镇街核心业务，建立梳理质量评价和晾晒通报机制，加快形成目录库、问题库。加强数据资源编目、归集、共享，提速扩容“数据高铁”建设，助力构建全市一体化公共数据资源体系。着眼重要、高频、急迫、多跨需求，谋划推出一批新应用纳入市级“一件事”清单，打造更多具有璧山辨识度的实战场景。积极推广应用“渝快办”“渝快政”，实现“渝快码”在高频场景“亮码”通行。完善数字化城市运行和治理机制，推动城市治理“一网统管”，增强“一中心四板块一网格”基层智治实战能力，加快实现三级数字化城市运行和治理中心业务贯通。</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是奋力实现“三攻坚一盘活”改革突破。深入推进国企改革。围绕“止损、瘦身、提质、增效”，坚持市场化原则，加快国企战略性重组、专业化整合，进一步优化集团管控模式和组织架构，推动竞争领域不具优势的国企有序退出，做优做强投资运营公司和产业集团，完成融资平台公司压减任务。深入推进园区开发区改革。围绕“精简机构、压减平台、优化布局、招大引强”，优化整合园区功能职责，科学核定四至边界，推动平台公司市场化转型，编制发展规划、产业发展地图，建立以“亩产效益”为核心的综合评价体系，形成权责清晰、产业聚焦和布局合理的园区开发区发展格局。深入推进政企分离改革。围绕“服务回归政府，企业市场化运行”，分类推进机关事业单位与所属企业分离，“一企一策”制定划转整合、注销清退改革方案，6月底前完成政企全面“脱钩”。有效盘活国有资产。围绕实行调剂使用、完善经营、转让变现“三个一批”对国有企业资产开展全面清查，建立完善“资产信息一张图”，建立绩效评价机制，综合运用基础设施REITs、引进战略投资者、加快开发利用、有偿转让等多种方式盘活存量资产。</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是深入优化营商环境。积极完成国家营商环境创新试点改革事项，持续优化企业准入、准营、注销等事项办理流程，推出更多“一证通办”事项和“一件事”集成办服务场景，深入推进“一窗综办”，更好实现“最多跑一次”。开展法治化营商环境建设突出问题专项治理，组织民企评营商环境，依法保护民企合法权益。巩固全国社会信用体系示范区创建成果，持续推行企业信用承诺，建立健全以信用为基础的新型监管机制。培育市长质量管理奖和区长质量管理奖“种子企业”，推进国家知识产权强市建设试点。加快推进绿色金融改革试验区建设，积极引导金融机构创新绿色金融产品，常态化搭建政银企对接平台，新增“八大资金池”贷款金额超10亿元，持续发挥金融服务实体经济作用。全面构建亲清政商关系，实施“千人助万企”“企呼璧应”行动，建强“企业之家”平台，用好“企业吹哨</w:t>
      </w:r>
      <w:r>
        <w:rPr>
          <w:rFonts w:hint="eastAsia" w:ascii="宋体" w:hAnsi="宋体" w:eastAsia="宋体" w:cs="宋体"/>
          <w:sz w:val="32"/>
          <w:szCs w:val="32"/>
        </w:rPr>
        <w:t>·</w:t>
      </w:r>
      <w:r>
        <w:rPr>
          <w:rFonts w:hint="eastAsia" w:ascii="方正仿宋_GBK" w:hAnsi="方正仿宋_GBK" w:eastAsia="方正仿宋_GBK" w:cs="方正仿宋_GBK"/>
          <w:sz w:val="32"/>
          <w:szCs w:val="32"/>
        </w:rPr>
        <w:t>部门报到”机制，推进清廉市场建设。鼓励支持在新业态、新领域依法组建、重构商会，引导搭建商会“智囊智库”，常态化举办高管能力提升班。做好第五次全国经济普查工作。新增经营主体</w:t>
      </w:r>
      <w:r>
        <w:rPr>
          <w:rFonts w:hint="eastAsia" w:ascii="Times New Roman" w:hAnsi="Times New Roman" w:eastAsia="方正仿宋_GBK"/>
          <w:sz w:val="32"/>
          <w:szCs w:val="32"/>
        </w:rPr>
        <w:t>1万户，力争民营经济增加值实现820亿元、占比达到78%。</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cs="Times New Roman"/>
          <w:sz w:val="32"/>
          <w:szCs w:val="32"/>
        </w:rPr>
        <w:t>（八）坚持城乡融合、协调联动，统筹新型城镇化和乡村全面振兴。</w:t>
      </w:r>
      <w:r>
        <w:rPr>
          <w:rFonts w:hint="eastAsia" w:ascii="Times New Roman" w:hAnsi="Times New Roman" w:eastAsia="方正仿宋_GBK"/>
          <w:sz w:val="32"/>
          <w:szCs w:val="32"/>
        </w:rPr>
        <w:t>统筹抓好城市提升和乡村振兴两个基本面，扎实推进新型城镇化，加快建设巴渝和美乡村，促进各类要素双向流动，形成城乡融合发展新格局。</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深入推进新型城镇化。完成国土空间分区规划编制和“一张图”数据库建设，西部（重庆）科学城璧山片区详细规划。强化城市更新，实施保障性住房、城中村改造、“平急两用”公共基础设施三项工程，完成大成广场片区城市更新和璧南河一级截污干管改造工程，推动曙光湖公园建设，开工改造城镇老旧小区6个，海绵城市建设新增达标面积1.8平方公里</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全面消除城市路灯盲区。着力建设青年发展型城市，围绕满足青年多元化、多层次发展需求，优化提升城市设施“硬保障”和公共服务“软环境”。巩固拓展家政服务业提质扩容“领跑者”行动试点成果，完善社区嵌入式服务设施功能，推进社区养老、托幼、家政等服务一体化发展。推进高效能城市治理，提高城市管理科学化、精细化、智能化水平。做强镇域经济，加快推动镇街要素集聚、功能完善，发挥自身优势壮大特色产业，“一镇一业”打造研学小镇、康养小镇等特色产业镇街。</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是加快建设巴渝和美乡村。学习运用“千万工程”经验，接续实施“四千行动”。持续巩固拓展脱贫攻坚成果同乡村振兴有效衔接，因地制宜开发特色种养、产地加工、乡村服务业等增收项目，大力推广以工代赈，脱贫人口人均纯收入增长11%以上，农村居民人均可支配收入达到2.9万元，城乡居民收入差距持续缩小。找准优势集中连片发展特色产业，打造以云雾花涧为代表的农文旅体康重点项目，持续做优做强蔬菜、柑橘、生态渔“一主两辅”优势产业，培育番茄、儿菜特色产业，投用都市特色渔业研发中心、澳中肉兔循环产业园等项目6个，建成标准果园、智慧果园2个，启动番茄小镇等项目4个，新增规上农产品加工企业3家，产值</w:t>
      </w:r>
      <w:r>
        <w:rPr>
          <w:rFonts w:hint="eastAsia" w:ascii="Times New Roman" w:hAnsi="Times New Roman" w:eastAsia="方正仿宋_GBK"/>
          <w:sz w:val="32"/>
          <w:szCs w:val="32"/>
          <w:lang w:val="en-US" w:eastAsia="zh-CN"/>
        </w:rPr>
        <w:t>累计</w:t>
      </w:r>
      <w:r>
        <w:rPr>
          <w:rFonts w:hint="eastAsia" w:ascii="Times New Roman" w:hAnsi="Times New Roman" w:eastAsia="方正仿宋_GBK"/>
          <w:sz w:val="32"/>
          <w:szCs w:val="32"/>
        </w:rPr>
        <w:t>达到80亿元。提升农村基础设施，一体推进路、水、电、通讯、物流“五网”建设，农村集中供水率达到99%，农村电网逐步实现配电自动化。深入推进数字乡村发展，5G网络实现乡镇级以上区域全覆盖、行政村覆盖率60%以上。提升农村面貌，实施人居环境整治五年行动，持续开展村庄清洁行动，加快卫生厕所改造，提升农村生活污水治理率，成功创建农村黑臭水体清零区，建成巴渝和美乡村3个。补齐农村公共服务短板，建立健全城乡基本公共服务普惠共享机制，推动优质教育、医疗资源辐射农村。持续深化党建统领乡村治理，推广“积分制”“院落制”“清单制”和数字化治理，投用乡村振兴驿站2个。</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是深化国家城乡融合发展试验区改革探索。完成第二轮土地承包到期后再延长30年工作。积极探索农村集体经营性建设用地入市制度，推动农村公共资源产权交易平台交易额累计达到1.5亿元。开展集体林权制度改革试点，加快推进集体林地“三权分置”，探索建立经营权交易平台。深化强村富民综合改革，引导土地经营权有序流转，推进闲置宅基地盘活利用，探索资源发包、物业出租、居间服务、资产参股等多样化途径发展新型农村集体经济，推动村集体经济经营性收入10万元以上的村保持全覆盖，农村居民人均可支配收入达到2.9万元。</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cs="Times New Roman"/>
          <w:sz w:val="32"/>
          <w:szCs w:val="32"/>
        </w:rPr>
        <w:t>（九）坚持人民至上、民生为本，持续提升人民生活品质。</w:t>
      </w:r>
      <w:r>
        <w:rPr>
          <w:rFonts w:hint="eastAsia" w:ascii="Times New Roman" w:hAnsi="Times New Roman" w:eastAsia="方正仿宋_GBK"/>
          <w:sz w:val="32"/>
          <w:szCs w:val="32"/>
        </w:rPr>
        <w:t>坚持以人民为中心的发展思想，尽力而为、量力而行，抓好办成一批群众可感可及的实事，不断增强人民群众获得感、幸福感、安全感和认同感。</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全力做好稳就业工作。统筹推进高校毕业生、农民工、退役军人等重点群体就业，支持各类劳动者自谋职业、自主创业，深入实施“巴渝工匠”终身职业技能培训工程，开展巾帼新职业技能培训500人次、各类补贴性职业技能培训3000人次，落实创业担保贷款发放政策，推动城镇新增就业1.6万人，城镇调查失业率控制在5.5%以内，全体居民人均可支配收入达到4.7万元以上。</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是织密织牢社会保障网。加强防返贫动态监测和帮扶，健全最低工资标准调整机制，促进脱贫群众和低收入群体持续增收。做好参保扩面工作，确保基本养老、基本医疗保险参保率稳定在95%以上。强化重点群体权益保障，完善残疾人、孤儿等特殊困难群体社会保障制度，确保残疾人两项补贴覆盖率达到100%，及时调整特困人员等群体社会救助保障标准。启动建设大兴农村公益性公墓，加快建设璧南片区城市公益性公墓及三合、广普农村公益性公墓。</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是全面发展社会事业。全面完成区十八届人大四次会议票决通过的重点民生实事。推进全国义务教育优质均衡发展区创建，深化集团化办学，创新推动教育综合评价改革，义务教育巩固率保持在99.9%以上。落实普通高中发展提升行动，全面投用璧山巴蜀中学，高中阶段毛入学率巩固在92.8%以上。实施职业教育“双高”“双优”领航计划，支持重庆中医药学院二期建设、重庆机电职业技术大学打造市域产教联合体，职教中心新校区</w:t>
      </w:r>
      <w:r>
        <w:rPr>
          <w:rFonts w:hint="eastAsia" w:ascii="Times New Roman" w:hAnsi="Times New Roman" w:eastAsia="方正仿宋_GBK"/>
          <w:sz w:val="32"/>
          <w:szCs w:val="32"/>
          <w:lang w:val="en-US" w:eastAsia="zh-CN"/>
        </w:rPr>
        <w:t>完成主体建设</w:t>
      </w:r>
      <w:r>
        <w:rPr>
          <w:rFonts w:hint="eastAsia" w:ascii="Times New Roman" w:hAnsi="Times New Roman" w:eastAsia="方正仿宋_GBK"/>
          <w:sz w:val="32"/>
          <w:szCs w:val="32"/>
        </w:rPr>
        <w:t>。扎实开展爱国卫生运动、健康中国璧山行动，深化紧密型城市医疗集团建设市级试点，促进优质医疗资源有序扩容和均衡布局，加快推进中医院新院区建设和“三级”创建。用心服务“一老一小”，大力推动养老机构民办公助、公建民营，提档升级镇街敬老院，持续实施适老化改造项目；深入开展儿童友好城市建设试点，持续推进学前教育普及普惠区创建，学前三年毛入园率巩固在98.7%以上。</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是大力发展文化事业。深化创文“四大攻坚”行动，围绕“八大文明”常态化开展专项行动，全面提升创文工作质效。着力培育和践行社会主义核心价值观，提档升级爱国主义教育基地，开发利用白深富故居等红色资源，持续推进全国双拥模范城创建。发挥新时代文明实践中心作用，扩大志愿者队伍。加强文物保护传承，建设重庆市考古标本库房及考古展示中心，加快推进狮子桥牌坊等4个文保修缮工程，</w:t>
      </w:r>
      <w:r>
        <w:rPr>
          <w:rFonts w:hint="eastAsia" w:ascii="Times New Roman" w:hAnsi="Times New Roman" w:eastAsia="方正仿宋_GBK"/>
          <w:sz w:val="32"/>
          <w:szCs w:val="32"/>
          <w:lang w:val="en-US" w:eastAsia="zh-CN"/>
        </w:rPr>
        <w:t>完成</w:t>
      </w:r>
      <w:r>
        <w:rPr>
          <w:rFonts w:hint="eastAsia" w:ascii="Times New Roman" w:hAnsi="Times New Roman" w:eastAsia="方正仿宋_GBK"/>
          <w:sz w:val="32"/>
          <w:szCs w:val="32"/>
        </w:rPr>
        <w:t>烈士陵园</w:t>
      </w:r>
      <w:r>
        <w:rPr>
          <w:rFonts w:hint="eastAsia" w:ascii="Times New Roman" w:hAnsi="Times New Roman" w:eastAsia="方正仿宋_GBK"/>
          <w:sz w:val="32"/>
          <w:szCs w:val="32"/>
          <w:lang w:val="en-US" w:eastAsia="zh-CN"/>
        </w:rPr>
        <w:t>改造项目</w:t>
      </w:r>
      <w:r>
        <w:rPr>
          <w:rFonts w:hint="eastAsia" w:ascii="Times New Roman" w:hAnsi="Times New Roman" w:eastAsia="方正仿宋_GBK"/>
          <w:sz w:val="32"/>
          <w:szCs w:val="32"/>
        </w:rPr>
        <w:t>。拓宽公共文化服务覆盖面，新增1个24小时城市书房，推进图书馆总分馆制改革、公共文化体育设施“公益+市场”改革。传承城市记忆，做好《璧山历史文物图谱》等文化资源挖掘整理，支持《伊莎白与兴隆场》《凤起璧山》等书籍影片出版发行；参加第九届重庆非物质文化遗产暨老字号博览会，积极发扬微刻、正则绣等非遗技艺。接续实施文化惠民工程，办好璧山马拉松、全民健身运动会、乡村村晚等活动，举办“百姓大舞台”、流动文化进基层惠民演出500场以上，推广“书香璧山”等阅读活动，推动全民艺术培训普及。坚持以文塑旅、以旅彰文，优化乡村游、研学游等精品路线5条，加快推进茅莱仙境生态文旅项目，引进一批精品民宿、餐饮企业，建成节点性景观5处，投用潮玩主题市集，创建市级乡村旅游重点村（镇）1个。精心塑造“璧山好礼”品牌，开发系列旅游文创产品。</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（十）坚持底线思维、红线意识，高效统筹发展和安全。</w:t>
      </w:r>
      <w:r>
        <w:rPr>
          <w:rFonts w:hint="eastAsia" w:ascii="Times New Roman" w:hAnsi="Times New Roman" w:eastAsia="方正仿宋_GBK"/>
          <w:sz w:val="32"/>
          <w:szCs w:val="32"/>
        </w:rPr>
        <w:t>统筹抓好发展和安全两件大事，从严管控各类风险，完善社会治理体系，强化应急管理，建设更高水平的平安璧山。</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全力化解重点领域风险。充分挖掘财税增收潜力，力争一般公共预算收入增长6%。严格落实“1+12”化债工作方案，持续开展清欠专项行动，稳妥有序推进政府债务风险防范化解和政府投资项目分类管控，坚决防止新增隐性债务。统筹做好重点领域金融风险化解，坚决守住不发生系统性风险底线，银行业不良率保持在1%以下。持续整治规范房地产秩序，推动“两久”项目动态处置，全面完成“保交楼”交付任务。严格落实“两金三制”，持续巩固根治欠薪成果。</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是全力保障粮食能源安全。严格落实耕地保护和粮食安全党政同责，坚决遏制耕地“非农化”“非粮化”，大力推进耕地恢复补足，完成撂荒地综合整治市级任务，严守38.89万亩耕地保有量和31.9万亩永久基本农田保护面积，改造提升高标准农田2.4万亩，推广示范优质粮油作物新品种、新技术5000亩。建好17万亩粮食生产功能区和重要农产品生产保护区，全年粮食产量达到16.88万吨，完成全区粮食生产及储备粮任务。有效保障能源安全，启动220千伏天河、110千伏福禄输变电项目，投用110千伏凤凰至璧山、35千伏正兴输变电项目。加快构建新型能源供给消纳体系，科学开发可再生能源。</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是全力推进安全生产和防灾减灾。强化工贸、交通、消防、建设施工、食品药品等重点行业领域安全隐患排查整治，深入推进燃气油气安全专项整治，常态化推进违法建设整治，对非经营性自建房隐患排查一起、处置一起，坚决防范和遏制较大及以上事故发生。扎实做好高温汛期等重点时段自然灾害防治，坚决杜绝因灾亡人事件。加强应急救援力量建设，提升重大安全风险防范和应急处置能力。</w:t>
      </w:r>
    </w:p>
    <w:p>
      <w:pPr>
        <w:overflowPunct w:val="0"/>
        <w:autoSpaceDE w:val="0"/>
        <w:autoSpaceDN w:val="0"/>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是全力提升社会治理水平。深入推进全国第二批市域社会治理现代化试点，深化“双网格化”基层治理模式，推动“三级院坝会”进厂区、进小区、进院坝，扎实推进房地产开发建设、劳资社保等重点领域信访突出问题化解攻坚，矛盾纠纷排查基层化解率达到95%以上。强化物业服务领域监管，出台物业管理实施细则。常态化开展校园及周边安全隐患排查整治，深入实施“家校社共育”五项行动，护航未成年人健康成长。完善立体化社会治安防控体系，常态化开展扫黑除恶，全面推进全民反诈，依法严惩各类违法犯罪。</w:t>
      </w:r>
    </w:p>
    <w:p>
      <w:pPr>
        <w:overflowPunct w:val="0"/>
        <w:autoSpaceDE w:val="0"/>
        <w:autoSpaceDN w:val="0"/>
        <w:adjustRightInd w:val="0"/>
        <w:snapToGrid w:val="0"/>
        <w:spacing w:line="578" w:lineRule="exact"/>
        <w:rPr>
          <w:rFonts w:ascii="Times New Roman" w:hAnsi="Times New Roman" w:eastAsia="方正仿宋_GBK"/>
          <w:snapToGrid w:val="0"/>
          <w:kern w:val="0"/>
          <w:sz w:val="32"/>
          <w:szCs w:val="32"/>
        </w:rPr>
      </w:pPr>
    </w:p>
    <w:sectPr>
      <w:footerReference r:id="rId4" w:type="default"/>
      <w:headerReference r:id="rId3" w:type="even"/>
      <w:footerReference r:id="rId5" w:type="even"/>
      <w:pgSz w:w="11906" w:h="16838"/>
      <w:pgMar w:top="2098" w:right="1446" w:bottom="1985" w:left="1446" w:header="0" w:footer="1395"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0E5E415-372D-43F7-B942-8A1819060F61}"/>
  </w:font>
  <w:font w:name="方正仿宋_GBK">
    <w:panose1 w:val="03000509000000000000"/>
    <w:charset w:val="86"/>
    <w:family w:val="script"/>
    <w:pitch w:val="default"/>
    <w:sig w:usb0="00000001" w:usb1="080E0000" w:usb2="00000000" w:usb3="00000000" w:csb0="00040000" w:csb1="00000000"/>
    <w:embedRegular r:id="rId2" w:fontKey="{7E747F0E-18BA-4EE6-A57A-49FA3D726CEC}"/>
  </w:font>
  <w:font w:name="方正小标宋_GBK">
    <w:panose1 w:val="03000509000000000000"/>
    <w:charset w:val="86"/>
    <w:family w:val="script"/>
    <w:pitch w:val="default"/>
    <w:sig w:usb0="00000001" w:usb1="080E0000" w:usb2="00000000" w:usb3="00000000" w:csb0="00040000" w:csb1="00000000"/>
    <w:embedRegular r:id="rId3" w:fontKey="{5F66B6F5-7847-4D52-B481-7433EC206D0D}"/>
  </w:font>
  <w:font w:name="方正黑体_GBK">
    <w:panose1 w:val="03000509000000000000"/>
    <w:charset w:val="86"/>
    <w:family w:val="auto"/>
    <w:pitch w:val="default"/>
    <w:sig w:usb0="00000001" w:usb1="080E0000" w:usb2="00000000" w:usb3="00000000" w:csb0="00040000" w:csb1="00000000"/>
    <w:embedRegular r:id="rId4" w:fontKey="{0D57DCC7-57B1-4DDF-8C6A-8C8CAC1C1D05}"/>
  </w:font>
  <w:font w:name="方正楷体_GBK">
    <w:panose1 w:val="03000509000000000000"/>
    <w:charset w:val="86"/>
    <w:family w:val="auto"/>
    <w:pitch w:val="default"/>
    <w:sig w:usb0="00000001" w:usb1="080E0000" w:usb2="00000000" w:usb3="00000000" w:csb0="00040000" w:csb1="00000000"/>
    <w:embedRegular r:id="rId5" w:fontKey="{7599E7EF-FFD6-44BC-9A11-FE34EC896D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val="0"/>
                            <w:overflowPunct/>
                            <w:topLinePunct w:val="0"/>
                            <w:bidi w:val="0"/>
                            <w:adjustRightInd/>
                            <w:snapToGrid w:val="0"/>
                            <w:ind w:left="210" w:leftChars="100" w:right="210" w:rightChars="10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val="0"/>
                      <w:overflowPunct/>
                      <w:topLinePunct w:val="0"/>
                      <w:bidi w:val="0"/>
                      <w:adjustRightInd/>
                      <w:snapToGrid w:val="0"/>
                      <w:ind w:left="210" w:leftChars="100" w:right="210" w:rightChars="10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sdt>
      <w:sdtPr>
        <w:id w:val="1433780208"/>
        <w:docPartObj>
          <w:docPartGallery w:val="autotext"/>
        </w:docPartObj>
      </w:sdtPr>
      <w:sdtContent>
        <w:r>
          <w:rPr>
            <w:rFonts w:hint="eastAsia" w:asciiTheme="minorEastAsia" w:hAnsiTheme="minorEastAsia"/>
            <w:sz w:val="28"/>
            <w:szCs w:val="28"/>
          </w:rPr>
          <w:t>　</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mirrorMargins w:val="1"/>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NjMyZDFlZmRiZjA5N2RhYTEwODE1MWZhY2FhZDUifQ=="/>
  </w:docVars>
  <w:rsids>
    <w:rsidRoot w:val="00741793"/>
    <w:rsid w:val="000906D7"/>
    <w:rsid w:val="00265D51"/>
    <w:rsid w:val="003D0A9D"/>
    <w:rsid w:val="00570EED"/>
    <w:rsid w:val="00741793"/>
    <w:rsid w:val="008E1780"/>
    <w:rsid w:val="00992EB2"/>
    <w:rsid w:val="00A2049C"/>
    <w:rsid w:val="00CF337F"/>
    <w:rsid w:val="00E9256B"/>
    <w:rsid w:val="00ED1B54"/>
    <w:rsid w:val="01C26E13"/>
    <w:rsid w:val="0673692E"/>
    <w:rsid w:val="0A8F2DFD"/>
    <w:rsid w:val="0AA03A6A"/>
    <w:rsid w:val="10914580"/>
    <w:rsid w:val="11936C66"/>
    <w:rsid w:val="1D7F3E0A"/>
    <w:rsid w:val="2136082C"/>
    <w:rsid w:val="21DE7DE2"/>
    <w:rsid w:val="29C05B95"/>
    <w:rsid w:val="2C892A42"/>
    <w:rsid w:val="2DA65BF0"/>
    <w:rsid w:val="376B702A"/>
    <w:rsid w:val="3BDC6748"/>
    <w:rsid w:val="43C0678A"/>
    <w:rsid w:val="4680469A"/>
    <w:rsid w:val="46C35225"/>
    <w:rsid w:val="47226FD9"/>
    <w:rsid w:val="4F934F18"/>
    <w:rsid w:val="5E2356B9"/>
    <w:rsid w:val="624A590A"/>
    <w:rsid w:val="66D65C4D"/>
    <w:rsid w:val="66FD6562"/>
    <w:rsid w:val="67850E92"/>
    <w:rsid w:val="69E15DBA"/>
    <w:rsid w:val="69F525FF"/>
    <w:rsid w:val="6D993242"/>
    <w:rsid w:val="6F307C36"/>
    <w:rsid w:val="76F51448"/>
    <w:rsid w:val="7993773F"/>
    <w:rsid w:val="79BB7A9E"/>
    <w:rsid w:val="7DBD2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autoRedefine/>
    <w:qFormat/>
    <w:uiPriority w:val="9"/>
    <w:pPr>
      <w:overflowPunct w:val="0"/>
      <w:autoSpaceDE w:val="0"/>
      <w:autoSpaceDN w:val="0"/>
      <w:adjustRightInd w:val="0"/>
      <w:snapToGrid w:val="0"/>
      <w:spacing w:line="578" w:lineRule="exact"/>
      <w:jc w:val="center"/>
      <w:outlineLvl w:val="0"/>
    </w:pPr>
    <w:rPr>
      <w:rFonts w:ascii="Times New Roman" w:hAnsi="Times New Roman" w:eastAsia="方正小标宋_GBK"/>
      <w:bCs/>
      <w:kern w:val="44"/>
      <w:sz w:val="44"/>
      <w:szCs w:val="44"/>
    </w:rPr>
  </w:style>
  <w:style w:type="paragraph" w:styleId="3">
    <w:name w:val="heading 2"/>
    <w:basedOn w:val="1"/>
    <w:next w:val="1"/>
    <w:link w:val="12"/>
    <w:autoRedefine/>
    <w:semiHidden/>
    <w:unhideWhenUsed/>
    <w:qFormat/>
    <w:uiPriority w:val="9"/>
    <w:pPr>
      <w:overflowPunct w:val="0"/>
      <w:autoSpaceDE w:val="0"/>
      <w:autoSpaceDN w:val="0"/>
      <w:adjustRightInd w:val="0"/>
      <w:snapToGrid w:val="0"/>
      <w:spacing w:line="578" w:lineRule="exact"/>
      <w:outlineLvl w:val="1"/>
    </w:pPr>
    <w:rPr>
      <w:rFonts w:ascii="Times New Roman" w:hAnsi="Times New Roman" w:eastAsia="方正黑体_GBK" w:cstheme="majorBidi"/>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autoRedefine/>
    <w:qFormat/>
    <w:uiPriority w:val="99"/>
    <w:rPr>
      <w:sz w:val="18"/>
      <w:szCs w:val="18"/>
    </w:rPr>
  </w:style>
  <w:style w:type="character" w:customStyle="1" w:styleId="10">
    <w:name w:val="页脚 Char"/>
    <w:basedOn w:val="8"/>
    <w:link w:val="4"/>
    <w:autoRedefine/>
    <w:qFormat/>
    <w:uiPriority w:val="99"/>
    <w:rPr>
      <w:sz w:val="18"/>
      <w:szCs w:val="18"/>
    </w:rPr>
  </w:style>
  <w:style w:type="character" w:customStyle="1" w:styleId="11">
    <w:name w:val="标题 1 Char"/>
    <w:basedOn w:val="8"/>
    <w:link w:val="2"/>
    <w:autoRedefine/>
    <w:qFormat/>
    <w:uiPriority w:val="9"/>
    <w:rPr>
      <w:rFonts w:ascii="Times New Roman" w:hAnsi="Times New Roman" w:eastAsia="方正小标宋_GBK"/>
      <w:bCs/>
      <w:kern w:val="44"/>
      <w:sz w:val="44"/>
      <w:szCs w:val="44"/>
    </w:rPr>
  </w:style>
  <w:style w:type="character" w:customStyle="1" w:styleId="12">
    <w:name w:val="标题 2 Char"/>
    <w:basedOn w:val="8"/>
    <w:link w:val="3"/>
    <w:autoRedefine/>
    <w:semiHidden/>
    <w:qFormat/>
    <w:uiPriority w:val="9"/>
    <w:rPr>
      <w:rFonts w:ascii="Times New Roman" w:hAnsi="Times New Roman" w:eastAsia="方正黑体_GBK" w:cstheme="majorBidi"/>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60</Pages>
  <Words>5032</Words>
  <Characters>28688</Characters>
  <Lines>239</Lines>
  <Paragraphs>67</Paragraphs>
  <TotalTime>3</TotalTime>
  <ScaleCrop>false</ScaleCrop>
  <LinksUpToDate>false</LinksUpToDate>
  <CharactersWithSpaces>33653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2024-01-30T01:57:00Z</dcterms:created>
  <dc:creator>Windows User</dc:creator>
  <cp:lastModifiedBy>飞雪漫樱</cp:lastModifiedBy>
  <dcterms:modified xsi:type="dcterms:W3CDTF">2024-03-06T07:07:10Z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07700DA5506147C081A2BFCD773D7112_13</vt:lpwstr>
  </property>
</Properties>
</file>