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hint="eastAsia" w:ascii="方正仿宋_GBK" w:eastAsia="方正仿宋_GBK"/>
          <w:sz w:val="32"/>
          <w:szCs w:val="32"/>
        </w:rPr>
      </w:pPr>
      <w:r>
        <w:rPr>
          <w:rFonts w:hint="eastAsia" w:ascii="方正仿宋_GBK" w:eastAsia="方正仿宋_GBK"/>
          <w:sz w:val="32"/>
          <w:szCs w:val="32"/>
        </w:rPr>
        <w:t>附件5</w:t>
      </w:r>
    </w:p>
    <w:p>
      <w:pPr>
        <w:spacing w:line="596" w:lineRule="exact"/>
        <w:jc w:val="center"/>
        <w:rPr>
          <w:rFonts w:eastAsia="方正小标宋_GBK"/>
          <w:sz w:val="44"/>
          <w:szCs w:val="32"/>
        </w:rPr>
      </w:pPr>
      <w:r>
        <w:rPr>
          <w:rFonts w:eastAsia="方正小标宋_GBK"/>
          <w:sz w:val="44"/>
          <w:szCs w:val="32"/>
        </w:rPr>
        <w:t>重庆市</w:t>
      </w:r>
      <w:r>
        <w:rPr>
          <w:rFonts w:hint="eastAsia" w:eastAsia="方正小标宋_GBK"/>
          <w:sz w:val="44"/>
          <w:szCs w:val="32"/>
        </w:rPr>
        <w:t>璧山</w:t>
      </w:r>
      <w:r>
        <w:rPr>
          <w:rFonts w:eastAsia="方正小标宋_GBK"/>
          <w:sz w:val="44"/>
          <w:szCs w:val="32"/>
        </w:rPr>
        <w:t>区</w:t>
      </w:r>
      <w:r>
        <w:rPr>
          <w:rFonts w:hint="eastAsia" w:eastAsia="方正小标宋_GBK"/>
          <w:sz w:val="44"/>
          <w:szCs w:val="32"/>
          <w:lang w:eastAsia="zh-CN"/>
        </w:rPr>
        <w:t>工商业联合会</w:t>
      </w:r>
    </w:p>
    <w:p>
      <w:pPr>
        <w:pStyle w:val="11"/>
        <w:spacing w:line="596" w:lineRule="exact"/>
        <w:ind w:left="359" w:leftChars="171" w:firstLine="1100" w:firstLineChars="250"/>
        <w:rPr>
          <w:rFonts w:eastAsia="方正小标宋_GBK"/>
          <w:sz w:val="44"/>
          <w:szCs w:val="32"/>
        </w:rPr>
      </w:pPr>
      <w:r>
        <w:rPr>
          <w:rFonts w:hint="eastAsia" w:eastAsia="方正小标宋_GBK"/>
          <w:sz w:val="44"/>
          <w:szCs w:val="32"/>
        </w:rPr>
        <w:t>2020</w:t>
      </w:r>
      <w:r>
        <w:rPr>
          <w:rFonts w:eastAsia="方正小标宋_GBK"/>
          <w:sz w:val="44"/>
          <w:szCs w:val="32"/>
        </w:rPr>
        <w:t>年整体支出绩效</w:t>
      </w:r>
      <w:r>
        <w:rPr>
          <w:rFonts w:hint="eastAsia" w:eastAsia="方正小标宋_GBK"/>
          <w:sz w:val="44"/>
          <w:szCs w:val="32"/>
        </w:rPr>
        <w:t>自评</w:t>
      </w:r>
      <w:r>
        <w:rPr>
          <w:rFonts w:eastAsia="方正小标宋_GBK"/>
          <w:sz w:val="44"/>
          <w:szCs w:val="32"/>
        </w:rPr>
        <w:t>报告</w:t>
      </w:r>
    </w:p>
    <w:p>
      <w:pPr>
        <w:pStyle w:val="11"/>
        <w:spacing w:line="596" w:lineRule="exact"/>
        <w:ind w:left="357" w:firstLine="640"/>
        <w:rPr>
          <w:rFonts w:eastAsia="方正仿宋_GBK"/>
          <w:sz w:val="32"/>
          <w:szCs w:val="32"/>
        </w:rPr>
      </w:pPr>
    </w:p>
    <w:p>
      <w:pPr>
        <w:numPr>
          <w:ilvl w:val="0"/>
          <w:numId w:val="1"/>
        </w:numPr>
        <w:spacing w:line="596" w:lineRule="exact"/>
        <w:ind w:firstLine="640" w:firstLineChars="200"/>
        <w:rPr>
          <w:rFonts w:hint="eastAsia" w:eastAsia="方正黑体_GBK"/>
          <w:sz w:val="32"/>
          <w:szCs w:val="32"/>
        </w:rPr>
      </w:pPr>
      <w:r>
        <w:rPr>
          <w:rFonts w:eastAsia="方正黑体_GBK"/>
          <w:sz w:val="32"/>
          <w:szCs w:val="32"/>
        </w:rPr>
        <w:t>基本</w:t>
      </w:r>
      <w:r>
        <w:rPr>
          <w:rFonts w:hint="eastAsia" w:eastAsia="方正黑体_GBK"/>
          <w:sz w:val="32"/>
          <w:szCs w:val="32"/>
        </w:rPr>
        <w:t>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94" w:lineRule="exact"/>
        <w:ind w:firstLine="640" w:firstLineChars="200"/>
        <w:rPr>
          <w:color w:val="000000"/>
          <w:sz w:val="32"/>
          <w:szCs w:val="32"/>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坚持党的领导。坚决贯彻党的意志和主张，坚定不移走中国特色社会主义人民团体和商会组织发展道路，切实增强工商联工作的政治性和工商联组织的先进性、群众性。充分发挥工商联组织统战性、经济性、民间性的独特作用，汇聚全区广大非公有制经济人士推进社会主义现代化建设的强大合力。</w:t>
      </w:r>
    </w:p>
    <w:p>
      <w:pPr>
        <w:spacing w:line="594"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依法依章程独立自主开展工作。按照区委和重庆市工商联的要求，贯彻执行重庆市璧山区工商联代表大会确定的方针任务和作出的决定，指导基层商会业务工作。</w:t>
      </w:r>
    </w:p>
    <w:p>
      <w:pPr>
        <w:spacing w:line="594"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3、加强对非公有制经济人士的政治引领。</w:t>
      </w:r>
      <w:r>
        <w:rPr>
          <w:rFonts w:hint="eastAsia" w:ascii="仿宋_GB2312" w:hAnsi="仿宋_GB2312" w:eastAsia="仿宋_GB2312" w:cs="仿宋_GB2312"/>
          <w:sz w:val="32"/>
        </w:rPr>
        <w:t>引导非公有制经济人士爱国、敬业、创新、守法、诚信、贡献，做合格的中国特色社会主义事业建设者。开展理想信念教育，切实担负起团结带领广大非公有制经济人士听党话、跟党走的政治任务，最广泛最紧密地将非公有制经济人士团结在党的周围。引导非公有制经济人士投身光彩事业和公益慈善事业，积极参与扶贫开发，履行社会责任。</w:t>
      </w:r>
    </w:p>
    <w:p>
      <w:pPr>
        <w:spacing w:line="594"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积极参政议政。履行政治协商、民主监督、参政议政的职能，参加政党协商。反映非公有制经济人士诉求，依法依章程帮助其维护合法权益。畅通非公有制经济人士参与政治渠道，帮助提高议政建言水平。做好非公有制经济代表人士的发现、培养、推荐和服务工作。</w:t>
      </w:r>
    </w:p>
    <w:p>
      <w:pPr>
        <w:spacing w:line="594"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协助政府管理和服务非公有制经济。落实支持非公有制经济发展的各项方针政策。积极探索建立有效服务载体和机制，为非公有制企业提供信息、法律、融资、技术、人才等方面服务。积极开展民间外交，加强同境外工商界的交流合作，为非公有制企业开展国际合作提供服务。</w:t>
      </w:r>
    </w:p>
    <w:p>
      <w:pPr>
        <w:spacing w:line="594"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强化商会管理。加强对所属商会的指导、引导和服务，对所属商会会员开展思想政治工作、教育培训。充分发挥宣传政策、提供服务、反映诉求、维护权益、加强自律的作用。在政社分离、行业商会与行政机关脱钩改革中发挥承接、服务作用。加强所属商会党建工作。</w:t>
      </w:r>
    </w:p>
    <w:p>
      <w:pPr>
        <w:spacing w:line="594"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积极参与社会治理。切实发挥工商联参与社会事务管理服务作用，按照法定程序承接政府转移的社会管理服务职能，组织所属商会有序承接政府转移职能。发挥工商联组织在法律维权、民事商事调解、协调劳动关系等方面积极作用，参与社会治理，促进社会和谐稳定。</w:t>
      </w:r>
    </w:p>
    <w:p>
      <w:pPr>
        <w:spacing w:line="594"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拓展工商联组织覆盖和工作覆盖。加大工商联会员发展力度，在支柱产业、战略性新兴行业，现代服务业等领域积极培育发展商会组织，在开发区（园区）、商圈楼宇等企业密集度高的区域加大商会组建力度。建设网上非公有制经济人士之家，创新面向社会提供公共服务产品的机制，接长手臂、形成链条、扩大影响。</w:t>
      </w:r>
    </w:p>
    <w:p>
      <w:pPr>
        <w:spacing w:line="594"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9、加强工商联自身改革和建设。加强工商联领导班子和机关干部队伍建设。加强相关</w:t>
      </w:r>
      <w:r>
        <w:rPr>
          <w:rFonts w:hint="eastAsia" w:ascii="仿宋_GB2312" w:hAnsi="仿宋_GB2312" w:eastAsia="仿宋_GB2312" w:cs="仿宋_GB2312"/>
          <w:sz w:val="32"/>
        </w:rPr>
        <w:t>理论政策研究，开展民营经济发展情况调研，为区委、区政府决策提供支撑。</w:t>
      </w:r>
    </w:p>
    <w:p>
      <w:pPr>
        <w:spacing w:line="594"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10、完成区委、区政府和市工商联交办的其他事项。</w:t>
      </w:r>
    </w:p>
    <w:p>
      <w:pPr>
        <w:spacing w:line="596"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lang w:eastAsia="zh-CN"/>
        </w:rPr>
        <w:t>二</w:t>
      </w:r>
      <w:r>
        <w:rPr>
          <w:rFonts w:eastAsia="方正仿宋_GBK"/>
          <w:sz w:val="32"/>
          <w:szCs w:val="32"/>
        </w:rPr>
        <w:t>）</w:t>
      </w:r>
      <w:r>
        <w:rPr>
          <w:rFonts w:hint="eastAsia" w:ascii="方正楷体_GBK" w:hAnsi="方正楷体_GBK" w:eastAsia="方正楷体_GBK" w:cs="方正楷体_GBK"/>
          <w:sz w:val="32"/>
        </w:rPr>
        <w:t>机构设置与人员情况</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eastAsia="方正仿宋_GBK"/>
          <w:sz w:val="32"/>
          <w:szCs w:val="32"/>
        </w:rPr>
      </w:pPr>
      <w:r>
        <w:rPr>
          <w:rFonts w:hint="eastAsia" w:ascii="仿宋_GB2312" w:hAnsi="仿宋_GB2312" w:eastAsia="仿宋_GB2312" w:cs="仿宋_GB2312"/>
          <w:sz w:val="32"/>
        </w:rPr>
        <w:t>重庆市璧山区</w:t>
      </w:r>
      <w:r>
        <w:rPr>
          <w:rFonts w:hint="eastAsia" w:ascii="仿宋_GB2312" w:hAnsi="仿宋_GB2312" w:eastAsia="仿宋_GB2312" w:cs="仿宋_GB2312"/>
          <w:sz w:val="32"/>
          <w:lang w:eastAsia="zh-CN"/>
        </w:rPr>
        <w:t>工商业联合会</w:t>
      </w:r>
      <w:r>
        <w:rPr>
          <w:rFonts w:hint="eastAsia" w:ascii="仿宋_GB2312" w:hAnsi="仿宋_GB2312" w:eastAsia="仿宋_GB2312" w:cs="仿宋_GB2312"/>
          <w:sz w:val="32"/>
        </w:rPr>
        <w:t>为正处级单位,内设</w:t>
      </w:r>
      <w:r>
        <w:rPr>
          <w:rFonts w:hint="eastAsia" w:ascii="仿宋_GB2312" w:hAnsi="仿宋_GB2312" w:eastAsia="仿宋_GB2312" w:cs="仿宋_GB2312"/>
          <w:sz w:val="32"/>
          <w:lang w:eastAsia="zh-CN"/>
        </w:rPr>
        <w:t>两</w:t>
      </w:r>
      <w:r>
        <w:rPr>
          <w:rFonts w:hint="eastAsia" w:ascii="仿宋_GB2312" w:hAnsi="仿宋_GB2312" w:eastAsia="仿宋_GB2312" w:cs="仿宋_GB2312"/>
          <w:sz w:val="32"/>
        </w:rPr>
        <w:t>个科室为</w:t>
      </w:r>
      <w:r>
        <w:rPr>
          <w:rFonts w:hint="eastAsia" w:ascii="仿宋_GB2312" w:hAnsi="仿宋_GB2312" w:eastAsia="仿宋_GB2312" w:cs="仿宋_GB2312"/>
          <w:sz w:val="32"/>
          <w:lang w:eastAsia="zh-CN"/>
        </w:rPr>
        <w:t>办公室和非公经济发展服务中心</w:t>
      </w:r>
      <w:r>
        <w:rPr>
          <w:rFonts w:hint="eastAsia" w:ascii="仿宋_GB2312" w:hAnsi="仿宋_GB2312" w:eastAsia="仿宋_GB2312" w:cs="仿宋_GB2312"/>
          <w:sz w:val="32"/>
        </w:rPr>
        <w:t>。人员编制为公务员</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名</w:t>
      </w:r>
      <w:r>
        <w:rPr>
          <w:rFonts w:hint="eastAsia" w:ascii="仿宋_GB2312" w:hAnsi="仿宋_GB2312" w:eastAsia="仿宋_GB2312" w:cs="仿宋_GB2312"/>
          <w:sz w:val="32"/>
          <w:lang w:eastAsia="zh-CN"/>
        </w:rPr>
        <w:t>，事业编制</w:t>
      </w:r>
      <w:r>
        <w:rPr>
          <w:rFonts w:hint="eastAsia" w:ascii="仿宋_GB2312" w:hAnsi="仿宋_GB2312" w:eastAsia="仿宋_GB2312" w:cs="仿宋_GB2312"/>
          <w:sz w:val="32"/>
          <w:lang w:val="en-US" w:eastAsia="zh-CN"/>
        </w:rPr>
        <w:t>3名</w:t>
      </w:r>
      <w:r>
        <w:rPr>
          <w:rFonts w:hint="eastAsia" w:ascii="仿宋_GB2312" w:hAnsi="仿宋_GB2312" w:eastAsia="仿宋_GB2312" w:cs="仿宋_GB2312"/>
          <w:sz w:val="32"/>
        </w:rPr>
        <w:t>。目前重庆市璧山区工商业联合会党组书记由同级党委统战部分管经济统战工作的副部长兼任，并担任常务副主席（第一副会长）</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公务员</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人、</w:t>
      </w:r>
      <w:r>
        <w:rPr>
          <w:rFonts w:hint="eastAsia" w:ascii="仿宋_GB2312" w:hAnsi="仿宋_GB2312" w:eastAsia="仿宋_GB2312" w:cs="仿宋_GB2312"/>
          <w:sz w:val="32"/>
          <w:lang w:eastAsia="zh-CN"/>
        </w:rPr>
        <w:t>事业人员</w:t>
      </w:r>
      <w:r>
        <w:rPr>
          <w:rFonts w:hint="eastAsia" w:ascii="仿宋_GB2312" w:hAnsi="仿宋_GB2312" w:eastAsia="仿宋_GB2312" w:cs="仿宋_GB2312"/>
          <w:sz w:val="32"/>
          <w:lang w:val="en-US" w:eastAsia="zh-CN"/>
        </w:rPr>
        <w:t>2人、</w:t>
      </w:r>
      <w:r>
        <w:rPr>
          <w:rFonts w:hint="eastAsia" w:ascii="仿宋_GB2312" w:hAnsi="仿宋_GB2312" w:eastAsia="仿宋_GB2312" w:cs="仿宋_GB2312"/>
          <w:sz w:val="32"/>
          <w:lang w:eastAsia="zh-CN"/>
        </w:rPr>
        <w:t>挂职副主席</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eastAsia="zh-CN"/>
        </w:rPr>
        <w:t>人，临聘人员</w:t>
      </w:r>
      <w:r>
        <w:rPr>
          <w:rFonts w:hint="eastAsia" w:ascii="仿宋_GB2312" w:hAnsi="仿宋_GB2312" w:eastAsia="仿宋_GB2312" w:cs="仿宋_GB2312"/>
          <w:sz w:val="32"/>
          <w:lang w:val="en-US" w:eastAsia="zh-CN"/>
        </w:rPr>
        <w:t>2人</w:t>
      </w:r>
      <w:r>
        <w:rPr>
          <w:rFonts w:hint="eastAsia" w:ascii="仿宋_GB2312" w:hAnsi="仿宋_GB2312" w:eastAsia="仿宋_GB2312" w:cs="仿宋_GB2312"/>
          <w:sz w:val="32"/>
        </w:rPr>
        <w:t>。</w:t>
      </w:r>
    </w:p>
    <w:p>
      <w:pPr>
        <w:spacing w:line="596" w:lineRule="exact"/>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预算及支出情况</w:t>
      </w:r>
      <w:r>
        <w:rPr>
          <w:rFonts w:eastAsia="方正仿宋_GBK"/>
          <w:sz w:val="32"/>
          <w:szCs w:val="32"/>
        </w:rPr>
        <w:t>。</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lang w:val="en-US" w:eastAsia="zh-CN"/>
        </w:rPr>
        <w:t>区财政局批复的年初预算</w:t>
      </w:r>
      <w:r>
        <w:rPr>
          <w:rFonts w:hint="eastAsia" w:ascii="仿宋_GB2312" w:hAnsi="仿宋_GB2312" w:eastAsia="仿宋_GB2312" w:cs="仿宋_GB2312"/>
          <w:sz w:val="32"/>
        </w:rPr>
        <w:t>：20</w:t>
      </w:r>
      <w:r>
        <w:rPr>
          <w:rFonts w:ascii="仿宋_GB2312" w:hAnsi="仿宋_GB2312" w:eastAsia="仿宋_GB2312" w:cs="仿宋_GB2312"/>
          <w:sz w:val="32"/>
        </w:rPr>
        <w:t>20</w:t>
      </w:r>
      <w:r>
        <w:rPr>
          <w:rFonts w:hint="eastAsia" w:ascii="仿宋_GB2312" w:hAnsi="仿宋_GB2312" w:eastAsia="仿宋_GB2312" w:cs="仿宋_GB2312"/>
          <w:sz w:val="32"/>
        </w:rPr>
        <w:t>年年初预算数</w:t>
      </w:r>
      <w:r>
        <w:rPr>
          <w:rFonts w:hint="eastAsia" w:ascii="仿宋_GB2312" w:hAnsi="仿宋_GB2312" w:eastAsia="仿宋_GB2312" w:cs="仿宋_GB2312"/>
          <w:sz w:val="32"/>
          <w:lang w:val="en-US" w:eastAsia="zh-CN"/>
        </w:rPr>
        <w:t>198.27</w:t>
      </w:r>
      <w:r>
        <w:rPr>
          <w:rFonts w:hint="eastAsia" w:ascii="仿宋_GB2312" w:hAnsi="仿宋_GB2312" w:eastAsia="仿宋_GB2312" w:cs="仿宋_GB2312"/>
          <w:sz w:val="32"/>
        </w:rPr>
        <w:t>万元，其中：一般公共服务</w:t>
      </w:r>
      <w:r>
        <w:rPr>
          <w:rFonts w:hint="eastAsia" w:ascii="仿宋_GB2312" w:hAnsi="仿宋_GB2312" w:eastAsia="仿宋_GB2312" w:cs="仿宋_GB2312"/>
          <w:sz w:val="32"/>
          <w:lang w:val="en-US" w:eastAsia="zh-CN"/>
        </w:rPr>
        <w:t>175.18</w:t>
      </w:r>
      <w:r>
        <w:rPr>
          <w:rFonts w:hint="eastAsia" w:ascii="仿宋_GB2312" w:hAnsi="仿宋_GB2312" w:eastAsia="仿宋_GB2312" w:cs="仿宋_GB2312"/>
          <w:sz w:val="32"/>
        </w:rPr>
        <w:t>万元，教育</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万元，社会保障和就业</w:t>
      </w:r>
      <w:r>
        <w:rPr>
          <w:rFonts w:hint="eastAsia" w:ascii="仿宋_GB2312" w:hAnsi="仿宋_GB2312" w:eastAsia="仿宋_GB2312" w:cs="仿宋_GB2312"/>
          <w:sz w:val="32"/>
          <w:lang w:val="en-US" w:eastAsia="zh-CN"/>
        </w:rPr>
        <w:t>14.45</w:t>
      </w:r>
      <w:r>
        <w:rPr>
          <w:rFonts w:hint="eastAsia" w:ascii="仿宋_GB2312" w:hAnsi="仿宋_GB2312" w:eastAsia="仿宋_GB2312" w:cs="仿宋_GB2312"/>
          <w:sz w:val="32"/>
        </w:rPr>
        <w:t>万元，卫生健康支出</w:t>
      </w:r>
      <w:r>
        <w:rPr>
          <w:rFonts w:hint="eastAsia" w:ascii="仿宋_GB2312" w:hAnsi="仿宋_GB2312" w:eastAsia="仿宋_GB2312" w:cs="仿宋_GB2312"/>
          <w:sz w:val="32"/>
          <w:lang w:val="en-US" w:eastAsia="zh-CN"/>
        </w:rPr>
        <w:t>6.52</w:t>
      </w:r>
      <w:r>
        <w:rPr>
          <w:rFonts w:hint="eastAsia" w:ascii="仿宋_GB2312" w:hAnsi="仿宋_GB2312" w:eastAsia="仿宋_GB2312" w:cs="仿宋_GB2312"/>
          <w:sz w:val="32"/>
        </w:rPr>
        <w:t>万元，住房保障</w:t>
      </w:r>
      <w:r>
        <w:rPr>
          <w:rFonts w:hint="eastAsia" w:ascii="仿宋_GB2312" w:hAnsi="仿宋_GB2312" w:eastAsia="仿宋_GB2312" w:cs="仿宋_GB2312"/>
          <w:sz w:val="32"/>
          <w:lang w:val="en-US" w:eastAsia="zh-CN"/>
        </w:rPr>
        <w:t>2.12</w:t>
      </w:r>
      <w:r>
        <w:rPr>
          <w:rFonts w:hint="eastAsia" w:ascii="仿宋_GB2312" w:hAnsi="仿宋_GB2312" w:eastAsia="仿宋_GB2312" w:cs="仿宋_GB2312"/>
          <w:sz w:val="32"/>
        </w:rPr>
        <w:t>万元。支出较去年增加</w:t>
      </w:r>
      <w:r>
        <w:rPr>
          <w:rFonts w:hint="eastAsia" w:ascii="仿宋_GB2312" w:hAnsi="仿宋_GB2312" w:eastAsia="仿宋_GB2312" w:cs="仿宋_GB2312"/>
          <w:sz w:val="32"/>
          <w:lang w:val="en-US" w:eastAsia="zh-CN"/>
        </w:rPr>
        <w:t>23.74</w:t>
      </w:r>
      <w:r>
        <w:rPr>
          <w:rFonts w:hint="eastAsia" w:ascii="仿宋_GB2312" w:hAnsi="仿宋_GB2312" w:eastAsia="仿宋_GB2312" w:cs="仿宋_GB2312"/>
          <w:sz w:val="32"/>
        </w:rPr>
        <w:t>万元，主要是基本支出</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44.99</w:t>
      </w:r>
      <w:r>
        <w:rPr>
          <w:rFonts w:hint="eastAsia" w:ascii="仿宋_GB2312" w:hAnsi="仿宋_GB2312" w:eastAsia="仿宋_GB2312" w:cs="仿宋_GB2312"/>
          <w:sz w:val="32"/>
        </w:rPr>
        <w:t>万元，项目支出增加</w:t>
      </w:r>
      <w:r>
        <w:rPr>
          <w:rFonts w:hint="eastAsia" w:ascii="仿宋_GB2312" w:hAnsi="仿宋_GB2312" w:eastAsia="仿宋_GB2312" w:cs="仿宋_GB2312"/>
          <w:sz w:val="32"/>
          <w:lang w:val="en-US" w:eastAsia="zh-CN"/>
        </w:rPr>
        <w:t>68.71</w:t>
      </w:r>
      <w:r>
        <w:rPr>
          <w:rFonts w:hint="eastAsia" w:ascii="仿宋_GB2312" w:hAnsi="仿宋_GB2312" w:eastAsia="仿宋_GB2312" w:cs="仿宋_GB2312"/>
          <w:sz w:val="32"/>
        </w:rPr>
        <w:t>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lang w:val="en-US" w:eastAsia="zh-CN"/>
        </w:rPr>
        <w:t>区财政资金执行情况</w:t>
      </w:r>
      <w:r>
        <w:rPr>
          <w:rFonts w:hint="eastAsia" w:ascii="仿宋_GB2312" w:hAnsi="仿宋_GB2312" w:eastAsia="仿宋_GB2312" w:cs="仿宋_GB2312"/>
          <w:sz w:val="32"/>
        </w:rPr>
        <w:t>：20</w:t>
      </w:r>
      <w:r>
        <w:rPr>
          <w:rFonts w:ascii="仿宋_GB2312" w:hAnsi="仿宋_GB2312" w:eastAsia="仿宋_GB2312" w:cs="仿宋_GB2312"/>
          <w:sz w:val="32"/>
        </w:rPr>
        <w:t>20</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年度实际收到的一般公共预算财政拨款收入</w:t>
      </w:r>
      <w:r>
        <w:rPr>
          <w:rFonts w:hint="eastAsia" w:ascii="仿宋_GB2312" w:hAnsi="仿宋_GB2312" w:eastAsia="仿宋_GB2312" w:cs="仿宋_GB2312"/>
          <w:sz w:val="32"/>
          <w:lang w:val="en-US" w:eastAsia="zh-CN"/>
        </w:rPr>
        <w:t>258.5万元</w:t>
      </w:r>
      <w:r>
        <w:rPr>
          <w:rFonts w:hint="eastAsia" w:ascii="仿宋_GB2312" w:hAnsi="仿宋_GB2312" w:eastAsia="仿宋_GB2312" w:cs="仿宋_GB2312"/>
          <w:sz w:val="32"/>
        </w:rPr>
        <w:t>，其中：一般公共服务</w:t>
      </w:r>
      <w:r>
        <w:rPr>
          <w:rFonts w:hint="eastAsia" w:ascii="仿宋_GB2312" w:hAnsi="仿宋_GB2312" w:eastAsia="仿宋_GB2312" w:cs="仿宋_GB2312"/>
          <w:sz w:val="32"/>
          <w:lang w:val="en-US" w:eastAsia="zh-CN"/>
        </w:rPr>
        <w:t>224.38</w:t>
      </w:r>
      <w:r>
        <w:rPr>
          <w:rFonts w:hint="eastAsia" w:ascii="仿宋_GB2312" w:hAnsi="仿宋_GB2312" w:eastAsia="仿宋_GB2312" w:cs="仿宋_GB2312"/>
          <w:sz w:val="32"/>
        </w:rPr>
        <w:t>万元，教育</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万元，社会保障和就业</w:t>
      </w:r>
      <w:r>
        <w:rPr>
          <w:rFonts w:hint="eastAsia" w:ascii="仿宋_GB2312" w:hAnsi="仿宋_GB2312" w:eastAsia="仿宋_GB2312" w:cs="仿宋_GB2312"/>
          <w:sz w:val="32"/>
          <w:lang w:val="en-US" w:eastAsia="zh-CN"/>
        </w:rPr>
        <w:t>17.85</w:t>
      </w:r>
      <w:r>
        <w:rPr>
          <w:rFonts w:hint="eastAsia" w:ascii="仿宋_GB2312" w:hAnsi="仿宋_GB2312" w:eastAsia="仿宋_GB2312" w:cs="仿宋_GB2312"/>
          <w:sz w:val="32"/>
        </w:rPr>
        <w:t>万元，卫生健康支出</w:t>
      </w:r>
      <w:r>
        <w:rPr>
          <w:rFonts w:hint="eastAsia" w:ascii="仿宋_GB2312" w:hAnsi="仿宋_GB2312" w:eastAsia="仿宋_GB2312" w:cs="仿宋_GB2312"/>
          <w:sz w:val="32"/>
          <w:lang w:val="en-US" w:eastAsia="zh-CN"/>
        </w:rPr>
        <w:t>7.10</w:t>
      </w:r>
      <w:r>
        <w:rPr>
          <w:rFonts w:hint="eastAsia" w:ascii="仿宋_GB2312" w:hAnsi="仿宋_GB2312" w:eastAsia="仿宋_GB2312" w:cs="仿宋_GB2312"/>
          <w:sz w:val="32"/>
        </w:rPr>
        <w:t>万元，住房保障</w:t>
      </w:r>
      <w:r>
        <w:rPr>
          <w:rFonts w:hint="eastAsia" w:ascii="仿宋_GB2312" w:hAnsi="仿宋_GB2312" w:eastAsia="仿宋_GB2312" w:cs="仿宋_GB2312"/>
          <w:sz w:val="32"/>
          <w:lang w:val="en-US" w:eastAsia="zh-CN"/>
        </w:rPr>
        <w:t>9.18</w:t>
      </w:r>
      <w:r>
        <w:rPr>
          <w:rFonts w:hint="eastAsia" w:ascii="仿宋_GB2312" w:hAnsi="仿宋_GB2312" w:eastAsia="仿宋_GB2312" w:cs="仿宋_GB2312"/>
          <w:sz w:val="32"/>
        </w:rPr>
        <w:t>万元。</w:t>
      </w:r>
    </w:p>
    <w:p>
      <w:pPr>
        <w:spacing w:line="596" w:lineRule="exact"/>
        <w:rPr>
          <w:rFonts w:eastAsia="方正仿宋_GBK"/>
          <w:sz w:val="32"/>
          <w:szCs w:val="32"/>
        </w:rPr>
      </w:pPr>
      <w:r>
        <w:rPr>
          <w:rFonts w:hint="eastAsia" w:eastAsia="方正黑体_GBK"/>
          <w:sz w:val="32"/>
          <w:szCs w:val="32"/>
          <w:lang w:val="en-US" w:eastAsia="zh-CN"/>
        </w:rPr>
        <w:t xml:space="preserve">     </w:t>
      </w:r>
      <w:r>
        <w:rPr>
          <w:rFonts w:eastAsia="方正黑体_GBK"/>
          <w:sz w:val="32"/>
          <w:szCs w:val="32"/>
        </w:rPr>
        <w:t>二、绩效评价</w:t>
      </w:r>
      <w:r>
        <w:rPr>
          <w:rFonts w:hint="eastAsia" w:eastAsia="方正黑体_GBK"/>
          <w:sz w:val="32"/>
          <w:szCs w:val="32"/>
        </w:rPr>
        <w:t>基本</w:t>
      </w:r>
      <w:r>
        <w:rPr>
          <w:rFonts w:eastAsia="方正黑体_GBK"/>
          <w:sz w:val="32"/>
          <w:szCs w:val="32"/>
        </w:rPr>
        <w:t>情况</w:t>
      </w:r>
    </w:p>
    <w:p>
      <w:pPr>
        <w:numPr>
          <w:ilvl w:val="0"/>
          <w:numId w:val="2"/>
        </w:numPr>
        <w:spacing w:line="596" w:lineRule="exact"/>
        <w:ind w:firstLine="640" w:firstLineChars="200"/>
        <w:rPr>
          <w:rFonts w:eastAsia="方正仿宋_GBK"/>
          <w:sz w:val="32"/>
          <w:szCs w:val="32"/>
        </w:rPr>
      </w:pPr>
      <w:r>
        <w:rPr>
          <w:rFonts w:eastAsia="方正仿宋_GBK"/>
          <w:sz w:val="32"/>
          <w:szCs w:val="32"/>
        </w:rPr>
        <w:t>绩效评价目的</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eastAsia="方正仿宋_GBK"/>
          <w:color w:val="auto"/>
          <w:sz w:val="32"/>
          <w:szCs w:val="32"/>
        </w:rPr>
      </w:pPr>
      <w:r>
        <w:rPr>
          <w:rFonts w:hint="eastAsia" w:ascii="仿宋_GB2312" w:hAnsi="仿宋_GB2312" w:eastAsia="仿宋_GB2312" w:cs="仿宋_GB2312"/>
          <w:sz w:val="32"/>
          <w:lang w:val="en-US" w:eastAsia="zh-CN"/>
        </w:rPr>
        <w:t>对照年初确定的绩效目标各项任务，加强项目和资金管理，确保</w:t>
      </w:r>
      <w:r>
        <w:rPr>
          <w:rFonts w:hint="eastAsia" w:ascii="仿宋_GB2312" w:hAnsi="仿宋_GB2312" w:eastAsia="仿宋_GB2312" w:cs="仿宋_GB2312"/>
          <w:color w:val="auto"/>
          <w:sz w:val="32"/>
          <w:lang w:val="en-US" w:eastAsia="zh-CN"/>
        </w:rPr>
        <w:t>资金使用合规合法，促进工作效率的提高。按要求完成全年“企业之家”的活动、开展各类培训活动、带领非公企业人士外出学习考察、加快商会建设工作、加强与国内优秀工商联和商会的交流学习，扩大璧山影响力等。</w:t>
      </w:r>
    </w:p>
    <w:p>
      <w:pPr>
        <w:spacing w:line="596" w:lineRule="exact"/>
        <w:ind w:firstLine="640" w:firstLineChars="200"/>
        <w:rPr>
          <w:rFonts w:eastAsia="方正仿宋_GBK"/>
          <w:sz w:val="32"/>
          <w:szCs w:val="32"/>
        </w:rPr>
      </w:pPr>
      <w:r>
        <w:rPr>
          <w:rFonts w:eastAsia="方正仿宋_GBK"/>
          <w:sz w:val="32"/>
          <w:szCs w:val="32"/>
        </w:rPr>
        <w:t>（二）绩效评价原则、评价指标体系、评价方法</w:t>
      </w:r>
    </w:p>
    <w:p>
      <w:pPr>
        <w:spacing w:line="596" w:lineRule="exact"/>
        <w:ind w:firstLine="640" w:firstLineChars="200"/>
        <w:rPr>
          <w:rFonts w:ascii="仿宋_GB2312" w:eastAsia="仿宋_GB2312"/>
          <w:bCs/>
          <w:sz w:val="32"/>
          <w:szCs w:val="32"/>
        </w:rPr>
      </w:pPr>
      <w:r>
        <w:rPr>
          <w:rFonts w:hint="eastAsia" w:ascii="仿宋_GB2312" w:eastAsia="仿宋_GB2312"/>
          <w:bCs/>
          <w:sz w:val="32"/>
          <w:szCs w:val="32"/>
        </w:rPr>
        <w:t>绩效评价原则包括</w:t>
      </w:r>
      <w:r>
        <w:rPr>
          <w:rFonts w:ascii="仿宋_GB2312" w:eastAsia="仿宋_GB2312"/>
          <w:bCs/>
          <w:sz w:val="32"/>
          <w:szCs w:val="32"/>
        </w:rPr>
        <w:t>科学规范原则</w:t>
      </w:r>
      <w:r>
        <w:rPr>
          <w:rFonts w:hint="eastAsia" w:ascii="仿宋_GB2312" w:eastAsia="仿宋_GB2312"/>
          <w:bCs/>
          <w:sz w:val="32"/>
          <w:szCs w:val="32"/>
        </w:rPr>
        <w:t>、</w:t>
      </w:r>
      <w:r>
        <w:rPr>
          <w:rFonts w:ascii="仿宋_GB2312" w:eastAsia="仿宋_GB2312"/>
          <w:bCs/>
          <w:sz w:val="32"/>
          <w:szCs w:val="32"/>
        </w:rPr>
        <w:t>公开公正原则</w:t>
      </w:r>
      <w:r>
        <w:rPr>
          <w:rFonts w:hint="eastAsia" w:ascii="仿宋_GB2312" w:eastAsia="仿宋_GB2312"/>
          <w:bCs/>
          <w:sz w:val="32"/>
          <w:szCs w:val="32"/>
        </w:rPr>
        <w:t>、</w:t>
      </w:r>
      <w:r>
        <w:rPr>
          <w:rFonts w:ascii="仿宋_GB2312" w:eastAsia="仿宋_GB2312"/>
          <w:bCs/>
          <w:sz w:val="32"/>
          <w:szCs w:val="32"/>
        </w:rPr>
        <w:t>分级分类原则</w:t>
      </w:r>
      <w:r>
        <w:rPr>
          <w:rFonts w:hint="eastAsia" w:ascii="仿宋_GB2312" w:eastAsia="仿宋_GB2312"/>
          <w:bCs/>
          <w:sz w:val="32"/>
          <w:szCs w:val="32"/>
        </w:rPr>
        <w:t>、</w:t>
      </w:r>
      <w:r>
        <w:rPr>
          <w:rFonts w:ascii="仿宋_GB2312" w:eastAsia="仿宋_GB2312"/>
          <w:bCs/>
          <w:sz w:val="32"/>
          <w:szCs w:val="32"/>
        </w:rPr>
        <w:t>绩效相关原则。</w:t>
      </w:r>
    </w:p>
    <w:p>
      <w:pPr>
        <w:spacing w:line="596" w:lineRule="exact"/>
        <w:ind w:firstLine="640" w:firstLineChars="200"/>
        <w:rPr>
          <w:rFonts w:ascii="仿宋_GB2312" w:eastAsia="仿宋_GB2312"/>
          <w:bCs/>
          <w:sz w:val="32"/>
          <w:szCs w:val="32"/>
        </w:rPr>
      </w:pPr>
      <w:r>
        <w:rPr>
          <w:rFonts w:hint="eastAsia" w:ascii="仿宋_GB2312" w:eastAsia="仿宋_GB2312"/>
          <w:bCs/>
          <w:sz w:val="32"/>
          <w:szCs w:val="32"/>
        </w:rPr>
        <w:t>整个指标体系分为投入（7分），过程（24分），产出（</w:t>
      </w:r>
      <w:r>
        <w:rPr>
          <w:rFonts w:hint="eastAsia" w:ascii="仿宋_GB2312" w:eastAsia="仿宋_GB2312"/>
          <w:bCs/>
          <w:sz w:val="32"/>
          <w:szCs w:val="32"/>
          <w:lang w:val="en-US" w:eastAsia="zh-CN"/>
        </w:rPr>
        <w:t>57</w:t>
      </w:r>
      <w:r>
        <w:rPr>
          <w:rFonts w:hint="eastAsia" w:ascii="仿宋_GB2312" w:eastAsia="仿宋_GB2312"/>
          <w:bCs/>
          <w:sz w:val="32"/>
          <w:szCs w:val="32"/>
        </w:rPr>
        <w:t>分），效益（</w:t>
      </w:r>
      <w:r>
        <w:rPr>
          <w:rFonts w:hint="eastAsia" w:ascii="仿宋_GB2312" w:eastAsia="仿宋_GB2312"/>
          <w:bCs/>
          <w:sz w:val="32"/>
          <w:szCs w:val="32"/>
          <w:lang w:val="en-US" w:eastAsia="zh-CN"/>
        </w:rPr>
        <w:t>10</w:t>
      </w:r>
      <w:r>
        <w:rPr>
          <w:rFonts w:hint="eastAsia" w:ascii="仿宋_GB2312" w:eastAsia="仿宋_GB2312"/>
          <w:bCs/>
          <w:sz w:val="32"/>
          <w:szCs w:val="32"/>
        </w:rPr>
        <w:t>分），共设置了4个一级指标，</w:t>
      </w:r>
      <w:r>
        <w:rPr>
          <w:rFonts w:hint="eastAsia" w:ascii="仿宋_GB2312" w:eastAsia="仿宋_GB2312"/>
          <w:bCs/>
          <w:sz w:val="32"/>
          <w:szCs w:val="32"/>
          <w:lang w:val="en-US" w:eastAsia="zh-CN"/>
        </w:rPr>
        <w:t>10</w:t>
      </w:r>
      <w:r>
        <w:rPr>
          <w:rFonts w:hint="eastAsia" w:ascii="仿宋_GB2312" w:eastAsia="仿宋_GB2312"/>
          <w:bCs/>
          <w:sz w:val="32"/>
          <w:szCs w:val="32"/>
        </w:rPr>
        <w:t>个二级指标，</w:t>
      </w:r>
      <w:r>
        <w:rPr>
          <w:rFonts w:hint="eastAsia" w:ascii="仿宋_GB2312" w:eastAsia="仿宋_GB2312"/>
          <w:bCs/>
          <w:sz w:val="32"/>
          <w:szCs w:val="32"/>
          <w:lang w:val="en-US" w:eastAsia="zh-CN"/>
        </w:rPr>
        <w:t>30</w:t>
      </w:r>
      <w:r>
        <w:rPr>
          <w:rFonts w:hint="eastAsia" w:ascii="仿宋_GB2312" w:eastAsia="仿宋_GB2312"/>
          <w:bCs/>
          <w:sz w:val="32"/>
          <w:szCs w:val="32"/>
        </w:rPr>
        <w:t>个三级指标。</w:t>
      </w:r>
    </w:p>
    <w:p>
      <w:pPr>
        <w:spacing w:line="596" w:lineRule="exact"/>
        <w:ind w:firstLine="640" w:firstLineChars="200"/>
        <w:rPr>
          <w:rFonts w:ascii="仿宋_GB2312" w:eastAsia="仿宋_GB2312"/>
          <w:bCs/>
          <w:sz w:val="32"/>
          <w:szCs w:val="32"/>
        </w:rPr>
      </w:pPr>
      <w:r>
        <w:rPr>
          <w:rFonts w:hint="eastAsia" w:ascii="仿宋_GB2312" w:eastAsia="仿宋_GB2312"/>
          <w:bCs/>
          <w:sz w:val="32"/>
          <w:szCs w:val="32"/>
        </w:rPr>
        <w:t>评价的方法主要包括成本效益分析法、比较法、因素分析法、最低成本法、公众评判法、标杆管理法等。</w:t>
      </w:r>
    </w:p>
    <w:p>
      <w:pPr>
        <w:spacing w:line="596" w:lineRule="exact"/>
        <w:ind w:firstLine="640" w:firstLineChars="200"/>
        <w:rPr>
          <w:rFonts w:eastAsia="方正仿宋_GBK"/>
          <w:sz w:val="32"/>
          <w:szCs w:val="32"/>
        </w:rPr>
      </w:pPr>
      <w:r>
        <w:rPr>
          <w:rFonts w:eastAsia="方正仿宋_GBK"/>
          <w:sz w:val="32"/>
          <w:szCs w:val="32"/>
        </w:rPr>
        <w:t>（三）绩效评价工作过程</w:t>
      </w:r>
    </w:p>
    <w:p>
      <w:pPr>
        <w:spacing w:line="596" w:lineRule="exact"/>
        <w:ind w:firstLine="640" w:firstLineChars="200"/>
        <w:rPr>
          <w:rFonts w:eastAsia="方正仿宋_GBK"/>
          <w:sz w:val="32"/>
          <w:szCs w:val="32"/>
        </w:rPr>
      </w:pPr>
      <w:r>
        <w:rPr>
          <w:rFonts w:hint="eastAsia" w:eastAsia="方正仿宋_GBK"/>
          <w:sz w:val="32"/>
          <w:szCs w:val="32"/>
        </w:rPr>
        <w:t>包括前期准备、组织实施、分析评价等。</w:t>
      </w:r>
    </w:p>
    <w:p>
      <w:pPr>
        <w:spacing w:line="596" w:lineRule="exact"/>
        <w:ind w:firstLine="640" w:firstLineChars="200"/>
        <w:rPr>
          <w:rFonts w:eastAsia="方正仿宋_GBK"/>
          <w:sz w:val="32"/>
          <w:szCs w:val="32"/>
        </w:rPr>
      </w:pPr>
      <w:r>
        <w:rPr>
          <w:rFonts w:eastAsia="方正黑体_GBK"/>
          <w:sz w:val="32"/>
          <w:szCs w:val="32"/>
        </w:rPr>
        <w:t>三、</w:t>
      </w:r>
      <w:r>
        <w:rPr>
          <w:rFonts w:hint="eastAsia" w:eastAsia="方正黑体_GBK"/>
          <w:sz w:val="32"/>
          <w:szCs w:val="32"/>
        </w:rPr>
        <w:t>绩效</w:t>
      </w:r>
      <w:r>
        <w:rPr>
          <w:rFonts w:eastAsia="方正黑体_GBK"/>
          <w:sz w:val="32"/>
          <w:szCs w:val="32"/>
        </w:rPr>
        <w:t>评价情况及结论</w:t>
      </w:r>
    </w:p>
    <w:p>
      <w:pPr>
        <w:spacing w:line="596" w:lineRule="exact"/>
        <w:ind w:firstLine="640" w:firstLineChars="200"/>
        <w:rPr>
          <w:rFonts w:hint="eastAsia" w:eastAsia="方正仿宋_GBK"/>
          <w:sz w:val="32"/>
          <w:szCs w:val="32"/>
        </w:rPr>
      </w:pPr>
      <w:r>
        <w:rPr>
          <w:rFonts w:eastAsia="方正仿宋_GBK"/>
          <w:sz w:val="32"/>
          <w:szCs w:val="32"/>
        </w:rPr>
        <w:t>（一）</w:t>
      </w:r>
      <w:r>
        <w:rPr>
          <w:rFonts w:hint="eastAsia" w:eastAsia="方正仿宋_GBK"/>
          <w:sz w:val="32"/>
          <w:szCs w:val="32"/>
        </w:rPr>
        <w:t>投入评价情况</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1、友好商会交流工作项目资金5万元，其中：区本级财政资金5万元，分别投入到1个项目，投入资金3.97万元，资金到位率79.32%。</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2、非公经济统计工作经费工作项目资金2.55万元，其中：区本级财政资金2.55万元，分别投入到1个项目，投入资金1.87万元，资金到位率73.28%。</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3、异地商会组建及管理经费工作项目资金2.55万元，其中：区本级财政资金2.55万元，分别投入到1个项目，投入资金2.48万元，资金到位率97.25%。</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4、“企业之家”维护运营经费工作项目资金79万元，其中：区本级财政资金79万元，分别投入到1个项目，投入资金78.26万元，资金到位率99.06%。</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5、组织非公经济人士开展“走出去、引进来”活动经费工作项目资金2.5万元，其中：区本级财政资金2.5万元，分别投入到1个项目，投入资金2.15万元，资金到位率86.04%。</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6、在外经商璧山籍非公经济人士招商引资推介活动经费工作项目资金4.76万元，其中：区本级财政资金4.76万元，分别投入到1个项目，投入资金3.01万元，资金到位率63.24%。</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7、主席会、常委会、执委会例会经费工作项目资金1.7万元，其中：区本级财政资金1.7万元，分别投入到1个项目，投入资金1.61万元，资金到位率94.71%。</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8、区直属商会工作经费工作项目资金34万元，其中：区本级财政资金34万元，分别投入到1个项目，投入资金34万元，资金到位率100%。</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9、基层商会及行业商会管理经费工作项目资金5.4万元，其中：区本级财政资金5.4万元，分别投入到1个项目，投入资金5.2万元，资金到位率96.30%。</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10、安排工商联开展直播带货活动所需经费工作项目资金15.76万元，其中：区本级财政资金15.76万元，分别投入到1个项目，投入资金15.76万元，资金到位率100%。</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11、璧山政协办[2019]30号：关于下达2019年度区政协各委员小组委员活动经费的通知经费工作项目资金3.3万元，其中：区本级财政资金3.3万元，分别投入到1个项目，投入资金3.3万元，资金到位率100%。</w:t>
      </w:r>
    </w:p>
    <w:p>
      <w:pPr>
        <w:spacing w:line="596" w:lineRule="exact"/>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过程评价情况</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友好商会交流工作经费列入区工商联2020年度经费收入预算，对该笔资金的使用进行了充分、详细的使用分配计划，并经办公会审议通过。在资金使用过程中，每次到友好商会交流学习，都需事前了解、沟通并做好外出学习交流方案，并由分管领导确定后才能外出。每一笔费用都由主要领导审查，由分管财务领导审批后才能使用，资金使用以银行转账方式，杜绝了资金进入私人账户中的可能。</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非公经济统计工作经费列入区工商联2020年度经费收入预算，对该笔资金的使用进行了充分、详细的使用分配计划，并经办公会审议通过。在资金使用过程中，每笔统计经费开销都要有主要领导审查，由分管财务领导审批后才能使用，资金使用以银行转账方式，杜绝了资金进入私人账户中的可能。</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异地商会组建及管理经费列入区工商联2020年度经费收入预算，对该笔资金的使用进行了充分、详细的使用分配计划，并经办公会审议通过。在资金使用过程中，每次到异地商会组织培训学习，都需事前沟通并做好外出培训方案，并由分管领导确定方案后才能外出。每一笔费用都由主要领导审查，由分管财务领导审批后才能使用，资金使用以银行转账方式，杜绝了资金进入私人账户中的可能。</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企业之家”维护运营经费列入区工商联2020年度经费收入预算，对该笔资金的使用进行了充分、详细的使用分配计划，并经办公会审议通过。在资金使用过程中，每一次活动、每一次购买服务都经过了分管领导的审核批准，每一笔经费都是由主要领导审查，分管财务领导审批后才能划拨出去，资金使用以银行转账方式，杜绝了资金进入私人账户中的可能。</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组织非公经济人士开展“走出去、引进来”活动经费列入区工商联2020年度经费收入预算，对该笔资金的使用进行了充分、详细的使用分配计划，并经办公会审议通过。在资金使用过程中，每次组织非公经济人士外出学习，都需事前沟通并做好外出培训的方案，并由分管领导确定方案后才能外出。每一笔费用都由主要领导审查，由分管财务领导审批后才能使用，资金使用以银行转账方式，杜绝了资金进入私人账户中的可能。</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在外经商璧山籍非公经济人士招商引资推介活动经费列入区工商联2020年度经费收入预算，对该笔资金的使用进行了充分、详细的使用分配计划，并经办公会审议通过。在资金使用过程中，每次外出招商推介活动，都需事前沟通并做好外出招商推介方案，并由分管领导确定方案后才能外出。每一笔费用都由主要领导审查，由分管财务领导审批后才能使用，资金使用以银行转账方式，杜绝了资金进入私人账户中的可能。</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主席会、常委会、执委会例会经费列入区工商联2020年度经费收入预算，对该笔资金的使用进行了充分、详细的使用分配计划，并经办公会审议通过。每次会前都要做好会议议程，每一笔费用都由主要领导审查，由分管财务领导审批后才能使用，资金使用以银行转账方式，杜绝了资金进入私人账户中的可能。</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区直属商会工作经费列入区工商联2020年度经费收入预算，对该笔资金的使用进行了充分、详细的使用分配计划，并经办公会审议通过。在资金使用过程中，工作经费的发放，都需商会提出申请，由主要领导审查，财务分管领导审批，资金使用以银行转账方式直接到商会账户，杜绝了资金进入私人账户中的可能。</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基层商会及行业商会管理经费列入区工商联2020年度经费收入预算，对该笔资金的使用进行了充分、详细的使用分配计划，并经办公会审议通过。在资金使用过程中，每一笔经费都需由主要领导审查，财务分管领导审批，资金使用以银行转账方式，杜绝了资金进入私人账户中的可能。</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安排工商联开展直播带货活动所需经费列入区工商联2020年度经费收入预算，对该笔资金的使用进行了充分、详细的使用分配计划，并经办公会审议通过。在使用过程中，对直播培训活动企业进行严格的检查指导、验收，合格后将工作经费报办公会审批后进行使用，资金使用以银行打款方式发放到企业工会账户，杜绝了资金进入私人账户中的可能，确保了工作的顺利进行。</w:t>
      </w:r>
    </w:p>
    <w:p>
      <w:pPr>
        <w:spacing w:line="596" w:lineRule="exact"/>
        <w:ind w:firstLine="640" w:firstLineChars="200"/>
        <w:rPr>
          <w:rFonts w:hint="eastAsia" w:eastAsia="方正仿宋_GBK"/>
          <w:sz w:val="32"/>
          <w:szCs w:val="32"/>
        </w:rPr>
      </w:pPr>
      <w:r>
        <w:rPr>
          <w:rFonts w:hint="eastAsia" w:ascii="仿宋_GB2312" w:hAnsi="仿宋_GB2312" w:eastAsia="仿宋_GB2312" w:cs="仿宋_GB2312"/>
          <w:sz w:val="32"/>
          <w:lang w:val="en-US" w:eastAsia="zh-CN"/>
        </w:rPr>
        <w:t>11、璧山政协办[2019]30号：关于下达2019年度区政协各委员小组委员活动经费的通知列入区工商联2020年度经费收入预算，对该笔资金的使用进行了充分、详细的使用分配计划，并经办公会审议通过。这笔经费是由区政协下发的经费，是工商联带领政协界别小组外出学习考察经费，经费使用对象只能是工商联界别小组，由分管领导对外出考察学习人员进行严格把关，每一笔经费都需由主要领导审查，财务分管领导审批，资金使用以银行转账方式，杜绝了资金进入私人账户中的可能。</w:t>
      </w:r>
      <w:r>
        <w:rPr>
          <w:rFonts w:hint="eastAsia" w:ascii="仿宋_GB2312" w:hAnsi="仿宋_GB2312" w:eastAsia="仿宋_GB2312" w:cs="仿宋_GB2312"/>
          <w:sz w:val="32"/>
          <w:lang w:val="en-US" w:eastAsia="zh-CN"/>
        </w:rPr>
        <w:br w:type="textWrapping"/>
      </w:r>
      <w:r>
        <w:rPr>
          <w:rFonts w:hint="eastAsia" w:ascii="仿宋_GB2312" w:hAnsi="仿宋_GB2312" w:eastAsia="仿宋_GB2312" w:cs="仿宋_GB2312"/>
          <w:sz w:val="32"/>
          <w:lang w:val="en-US" w:eastAsia="zh-CN"/>
        </w:rPr>
        <w:t xml:space="preserve">    </w:t>
      </w:r>
      <w:r>
        <w:rPr>
          <w:rFonts w:eastAsia="方正仿宋_GBK"/>
          <w:sz w:val="32"/>
          <w:szCs w:val="32"/>
        </w:rPr>
        <w:t>（三）</w:t>
      </w:r>
      <w:r>
        <w:rPr>
          <w:rFonts w:hint="eastAsia" w:eastAsia="方正仿宋_GBK"/>
          <w:sz w:val="32"/>
          <w:szCs w:val="32"/>
        </w:rPr>
        <w:t>产出评价情况</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1、友好商会交流工作经费工作项目：2020年度分别与德阳、绵阳、新津、秀山、温江搭建了友好工商会交流平台，增强了与友好商会间的交流与合作，宣传了璧山，扩大了璧山的影响力。</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2、非公经济统计工作经费工作项目：为统计局、统战部等部门提供了有效数据，也对璧山非公经济企业进行了简单的摸底调查。</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3、异地商会组建及管理经费工作项目：2020年分别到西安璧山商会、成都市金牛区璧山商会、昆明市重庆璧山商会进行工作培训和业务指导，对相关经济人士相对集中的进行了培训工作。</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4、“企业之家”维护运营经费工作项目：2020年企业之家开展了175场活动，27位区领导坐班“企业之家”，3700家企业参与，收集企业反映问题330个，现场解决了260余个，推送相关平台督办66个。</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5、组织非公经济人士开展“走出去、引进来”活动经费工作项目：2020年外出考察活动共计9次，分别到绵阳、德阳、温州、潼南、温江、开州、绍兴、秀山、昆明。</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在外经商璧山籍非公经济人士招商引资推介活动经费工作项目：到绵阳、德阳、温州、潼南、温江、开州、绍兴、秀山和昆明9地去引导在外经商璧山籍人员回乡兴业，为璧山的发展积极引项目、引资金、引技术。</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7、主席会、常委会、执委会例会经费工作项目：2020年召开主席会12次，常委会3次、执委会议1次。</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8、区直属商会工作经费工作项目：直属商会活动顺利进行，也完成了工商联交办的其他工作。</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9、基层商会及行业商会管理经费工作项目：新增商会8个，做好行业商会和基层商会的管理，增强商会间的交流合作，增强凝聚力，抱团发展。</w:t>
      </w:r>
      <w:bookmarkStart w:id="0" w:name="_GoBack"/>
      <w:bookmarkEnd w:id="0"/>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10、安排工商联开展直播带货活动工作项目：培训活动顺利完成，有效的助推了直播行业的发展，让民营企业认识了直播，了解了直播。</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11、璧山政协办[2019]30号：关于下达2019年度区政协各委员小组委员活动经费的通知工作项目：组织政协委员外出考察学习。</w:t>
      </w:r>
    </w:p>
    <w:p>
      <w:pPr>
        <w:spacing w:line="596" w:lineRule="exact"/>
        <w:ind w:firstLine="640" w:firstLineChars="200"/>
        <w:rPr>
          <w:rFonts w:hint="eastAsia" w:eastAsia="方正仿宋_GBK"/>
          <w:sz w:val="32"/>
          <w:szCs w:val="32"/>
        </w:rPr>
      </w:pPr>
      <w:r>
        <w:rPr>
          <w:rFonts w:hint="eastAsia" w:eastAsia="方正仿宋_GBK"/>
          <w:sz w:val="32"/>
          <w:szCs w:val="32"/>
        </w:rPr>
        <w:t>（四）效益评价情况</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1、与友好工商联、友好商会的交流学习，并与绵阳、德阳、温江、新津等地签订了成渝地区双城经济圈友好工商联战略合作协议，与相关企业进行了互动，为今后双方、多方合作打下了基础。</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2、非公经济统计工作经费这笔经费，让我们创办了自己的刊物《璧山民营经济通讯》，加强了宣传力度，为提振民营企业的士气，塑造民营企业家的正面形象，发挥了积极的作用。</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3、到西安璧山商会、成都市金牛区璧山商会、昆明市重庆璧山商会我们是带着我们的商会会长去的，拓宽了企业家的视野，也扩大了璧山的宣传力，加强了在外经商璧山人的凝聚力、向心力。</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4、办好“企业之家”，共开展活动175场次，其中，接待省部级领导及区外各级领导视察32次，区领导“坐班”27次，“部门摆摊 企业赶场”活动15场，“政策大讲堂”“经管研习社”20场次，开办“渝商微课”线上课堂4期，观看人数达10万人以。“企业之家”成为璧山新名片，服务发展再上新台阶。工商联通过“企业之家”做了很多实实在在的工作，工商联为民营企业服务是真心的、真诚的，也是直接的。</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5、组织非公经济人士开展“走出去、引进来”活动，外出考察培训活动多达9次之多，我们组织非公经济人士直接到企业、商会去看、去学习，大家都收获颇多。</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6、外出培训活动的同时，也加强璧山非公经济人士与在外璧山籍人士的交流和学习，学习先进的经验，引进先进的技术，与相关企业进行看互动，为今后双方、多方合作奠定了基础。</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通过主席办公会、常委会、执委会，让企业家副主席副会长有了参与权、知情权，甚至决策权，真正体现了主人翁责任感。同时也增强了企业家之间的相互交流，相互借鉴办企业的经验，以实现资源互利共享。</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8、确保了各个商会工作正常运行，加强了商会成员间的凝聚力。</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9、商会建设突飞猛进，报团取暖、抱团发展有力基础条件。</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10、培养了200多名直播带货的主播人员，提升电商直播行业整体水平，推动电商直播行业的健康发展。同时进一步促进企业产品线上线下结合销售，帮助市场主体转变发展思路，开拓市场。</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11、积极组织非公积极人士建言献策，组织民营经济人士提交社情民意、提案70余篇，为党委、政府决策提供了有效参考。</w:t>
      </w:r>
    </w:p>
    <w:p>
      <w:pPr>
        <w:spacing w:line="596" w:lineRule="exact"/>
        <w:ind w:firstLine="640" w:firstLineChars="200"/>
        <w:rPr>
          <w:rFonts w:eastAsia="方正黑体_GBK"/>
          <w:sz w:val="32"/>
          <w:szCs w:val="32"/>
        </w:rPr>
      </w:pPr>
      <w:r>
        <w:rPr>
          <w:rFonts w:hint="eastAsia" w:eastAsia="方正仿宋_GBK"/>
          <w:sz w:val="32"/>
          <w:szCs w:val="32"/>
          <w:lang w:val="en-US" w:eastAsia="zh-CN"/>
        </w:rPr>
        <w:t xml:space="preserve"> </w:t>
      </w:r>
      <w:r>
        <w:rPr>
          <w:rFonts w:hint="eastAsia" w:eastAsia="方正黑体_GBK"/>
          <w:sz w:val="32"/>
          <w:szCs w:val="32"/>
        </w:rPr>
        <w:t>四</w:t>
      </w:r>
      <w:r>
        <w:rPr>
          <w:rFonts w:eastAsia="方正黑体_GBK"/>
          <w:sz w:val="32"/>
          <w:szCs w:val="32"/>
        </w:rPr>
        <w:t>、主要经验及做法</w:t>
      </w:r>
    </w:p>
    <w:p>
      <w:pPr>
        <w:keepNext w:val="0"/>
        <w:keepLines w:val="0"/>
        <w:pageBreakBefore w:val="0"/>
        <w:kinsoku/>
        <w:wordWrap/>
        <w:overflowPunct/>
        <w:topLinePunct w:val="0"/>
        <w:autoSpaceDE/>
        <w:autoSpaceDN/>
        <w:bidi w:val="0"/>
        <w:adjustRightInd/>
        <w:snapToGrid/>
        <w:spacing w:beforeAutospacing="0" w:line="600" w:lineRule="exact"/>
        <w:ind w:right="0" w:rightChars="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1.加强项目全过程管理，事前有计划、事中有管控、事后有反馈，做到“花钱必问效，无效必问责”，提升项目整体施行效果，保障项目有效运转。</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2.加强动态监控，单位内部建立健全内部控制和监督管理机制，做好项目管理工作。对项目进行“三全”监控，切实保障项目保质保量完成，使得资金使用和项目进度相一致，预算执行落实到位。</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eastAsia="方正黑体_GBK"/>
          <w:sz w:val="32"/>
          <w:szCs w:val="32"/>
        </w:rPr>
      </w:pPr>
      <w:r>
        <w:rPr>
          <w:rFonts w:hint="eastAsia" w:ascii="仿宋_GB2312" w:hAnsi="仿宋_GB2312" w:eastAsia="仿宋_GB2312" w:cs="仿宋_GB2312"/>
          <w:sz w:val="32"/>
          <w:lang w:val="en-US" w:eastAsia="zh-CN"/>
        </w:rPr>
        <w:t>3.强化一把手的领导作用，通过领导小组的方式推动项目有序开展，以领导小组组长为核心，统筹兼顾，分级管理，结合各项目特性对项目进行管理、实施。</w:t>
      </w:r>
    </w:p>
    <w:p>
      <w:pPr>
        <w:spacing w:line="596" w:lineRule="exact"/>
        <w:ind w:firstLine="640" w:firstLineChars="200"/>
        <w:rPr>
          <w:rFonts w:eastAsia="方正黑体_GBK"/>
          <w:sz w:val="32"/>
          <w:szCs w:val="32"/>
        </w:rPr>
      </w:pPr>
      <w:r>
        <w:rPr>
          <w:rFonts w:hint="eastAsia" w:eastAsia="方正黑体_GBK"/>
          <w:sz w:val="32"/>
          <w:szCs w:val="32"/>
        </w:rPr>
        <w:t>五、</w:t>
      </w:r>
      <w:r>
        <w:rPr>
          <w:rFonts w:eastAsia="方正黑体_GBK"/>
          <w:sz w:val="32"/>
          <w:szCs w:val="32"/>
        </w:rPr>
        <w:t>存在的问题和建议</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480" w:firstLineChars="15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）存在问题</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eastAsia="方正黑体_GBK"/>
          <w:sz w:val="32"/>
          <w:szCs w:val="32"/>
        </w:rPr>
      </w:pPr>
      <w:r>
        <w:rPr>
          <w:rFonts w:hint="eastAsia" w:ascii="仿宋_GB2312" w:hAnsi="仿宋_GB2312" w:eastAsia="仿宋_GB2312" w:cs="仿宋_GB2312"/>
          <w:sz w:val="32"/>
          <w:lang w:val="en-US" w:eastAsia="zh-CN"/>
        </w:rPr>
        <w:t>预算编制前根据年度内单位可预见的工作任务，确定了单位年度预算目标，细化了预算指标，但是实际支付过程中，有很多未按严格要求预算指标执行。</w:t>
      </w:r>
    </w:p>
    <w:p>
      <w:pPr>
        <w:pStyle w:val="3"/>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）意见或建议</w:t>
      </w:r>
    </w:p>
    <w:p>
      <w:pPr>
        <w:keepNext w:val="0"/>
        <w:keepLines w:val="0"/>
        <w:pageBreakBefore w:val="0"/>
        <w:kinsoku/>
        <w:wordWrap/>
        <w:overflowPunct/>
        <w:topLinePunct w:val="0"/>
        <w:autoSpaceDE/>
        <w:autoSpaceDN/>
        <w:bidi w:val="0"/>
        <w:adjustRightInd/>
        <w:snapToGrid/>
        <w:spacing w:beforeAutospacing="0" w:line="600" w:lineRule="exact"/>
        <w:ind w:right="0" w:rightChars="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1.建立健全预算管理机制，强化专项资金的监管。财政部门和单位内部监督部门需对项目实施和资金使用进行动态监控，及时掌握项目进度与资金拨付情况，增加项目的公开透明。同时，建立健全监管制度，确保专项资金用到实处，实现效益最大化。</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提升绩效评价结果应用率。树立全面预算绩效管理理念，将绩效评价结果与预算相挂钩，以结果推动资金的申报与拨付，加强资金的利用率和效果。同时，探索配套资金承诺制度和奖罚制度，保障项目申报数据细致可靠。</w:t>
      </w:r>
    </w:p>
    <w:p>
      <w:pPr>
        <w:spacing w:line="596" w:lineRule="exact"/>
        <w:ind w:firstLine="640" w:firstLineChars="200"/>
        <w:rPr>
          <w:rFonts w:eastAsia="方正黑体_GBK"/>
          <w:sz w:val="32"/>
          <w:szCs w:val="32"/>
        </w:rPr>
      </w:pPr>
    </w:p>
    <w:p>
      <w:pPr>
        <w:spacing w:line="596" w:lineRule="exact"/>
        <w:ind w:firstLine="640" w:firstLineChars="200"/>
        <w:jc w:val="right"/>
        <w:rPr>
          <w:rFonts w:eastAsia="方正仿宋_GBK"/>
          <w:sz w:val="32"/>
          <w:szCs w:val="32"/>
        </w:rPr>
      </w:pP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楷体_GBK">
    <w:panose1 w:val="03000509000000000000"/>
    <w:charset w:val="86"/>
    <w:family w:val="script"/>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Arial">
    <w:panose1 w:val="020B0604020202020204"/>
    <w:charset w:val="00"/>
    <w:family w:val="decorative"/>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decorative"/>
    <w:pitch w:val="default"/>
    <w:sig w:usb0="A10006FF" w:usb1="4000205B" w:usb2="00000010" w:usb3="00000000" w:csb0="2000019F" w:csb1="00000000"/>
  </w:font>
  <w:font w:name="Calibri Light">
    <w:altName w:val="Calibri"/>
    <w:panose1 w:val="020F0302020204030204"/>
    <w:charset w:val="00"/>
    <w:family w:val="decorative"/>
    <w:pitch w:val="default"/>
    <w:sig w:usb0="00000000" w:usb1="00000000"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13C2C"/>
    <w:multiLevelType w:val="singleLevel"/>
    <w:tmpl w:val="60613C2C"/>
    <w:lvl w:ilvl="0" w:tentative="0">
      <w:start w:val="1"/>
      <w:numFmt w:val="chineseCounting"/>
      <w:suff w:val="nothing"/>
      <w:lvlText w:val="%1、"/>
      <w:lvlJc w:val="left"/>
    </w:lvl>
  </w:abstractNum>
  <w:abstractNum w:abstractNumId="1">
    <w:nsid w:val="60614784"/>
    <w:multiLevelType w:val="singleLevel"/>
    <w:tmpl w:val="60614784"/>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B01B9"/>
    <w:rsid w:val="003E4915"/>
    <w:rsid w:val="003E75C4"/>
    <w:rsid w:val="00401B11"/>
    <w:rsid w:val="00422429"/>
    <w:rsid w:val="0043034C"/>
    <w:rsid w:val="00443E03"/>
    <w:rsid w:val="00487348"/>
    <w:rsid w:val="00497B55"/>
    <w:rsid w:val="004C051C"/>
    <w:rsid w:val="00547BAD"/>
    <w:rsid w:val="00550210"/>
    <w:rsid w:val="005516E1"/>
    <w:rsid w:val="00563118"/>
    <w:rsid w:val="005A221A"/>
    <w:rsid w:val="005B5ED1"/>
    <w:rsid w:val="00606BA5"/>
    <w:rsid w:val="006417E5"/>
    <w:rsid w:val="0064309B"/>
    <w:rsid w:val="00671BB5"/>
    <w:rsid w:val="006772C6"/>
    <w:rsid w:val="006C793C"/>
    <w:rsid w:val="006D100A"/>
    <w:rsid w:val="006E6E29"/>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77086"/>
    <w:rsid w:val="00C858DD"/>
    <w:rsid w:val="00CD33CE"/>
    <w:rsid w:val="00CF26C3"/>
    <w:rsid w:val="00D610B4"/>
    <w:rsid w:val="00E05A32"/>
    <w:rsid w:val="00E225F8"/>
    <w:rsid w:val="00E25A0F"/>
    <w:rsid w:val="00E42BE7"/>
    <w:rsid w:val="00E55405"/>
    <w:rsid w:val="00E72086"/>
    <w:rsid w:val="00E91393"/>
    <w:rsid w:val="00EB0A75"/>
    <w:rsid w:val="00EF2A45"/>
    <w:rsid w:val="00F70C2E"/>
    <w:rsid w:val="00F9262E"/>
    <w:rsid w:val="00F93438"/>
    <w:rsid w:val="00FA41F0"/>
    <w:rsid w:val="00FD0041"/>
    <w:rsid w:val="0275304B"/>
    <w:rsid w:val="15FF66A5"/>
    <w:rsid w:val="181403EF"/>
    <w:rsid w:val="21F66CC5"/>
    <w:rsid w:val="282A6A14"/>
    <w:rsid w:val="322467DF"/>
    <w:rsid w:val="545C5A7D"/>
    <w:rsid w:val="6FB16C86"/>
    <w:rsid w:val="70CD71A7"/>
    <w:rsid w:val="79EF2F58"/>
    <w:rsid w:val="7FA466A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index 5"/>
    <w:basedOn w:val="1"/>
    <w:next w:val="1"/>
    <w:unhideWhenUsed/>
    <w:qFormat/>
    <w:uiPriority w:val="99"/>
    <w:pPr>
      <w:ind w:left="1680"/>
    </w:pPr>
  </w:style>
  <w:style w:type="paragraph" w:styleId="3">
    <w:name w:val="Plain Text"/>
    <w:basedOn w:val="1"/>
    <w:unhideWhenUsed/>
    <w:qFormat/>
    <w:uiPriority w:val="99"/>
    <w:rPr>
      <w:rFonts w:hint="eastAsia"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Char"/>
    <w:basedOn w:val="6"/>
    <w:link w:val="5"/>
    <w:qFormat/>
    <w:uiPriority w:val="99"/>
    <w:rPr>
      <w:rFonts w:ascii="Times New Roman" w:hAnsi="Times New Roman" w:eastAsia="宋体" w:cs="Times New Roman"/>
      <w:sz w:val="18"/>
      <w:szCs w:val="18"/>
    </w:rPr>
  </w:style>
  <w:style w:type="character" w:customStyle="1" w:styleId="10">
    <w:name w:val="页脚 Char"/>
    <w:basedOn w:val="6"/>
    <w:link w:val="4"/>
    <w:qFormat/>
    <w:uiPriority w:val="99"/>
    <w:rPr>
      <w:rFonts w:ascii="Times New Roman" w:hAnsi="Times New Roman" w:eastAsia="宋体" w:cs="Times New Roman"/>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65</Words>
  <Characters>377</Characters>
  <Lines>3</Lines>
  <Paragraphs>1</Paragraphs>
  <ScaleCrop>false</ScaleCrop>
  <LinksUpToDate>false</LinksUpToDate>
  <CharactersWithSpaces>441</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Administrator</cp:lastModifiedBy>
  <cp:lastPrinted>2021-03-30T08:01:00Z</cp:lastPrinted>
  <dcterms:modified xsi:type="dcterms:W3CDTF">2021-03-30T08:31:44Z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