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eastAsia="方正小标宋_GBK"/>
          <w:sz w:val="44"/>
          <w:szCs w:val="32"/>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三合镇人民政府</w:t>
      </w:r>
      <w:r>
        <w:rPr>
          <w:rFonts w:hint="eastAsia" w:eastAsia="方正小标宋_GBK"/>
          <w:sz w:val="44"/>
          <w:szCs w:val="32"/>
        </w:rPr>
        <w:t>部门（单位）</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（一）职能职责</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 </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2.制定并组织实施村镇建设规划，部署重点工程建设，地方道路建设及公共设施，水利设施的管理，负责土地、林木、水等自然资源和生态环境的保护，做好护林防火工作。</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4.按计划组织本级财政收入和地方税的征收，完成国家财政计划，不断培植税源，管好财政资金，增强财政实力。</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5.抓好精神文明建设，丰富群众文化生活，提倡移风易俗，反对封建迷信，破除陈规陋习，树立社会主义新风尚。</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6.执行本级人民代表大会的决议和上级国家机关的决议和命令，完成上级政府交办的其它事项。</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（二）单位构成</w:t>
      </w:r>
    </w:p>
    <w:p>
      <w:pPr>
        <w:spacing w:line="594"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重庆市璧山区三合镇人民政府统一设置综合办事机构8个，即：党政办公室、党群工作办公室、经济发展办公室（挂统计办公室、农村经营管理办公室牌子）、民政和社会事务办公室（挂卫生健康办公室牌子）、平安建设办公室、规划建设管理环保办公室、财政办公室、应急管理办公室；设置事业机构7个，即：农业服务中心、文化服务中心、劳动就业和社会保障服务所、退役军人服务站、综合行政执法大队、建设环保服务中心、产业发展服务中心。</w:t>
      </w:r>
    </w:p>
    <w:p>
      <w:pPr>
        <w:numPr>
          <w:ilvl w:val="0"/>
          <w:numId w:val="0"/>
        </w:numPr>
        <w:spacing w:line="596" w:lineRule="exact"/>
        <w:ind w:firstLine="640" w:firstLineChars="200"/>
        <w:rPr>
          <w:rFonts w:eastAsia="方正仿宋_GBK"/>
          <w:sz w:val="32"/>
          <w:szCs w:val="32"/>
        </w:rPr>
      </w:pPr>
      <w:r>
        <w:rPr>
          <w:rFonts w:hint="eastAsia" w:eastAsia="方正仿宋_GBK"/>
          <w:sz w:val="32"/>
          <w:szCs w:val="32"/>
          <w:lang w:eastAsia="zh-CN"/>
        </w:rPr>
        <w:t>（三）</w:t>
      </w:r>
      <w:r>
        <w:rPr>
          <w:rFonts w:hint="eastAsia" w:eastAsia="方正仿宋_GBK"/>
          <w:sz w:val="32"/>
          <w:szCs w:val="32"/>
        </w:rPr>
        <w:t>预算及支出情况</w:t>
      </w:r>
      <w:r>
        <w:rPr>
          <w:rFonts w:eastAsia="方正仿宋_GBK"/>
          <w:sz w:val="32"/>
          <w:szCs w:val="32"/>
        </w:rPr>
        <w:t>。</w:t>
      </w:r>
    </w:p>
    <w:p>
      <w:pPr>
        <w:numPr>
          <w:ilvl w:val="0"/>
          <w:numId w:val="0"/>
        </w:numPr>
        <w:spacing w:line="59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2021</w:t>
      </w:r>
      <w:r>
        <w:rPr>
          <w:rFonts w:ascii="Times New Roman" w:hAnsi="Times New Roman" w:eastAsia="方正仿宋_GBK"/>
          <w:color w:val="000000"/>
          <w:sz w:val="32"/>
          <w:szCs w:val="32"/>
        </w:rPr>
        <w:t>年年初预</w:t>
      </w:r>
      <w:r>
        <w:rPr>
          <w:rFonts w:ascii="Times New Roman" w:hAnsi="Times New Roman" w:eastAsia="方正仿宋_GBK"/>
          <w:color w:val="000000"/>
          <w:sz w:val="32"/>
        </w:rPr>
        <w:t>算</w:t>
      </w:r>
      <w:r>
        <w:rPr>
          <w:rFonts w:hint="eastAsia" w:eastAsia="方正仿宋_GBK"/>
          <w:color w:val="000000"/>
          <w:sz w:val="32"/>
          <w:lang w:eastAsia="zh-CN"/>
        </w:rPr>
        <w:t>收入</w:t>
      </w:r>
      <w:r>
        <w:rPr>
          <w:rFonts w:hint="eastAsia" w:ascii="Times New Roman" w:hAnsi="Times New Roman" w:eastAsia="方正仿宋_GBK"/>
          <w:color w:val="000000"/>
          <w:sz w:val="32"/>
        </w:rPr>
        <w:t>3112</w:t>
      </w:r>
      <w:r>
        <w:rPr>
          <w:rFonts w:ascii="Times New Roman" w:hAnsi="Times New Roman" w:eastAsia="方正仿宋_GBK"/>
          <w:color w:val="000000"/>
          <w:sz w:val="32"/>
        </w:rPr>
        <w:t>万元，其中：一般公共预算拨款</w:t>
      </w:r>
      <w:r>
        <w:rPr>
          <w:rFonts w:hint="eastAsia" w:ascii="Times New Roman" w:hAnsi="Times New Roman" w:eastAsia="方正仿宋_GBK"/>
          <w:color w:val="000000"/>
          <w:sz w:val="32"/>
        </w:rPr>
        <w:t>3059</w:t>
      </w:r>
      <w:r>
        <w:rPr>
          <w:rFonts w:ascii="Times New Roman" w:hAnsi="Times New Roman" w:eastAsia="方正仿宋_GBK"/>
          <w:color w:val="000000"/>
          <w:sz w:val="32"/>
        </w:rPr>
        <w:t>万元，政</w:t>
      </w:r>
      <w:r>
        <w:rPr>
          <w:rFonts w:ascii="Times New Roman" w:hAnsi="Times New Roman" w:eastAsia="方正仿宋_GBK"/>
          <w:color w:val="000000"/>
          <w:sz w:val="32"/>
          <w:szCs w:val="32"/>
        </w:rPr>
        <w:t>府性基金预算拨款</w:t>
      </w:r>
      <w:r>
        <w:rPr>
          <w:rFonts w:hint="eastAsia" w:ascii="Times New Roman" w:hAnsi="Times New Roman" w:eastAsia="方正仿宋_GBK"/>
          <w:color w:val="000000"/>
          <w:sz w:val="32"/>
          <w:szCs w:val="32"/>
        </w:rPr>
        <w:t>53</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w:t>
      </w:r>
      <w:r>
        <w:rPr>
          <w:rFonts w:hint="eastAsia" w:eastAsia="方正仿宋_GBK"/>
          <w:color w:val="000000"/>
          <w:sz w:val="32"/>
          <w:szCs w:val="32"/>
          <w:lang w:eastAsia="zh-CN"/>
        </w:rPr>
        <w:t>预算支出</w:t>
      </w:r>
      <w:r>
        <w:rPr>
          <w:rFonts w:hint="eastAsia" w:eastAsia="方正仿宋_GBK"/>
          <w:color w:val="000000"/>
          <w:sz w:val="32"/>
          <w:szCs w:val="32"/>
          <w:lang w:val="en-US" w:eastAsia="zh-CN"/>
        </w:rPr>
        <w:t>3112万元，</w:t>
      </w:r>
      <w:r>
        <w:rPr>
          <w:rFonts w:ascii="Times New Roman" w:hAnsi="Times New Roman" w:eastAsia="方正仿宋_GBK"/>
          <w:color w:val="000000"/>
          <w:sz w:val="32"/>
          <w:szCs w:val="32"/>
        </w:rPr>
        <w:t>其中：一般公共服务支出</w:t>
      </w:r>
      <w:r>
        <w:rPr>
          <w:rFonts w:hint="eastAsia" w:ascii="Times New Roman" w:hAnsi="Times New Roman" w:eastAsia="方正仿宋_GBK"/>
          <w:color w:val="000000"/>
          <w:sz w:val="32"/>
          <w:szCs w:val="32"/>
        </w:rPr>
        <w:t>812</w:t>
      </w:r>
      <w:r>
        <w:rPr>
          <w:rFonts w:ascii="Times New Roman" w:hAnsi="Times New Roman" w:eastAsia="方正仿宋_GBK"/>
          <w:color w:val="000000"/>
          <w:sz w:val="32"/>
          <w:szCs w:val="32"/>
        </w:rPr>
        <w:t>万元，文化旅游体育与传媒支出</w:t>
      </w:r>
      <w:r>
        <w:rPr>
          <w:rFonts w:hint="eastAsia" w:ascii="Times New Roman" w:hAnsi="Times New Roman" w:eastAsia="方正仿宋_GBK"/>
          <w:color w:val="000000"/>
          <w:sz w:val="32"/>
          <w:szCs w:val="32"/>
        </w:rPr>
        <w:t>58</w:t>
      </w:r>
      <w:r>
        <w:rPr>
          <w:rFonts w:ascii="Times New Roman" w:hAnsi="Times New Roman" w:eastAsia="方正仿宋_GBK"/>
          <w:color w:val="000000"/>
          <w:sz w:val="32"/>
          <w:szCs w:val="32"/>
        </w:rPr>
        <w:t>万元，社会保障和就业支出</w:t>
      </w:r>
      <w:r>
        <w:rPr>
          <w:rFonts w:hint="eastAsia" w:ascii="Times New Roman" w:hAnsi="Times New Roman" w:eastAsia="方正仿宋_GBK"/>
          <w:color w:val="000000"/>
          <w:sz w:val="32"/>
          <w:szCs w:val="32"/>
        </w:rPr>
        <w:t>224</w:t>
      </w:r>
      <w:r>
        <w:rPr>
          <w:rFonts w:ascii="Times New Roman" w:hAnsi="Times New Roman" w:eastAsia="方正仿宋_GBK"/>
          <w:color w:val="000000"/>
          <w:sz w:val="32"/>
          <w:szCs w:val="32"/>
        </w:rPr>
        <w:t>万元，卫生健康支出</w:t>
      </w:r>
      <w:r>
        <w:rPr>
          <w:rFonts w:hint="eastAsia" w:ascii="Times New Roman" w:hAnsi="Times New Roman" w:eastAsia="方正仿宋_GBK"/>
          <w:color w:val="000000"/>
          <w:sz w:val="32"/>
          <w:szCs w:val="32"/>
        </w:rPr>
        <w:t>107</w:t>
      </w:r>
      <w:r>
        <w:rPr>
          <w:rFonts w:ascii="Times New Roman" w:hAnsi="Times New Roman" w:eastAsia="方正仿宋_GBK"/>
          <w:color w:val="000000"/>
          <w:sz w:val="32"/>
          <w:szCs w:val="32"/>
        </w:rPr>
        <w:t>万元，节能环保支出</w:t>
      </w:r>
      <w:r>
        <w:rPr>
          <w:rFonts w:hint="eastAsia" w:ascii="Times New Roman" w:hAnsi="Times New Roman" w:eastAsia="方正仿宋_GBK"/>
          <w:color w:val="000000"/>
          <w:sz w:val="32"/>
          <w:szCs w:val="32"/>
        </w:rPr>
        <w:t>517</w:t>
      </w:r>
      <w:r>
        <w:rPr>
          <w:rFonts w:ascii="Times New Roman" w:hAnsi="Times New Roman" w:eastAsia="方正仿宋_GBK"/>
          <w:color w:val="000000"/>
          <w:sz w:val="32"/>
          <w:szCs w:val="32"/>
        </w:rPr>
        <w:t>万元，城乡社区支出</w:t>
      </w:r>
      <w:r>
        <w:rPr>
          <w:rFonts w:hint="eastAsia" w:ascii="Times New Roman" w:hAnsi="Times New Roman" w:eastAsia="方正仿宋_GBK"/>
          <w:color w:val="000000"/>
          <w:sz w:val="32"/>
          <w:szCs w:val="32"/>
        </w:rPr>
        <w:t>595</w:t>
      </w:r>
      <w:r>
        <w:rPr>
          <w:rFonts w:ascii="Times New Roman" w:hAnsi="Times New Roman" w:eastAsia="方正仿宋_GBK"/>
          <w:color w:val="000000"/>
          <w:sz w:val="32"/>
          <w:szCs w:val="32"/>
        </w:rPr>
        <w:t>万元，农林水支出</w:t>
      </w:r>
      <w:r>
        <w:rPr>
          <w:rFonts w:hint="eastAsia" w:ascii="Times New Roman" w:hAnsi="Times New Roman" w:eastAsia="方正仿宋_GBK"/>
          <w:color w:val="000000"/>
          <w:sz w:val="32"/>
          <w:szCs w:val="32"/>
        </w:rPr>
        <w:t>729</w:t>
      </w:r>
      <w:r>
        <w:rPr>
          <w:rFonts w:ascii="Times New Roman" w:hAnsi="Times New Roman" w:eastAsia="方正仿宋_GBK"/>
          <w:color w:val="000000"/>
          <w:sz w:val="32"/>
          <w:szCs w:val="32"/>
        </w:rPr>
        <w:t>万元，住房保障支出</w:t>
      </w:r>
      <w:r>
        <w:rPr>
          <w:rFonts w:hint="eastAsia" w:ascii="Times New Roman" w:hAnsi="Times New Roman" w:eastAsia="方正仿宋_GBK"/>
          <w:color w:val="000000"/>
          <w:sz w:val="32"/>
          <w:szCs w:val="32"/>
        </w:rPr>
        <w:t>70</w:t>
      </w:r>
      <w:r>
        <w:rPr>
          <w:rFonts w:ascii="Times New Roman" w:hAnsi="Times New Roman" w:eastAsia="方正仿宋_GBK"/>
          <w:color w:val="000000"/>
          <w:sz w:val="32"/>
          <w:szCs w:val="32"/>
        </w:rPr>
        <w:t>万元。</w:t>
      </w:r>
    </w:p>
    <w:p>
      <w:pPr>
        <w:numPr>
          <w:ilvl w:val="0"/>
          <w:numId w:val="0"/>
        </w:numPr>
        <w:spacing w:line="594" w:lineRule="exact"/>
        <w:ind w:firstLine="640" w:firstLineChars="200"/>
        <w:rPr>
          <w:rFonts w:ascii="Times New Roman" w:hAnsi="Times New Roman" w:eastAsia="方正仿宋_GBK"/>
          <w:color w:val="000000"/>
          <w:sz w:val="32"/>
          <w:szCs w:val="32"/>
        </w:rPr>
      </w:pPr>
      <w:r>
        <w:rPr>
          <w:rFonts w:hint="eastAsia" w:eastAsia="方正仿宋_GBK"/>
          <w:color w:val="000000"/>
          <w:sz w:val="32"/>
          <w:szCs w:val="32"/>
          <w:highlight w:val="none"/>
          <w:lang w:val="en-US" w:eastAsia="zh-CN"/>
        </w:rPr>
        <w:t>2021年支出3153万元，一般公共预算支出3014万元，政府性基金支出139万元。其中：</w:t>
      </w:r>
      <w:r>
        <w:rPr>
          <w:rFonts w:ascii="Times New Roman" w:hAnsi="Times New Roman" w:eastAsia="方正仿宋_GBK"/>
          <w:color w:val="000000"/>
          <w:sz w:val="32"/>
          <w:szCs w:val="32"/>
        </w:rPr>
        <w:t>一般公共服务支出</w:t>
      </w:r>
      <w:r>
        <w:rPr>
          <w:rFonts w:hint="eastAsia" w:eastAsia="方正仿宋_GBK"/>
          <w:color w:val="000000"/>
          <w:sz w:val="32"/>
          <w:szCs w:val="32"/>
          <w:lang w:val="en-US" w:eastAsia="zh-CN"/>
        </w:rPr>
        <w:t>902</w:t>
      </w:r>
      <w:r>
        <w:rPr>
          <w:rFonts w:ascii="Times New Roman" w:hAnsi="Times New Roman" w:eastAsia="方正仿宋_GBK"/>
          <w:color w:val="000000"/>
          <w:sz w:val="32"/>
          <w:szCs w:val="32"/>
        </w:rPr>
        <w:t>万元，文化旅游体育与传媒支出</w:t>
      </w:r>
      <w:r>
        <w:rPr>
          <w:rFonts w:hint="eastAsia" w:eastAsia="方正仿宋_GBK"/>
          <w:color w:val="000000"/>
          <w:sz w:val="32"/>
          <w:szCs w:val="32"/>
          <w:lang w:val="en-US" w:eastAsia="zh-CN"/>
        </w:rPr>
        <w:t>77</w:t>
      </w:r>
      <w:r>
        <w:rPr>
          <w:rFonts w:ascii="Times New Roman" w:hAnsi="Times New Roman" w:eastAsia="方正仿宋_GBK"/>
          <w:color w:val="000000"/>
          <w:sz w:val="32"/>
          <w:szCs w:val="32"/>
        </w:rPr>
        <w:t>万元，社会保障和就业支出</w:t>
      </w:r>
      <w:r>
        <w:rPr>
          <w:rFonts w:hint="eastAsia" w:eastAsia="方正仿宋_GBK"/>
          <w:color w:val="000000"/>
          <w:sz w:val="32"/>
          <w:szCs w:val="32"/>
          <w:lang w:val="en-US" w:eastAsia="zh-CN"/>
        </w:rPr>
        <w:t>380</w:t>
      </w:r>
      <w:r>
        <w:rPr>
          <w:rFonts w:ascii="Times New Roman" w:hAnsi="Times New Roman" w:eastAsia="方正仿宋_GBK"/>
          <w:color w:val="000000"/>
          <w:sz w:val="32"/>
          <w:szCs w:val="32"/>
        </w:rPr>
        <w:t>万元，卫生健康支出</w:t>
      </w:r>
      <w:r>
        <w:rPr>
          <w:rFonts w:hint="eastAsia" w:eastAsia="方正仿宋_GBK"/>
          <w:color w:val="000000"/>
          <w:sz w:val="32"/>
          <w:szCs w:val="32"/>
          <w:lang w:val="en-US" w:eastAsia="zh-CN"/>
        </w:rPr>
        <w:t>94</w:t>
      </w:r>
      <w:r>
        <w:rPr>
          <w:rFonts w:ascii="Times New Roman" w:hAnsi="Times New Roman" w:eastAsia="方正仿宋_GBK"/>
          <w:color w:val="000000"/>
          <w:sz w:val="32"/>
          <w:szCs w:val="32"/>
        </w:rPr>
        <w:t>万元，节能环保支出</w:t>
      </w:r>
      <w:r>
        <w:rPr>
          <w:rFonts w:hint="eastAsia" w:eastAsia="方正仿宋_GBK"/>
          <w:color w:val="000000"/>
          <w:sz w:val="32"/>
          <w:szCs w:val="32"/>
          <w:lang w:val="en-US" w:eastAsia="zh-CN"/>
        </w:rPr>
        <w:t>534</w:t>
      </w:r>
      <w:r>
        <w:rPr>
          <w:rFonts w:ascii="Times New Roman" w:hAnsi="Times New Roman" w:eastAsia="方正仿宋_GBK"/>
          <w:color w:val="000000"/>
          <w:sz w:val="32"/>
          <w:szCs w:val="32"/>
        </w:rPr>
        <w:t>万元，城乡社区支出</w:t>
      </w:r>
      <w:r>
        <w:rPr>
          <w:rFonts w:hint="eastAsia" w:eastAsia="方正仿宋_GBK"/>
          <w:color w:val="000000"/>
          <w:sz w:val="32"/>
          <w:szCs w:val="32"/>
          <w:lang w:val="en-US" w:eastAsia="zh-CN"/>
        </w:rPr>
        <w:t>325</w:t>
      </w:r>
      <w:r>
        <w:rPr>
          <w:rFonts w:ascii="Times New Roman" w:hAnsi="Times New Roman" w:eastAsia="方正仿宋_GBK"/>
          <w:color w:val="000000"/>
          <w:sz w:val="32"/>
          <w:szCs w:val="32"/>
        </w:rPr>
        <w:t>万元，农林水支出</w:t>
      </w:r>
      <w:r>
        <w:rPr>
          <w:rFonts w:hint="eastAsia" w:eastAsia="方正仿宋_GBK"/>
          <w:color w:val="000000"/>
          <w:sz w:val="32"/>
          <w:szCs w:val="32"/>
          <w:lang w:val="en-US" w:eastAsia="zh-CN"/>
        </w:rPr>
        <w:t>744</w:t>
      </w:r>
      <w:r>
        <w:rPr>
          <w:rFonts w:ascii="Times New Roman" w:hAnsi="Times New Roman" w:eastAsia="方正仿宋_GBK"/>
          <w:color w:val="000000"/>
          <w:sz w:val="32"/>
          <w:szCs w:val="32"/>
        </w:rPr>
        <w:t>万元，住房保障支出</w:t>
      </w:r>
      <w:r>
        <w:rPr>
          <w:rFonts w:hint="eastAsia" w:eastAsia="方正仿宋_GBK"/>
          <w:color w:val="000000"/>
          <w:sz w:val="32"/>
          <w:szCs w:val="32"/>
          <w:lang w:val="en-US" w:eastAsia="zh-CN"/>
        </w:rPr>
        <w:t>97</w:t>
      </w:r>
      <w:r>
        <w:rPr>
          <w:rFonts w:ascii="Times New Roman" w:hAnsi="Times New Roman" w:eastAsia="方正仿宋_GBK"/>
          <w:color w:val="000000"/>
          <w:sz w:val="32"/>
          <w:szCs w:val="32"/>
        </w:rPr>
        <w:t>万元。</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numPr>
          <w:ilvl w:val="0"/>
          <w:numId w:val="0"/>
        </w:numPr>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（一）绩效评价目的</w:t>
      </w:r>
      <w:bookmarkStart w:id="0" w:name="_GoBack"/>
      <w:bookmarkEnd w:id="0"/>
    </w:p>
    <w:p>
      <w:pPr>
        <w:numPr>
          <w:ilvl w:val="0"/>
          <w:numId w:val="0"/>
        </w:numPr>
        <w:spacing w:line="594" w:lineRule="exact"/>
        <w:ind w:firstLine="640" w:firstLineChars="200"/>
        <w:rPr>
          <w:rFonts w:ascii="Arial" w:hAnsi="Arial" w:eastAsia="宋体" w:cs="Arial"/>
          <w:b w:val="0"/>
          <w:bCs w:val="0"/>
          <w:i w:val="0"/>
          <w:iCs w:val="0"/>
          <w:caps w:val="0"/>
          <w:color w:val="333333"/>
          <w:spacing w:val="0"/>
          <w:sz w:val="27"/>
          <w:szCs w:val="27"/>
        </w:rPr>
      </w:pPr>
      <w:r>
        <w:rPr>
          <w:rFonts w:ascii="Times New Roman" w:hAnsi="Times New Roman" w:eastAsia="方正仿宋_GBK"/>
          <w:color w:val="000000"/>
          <w:sz w:val="32"/>
          <w:szCs w:val="32"/>
        </w:rPr>
        <w:t>严格执行《预算法》，强化支出责任，提高资金使用效益，对</w:t>
      </w:r>
      <w:r>
        <w:rPr>
          <w:rFonts w:hint="eastAsia" w:ascii="Times New Roman" w:hAnsi="Times New Roman" w:eastAsia="方正仿宋_GBK"/>
          <w:color w:val="000000"/>
          <w:sz w:val="32"/>
          <w:szCs w:val="32"/>
          <w:lang w:eastAsia="zh-CN"/>
        </w:rPr>
        <w:t>各</w:t>
      </w:r>
      <w:r>
        <w:rPr>
          <w:rFonts w:ascii="Times New Roman" w:hAnsi="Times New Roman" w:eastAsia="方正仿宋_GBK"/>
          <w:color w:val="000000"/>
          <w:sz w:val="32"/>
          <w:szCs w:val="32"/>
        </w:rPr>
        <w:t>项目支出情况开展绩效评价，践行“花钱必问效、无效必问责”。</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（三）绩效评价工作过程</w:t>
      </w:r>
    </w:p>
    <w:p>
      <w:pPr>
        <w:numPr>
          <w:ilvl w:val="0"/>
          <w:numId w:val="0"/>
        </w:numPr>
        <w:spacing w:line="596" w:lineRule="exact"/>
        <w:ind w:firstLine="640" w:firstLineChars="200"/>
        <w:rPr>
          <w:rFonts w:hint="eastAsia" w:eastAsia="方正仿宋_GBK"/>
          <w:sz w:val="32"/>
          <w:szCs w:val="32"/>
          <w:highlight w:val="none"/>
          <w:lang w:val="en-US" w:eastAsia="zh-CN"/>
        </w:rPr>
      </w:pPr>
      <w:r>
        <w:rPr>
          <w:rFonts w:hint="eastAsia" w:eastAsia="方正仿宋_GBK"/>
          <w:sz w:val="32"/>
          <w:szCs w:val="32"/>
          <w:highlight w:val="none"/>
          <w:lang w:val="en-US" w:eastAsia="zh-CN"/>
        </w:rPr>
        <w:t>1.前期准备：召开培训会议，统一学习评价指标体系和绩效相关文件精神。</w:t>
      </w:r>
    </w:p>
    <w:p>
      <w:pPr>
        <w:numPr>
          <w:ilvl w:val="0"/>
          <w:numId w:val="0"/>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2.组织实施：按照规定的工作程序组织各部门开展绩效评价自评工作，要求注重评价质量，撰写项目自评表。</w:t>
      </w:r>
    </w:p>
    <w:p>
      <w:pPr>
        <w:numPr>
          <w:ilvl w:val="0"/>
          <w:numId w:val="0"/>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3.分析评价：对评价结果进行整改，充分运用分析评价引领。</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numPr>
          <w:ilvl w:val="0"/>
          <w:numId w:val="0"/>
        </w:numPr>
        <w:spacing w:line="596" w:lineRule="exact"/>
        <w:ind w:firstLine="640" w:firstLineChars="200"/>
        <w:rPr>
          <w:rFonts w:hint="eastAsia" w:eastAsia="方正仿宋_GBK"/>
          <w:sz w:val="32"/>
          <w:szCs w:val="32"/>
          <w:highlight w:val="none"/>
          <w:lang w:val="en-US" w:eastAsia="zh-CN"/>
        </w:rPr>
      </w:pPr>
      <w:r>
        <w:rPr>
          <w:rFonts w:hint="eastAsia" w:eastAsia="方正仿宋_GBK"/>
          <w:sz w:val="32"/>
          <w:szCs w:val="32"/>
          <w:highlight w:val="none"/>
          <w:lang w:val="en-US" w:eastAsia="zh-CN"/>
        </w:rPr>
        <w:t>（一）项目资金情况分析</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1.项目资金到位情况：2021年资金到位情况较好，未影响项目实施。</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2.项目资金使用情况：资金使用合规，无截留、挪用等现象，资金使用效益明显。</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3.项目资金管理情况：专项立项依据充分，有资金管理办法，资金管理办法较规范。</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（二）项目实施情况分析</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1.项目组织情况分析</w:t>
      </w:r>
      <w:r>
        <w:rPr>
          <w:rFonts w:hint="eastAsia" w:eastAsia="方正仿宋_GBK"/>
          <w:sz w:val="32"/>
          <w:szCs w:val="32"/>
          <w:lang w:val="en-US" w:eastAsia="zh-CN"/>
        </w:rPr>
        <w:t>：</w:t>
      </w:r>
      <w:r>
        <w:rPr>
          <w:rFonts w:hint="default" w:eastAsia="方正仿宋_GBK"/>
          <w:sz w:val="32"/>
          <w:szCs w:val="32"/>
          <w:lang w:val="en-US" w:eastAsia="zh-CN"/>
        </w:rPr>
        <w:t>项目组织有计划有措施，严格执行相关制度和文件规定，顺利完成项目预期目标。</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2.项目管理情况分析</w:t>
      </w:r>
      <w:r>
        <w:rPr>
          <w:rFonts w:hint="eastAsia" w:eastAsia="方正仿宋_GBK"/>
          <w:sz w:val="32"/>
          <w:szCs w:val="32"/>
          <w:lang w:val="en-US" w:eastAsia="zh-CN"/>
        </w:rPr>
        <w:t>：</w:t>
      </w:r>
      <w:r>
        <w:rPr>
          <w:rFonts w:hint="default" w:eastAsia="方正仿宋_GBK"/>
          <w:sz w:val="32"/>
          <w:szCs w:val="32"/>
          <w:lang w:val="en-US" w:eastAsia="zh-CN"/>
        </w:rPr>
        <w:t>领导重视，专人管理，责任明确。</w:t>
      </w:r>
    </w:p>
    <w:p>
      <w:pPr>
        <w:spacing w:line="596" w:lineRule="exact"/>
        <w:ind w:firstLine="540" w:firstLineChars="200"/>
        <w:rPr>
          <w:rFonts w:hint="default" w:eastAsia="方正仿宋_GBK"/>
          <w:sz w:val="32"/>
          <w:szCs w:val="32"/>
          <w:lang w:val="en-US" w:eastAsia="zh-CN"/>
        </w:rPr>
      </w:pPr>
      <w:r>
        <w:rPr>
          <w:rFonts w:ascii="Arial" w:hAnsi="Arial" w:eastAsia="宋体" w:cs="Arial"/>
          <w:b w:val="0"/>
          <w:bCs w:val="0"/>
          <w:i w:val="0"/>
          <w:iCs w:val="0"/>
          <w:caps w:val="0"/>
          <w:color w:val="333333"/>
          <w:spacing w:val="0"/>
          <w:sz w:val="27"/>
          <w:szCs w:val="27"/>
        </w:rPr>
        <w:t>（</w:t>
      </w:r>
      <w:r>
        <w:rPr>
          <w:rFonts w:hint="default" w:eastAsia="方正仿宋_GBK"/>
          <w:sz w:val="32"/>
          <w:szCs w:val="32"/>
          <w:lang w:val="en-US" w:eastAsia="zh-CN"/>
        </w:rPr>
        <w:t>三）项目绩效情况分析</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本单位2021年共实施项目46个，其中自评等级为优的38个，自评等级为良的5个，等级为中的3个。总体来说绩效情况较好，执行率较高，大部分项目都达到了年初设定的绩效目标。</w:t>
      </w:r>
    </w:p>
    <w:p>
      <w:pPr>
        <w:spacing w:line="596" w:lineRule="exact"/>
        <w:ind w:firstLine="640" w:firstLineChars="200"/>
        <w:rPr>
          <w:rFonts w:hint="default" w:eastAsia="方正黑体_GBK"/>
          <w:sz w:val="32"/>
          <w:szCs w:val="32"/>
          <w:lang w:val="en-US" w:eastAsia="zh-CN"/>
        </w:rPr>
      </w:pPr>
      <w:r>
        <w:rPr>
          <w:rFonts w:hint="eastAsia" w:eastAsia="方正黑体_GBK"/>
          <w:sz w:val="32"/>
          <w:szCs w:val="32"/>
          <w:lang w:val="en-US" w:eastAsia="zh-CN"/>
        </w:rPr>
        <w:t>四、</w:t>
      </w:r>
      <w:r>
        <w:rPr>
          <w:rFonts w:hint="default" w:eastAsia="方正黑体_GBK"/>
          <w:sz w:val="32"/>
          <w:szCs w:val="32"/>
          <w:lang w:val="en-US" w:eastAsia="zh-CN"/>
        </w:rPr>
        <w:t>主要经验及做法</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1.在进行项目申报时，提前下达任务，给各部门充分的准备时间进行前期调研、分析工作，切忌临时通知导致各部门敷衍了事。</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2.财政办相关工作人员要对各部门申报的项目进行审核，存在不合理的地方应退回改正。</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3.要求各部门负责人在实施项目过程中对项目进行监管，确保保质按时的完成预计项目。</w:t>
      </w:r>
    </w:p>
    <w:p>
      <w:pPr>
        <w:spacing w:line="596" w:lineRule="exact"/>
        <w:ind w:firstLine="640" w:firstLineChars="200"/>
        <w:rPr>
          <w:rFonts w:hint="default" w:eastAsia="方正黑体_GBK"/>
          <w:sz w:val="32"/>
          <w:szCs w:val="32"/>
          <w:lang w:val="en-US" w:eastAsia="zh-CN"/>
        </w:rPr>
      </w:pPr>
      <w:r>
        <w:rPr>
          <w:rFonts w:hint="eastAsia" w:eastAsia="方正黑体_GBK"/>
          <w:sz w:val="32"/>
          <w:szCs w:val="32"/>
          <w:lang w:val="en-US" w:eastAsia="zh-CN"/>
        </w:rPr>
        <w:t>五、</w:t>
      </w:r>
      <w:r>
        <w:rPr>
          <w:rFonts w:hint="default" w:eastAsia="方正黑体_GBK"/>
          <w:sz w:val="32"/>
          <w:szCs w:val="32"/>
          <w:lang w:val="en-US" w:eastAsia="zh-CN"/>
        </w:rPr>
        <w:t>存在的问题和建议</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（一）存在的问题：</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1.预计准确性不够，如人代会议工作经费、计生工作经费等在年初预计人数时对人数的把握不够准确，最后导致金额预计过大，而实际支出较少，预计执行率不是很高。</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2.某些支出没有在该项目中列支，如印刷费等在经常性公用经费中列支。</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3.养鱼池转产、住户收支调查专项经费、2021劳动力调查补贴等项目验收较晚，导致经费不能在2021年底前支出。</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（二）建议：</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1.各部门在申报项目时要据实调查并结合上一年项目完成情况对延续项目进行准确评估，提高预计的准确率。</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2.财务人员在列支经费时，严格按照年初预计，在对应的项目中支出。</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3.各部门工作人员提高工作效率，在项目完成之后及时验收并提交相关单据给财政办，保证在规定时间内支出经费。</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4.全体人员重视项目绩效的管理。不论是在年初申报时还是在项目执行过程中，始终秉着高标准严要求进行管理。</w:t>
      </w:r>
    </w:p>
    <w:p>
      <w:pPr>
        <w:spacing w:line="596" w:lineRule="exact"/>
        <w:ind w:firstLine="640" w:firstLineChars="200"/>
        <w:jc w:val="right"/>
        <w:rPr>
          <w:rFonts w:eastAsia="方正仿宋_GBK"/>
          <w:sz w:val="32"/>
          <w:szCs w:val="32"/>
        </w:rPr>
      </w:pPr>
    </w:p>
    <w:p>
      <w:pPr>
        <w:spacing w:line="596" w:lineRule="exact"/>
        <w:ind w:firstLine="640" w:firstLineChars="200"/>
        <w:jc w:val="both"/>
        <w:rPr>
          <w:rFonts w:hint="eastAsia" w:eastAsia="方正仿宋_GBK"/>
          <w:sz w:val="32"/>
          <w:szCs w:val="32"/>
          <w:lang w:val="en-US" w:eastAsia="zh-CN"/>
        </w:rPr>
      </w:pPr>
      <w:r>
        <w:rPr>
          <w:rFonts w:hint="eastAsia" w:eastAsia="方正仿宋_GBK"/>
          <w:sz w:val="32"/>
          <w:szCs w:val="32"/>
          <w:lang w:val="en-US" w:eastAsia="zh-CN"/>
        </w:rPr>
        <w:t xml:space="preserve">                     重庆市璧山区三合镇人民政府</w:t>
      </w:r>
    </w:p>
    <w:p>
      <w:pPr>
        <w:spacing w:line="596" w:lineRule="exact"/>
        <w:ind w:firstLine="640" w:firstLineChars="200"/>
        <w:jc w:val="both"/>
        <w:rPr>
          <w:rFonts w:hint="default" w:eastAsia="方正仿宋_GBK"/>
          <w:sz w:val="32"/>
          <w:szCs w:val="32"/>
          <w:lang w:val="en-US" w:eastAsia="zh-CN"/>
        </w:rPr>
      </w:pPr>
      <w:r>
        <w:rPr>
          <w:rFonts w:hint="eastAsia" w:eastAsia="方正仿宋_GBK"/>
          <w:sz w:val="32"/>
          <w:szCs w:val="32"/>
          <w:lang w:val="en-US" w:eastAsia="zh-CN"/>
        </w:rPr>
        <w:t xml:space="preserve">                               2022.03.22</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1F0B3C71"/>
    <w:rsid w:val="2D485B6F"/>
    <w:rsid w:val="3DD86A9B"/>
    <w:rsid w:val="3F656A54"/>
    <w:rsid w:val="4BF77D29"/>
    <w:rsid w:val="59CE54CA"/>
    <w:rsid w:val="5BC8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37</Words>
  <Characters>214</Characters>
  <Lines>1</Lines>
  <Paragraphs>1</Paragraphs>
  <TotalTime>9</TotalTime>
  <ScaleCrop>false</ScaleCrop>
  <LinksUpToDate>false</LinksUpToDate>
  <CharactersWithSpaces>250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小孩小孩你别馋</cp:lastModifiedBy>
  <cp:lastPrinted>2020-04-20T08:58:00Z</cp:lastPrinted>
  <dcterms:modified xsi:type="dcterms:W3CDTF">2022-03-22T08:22:55Z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2B39E111D3DF42EF9BB3D2D7DD94D65C</vt:lpwstr>
  </property>
</Properties>
</file>