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625" w:afterLines="200" w:line="460" w:lineRule="exact"/>
        <w:jc w:val="both"/>
        <w:textAlignment w:val="auto"/>
        <w:outlineLvl w:val="9"/>
        <w:rPr>
          <w:rFonts w:hint="eastAsia" w:ascii="Times New Roman" w:hAnsi="Times New Roman" w:eastAsia="方正小标宋_GBK" w:cs="Times New Roman"/>
          <w:color w:val="auto"/>
          <w:sz w:val="44"/>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方正小标宋_GBK" w:hAnsi="方正小标宋_GBK" w:eastAsia="方正小标宋_GBK" w:cs="方正小标宋_GBK"/>
          <w:color w:val="auto"/>
          <w:sz w:val="48"/>
          <w:szCs w:val="48"/>
          <w:highlight w:val="none"/>
          <w:lang w:val="en-US" w:eastAsia="zh-CN"/>
        </w:rPr>
      </w:pPr>
      <w:r>
        <w:rPr>
          <w:rFonts w:hint="eastAsia" w:ascii="方正小标宋_GBK" w:hAnsi="方正小标宋_GBK" w:eastAsia="方正小标宋_GBK" w:cs="方正小标宋_GBK"/>
          <w:color w:val="auto"/>
          <w:sz w:val="48"/>
          <w:szCs w:val="48"/>
          <w:highlight w:val="none"/>
          <w:lang w:val="en-US" w:eastAsia="zh-CN"/>
        </w:rPr>
        <w:t>重庆市璧山区人力资源和社会保障局</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lang w:eastAsia="zh-CN"/>
        </w:rPr>
        <w:t>2021</w:t>
      </w:r>
      <w:r>
        <w:rPr>
          <w:rFonts w:hint="eastAsia" w:ascii="方正小标宋_GBK" w:hAnsi="方正小标宋_GBK" w:eastAsia="方正小标宋_GBK" w:cs="方正小标宋_GBK"/>
          <w:color w:val="auto"/>
          <w:sz w:val="48"/>
          <w:szCs w:val="48"/>
          <w:highlight w:val="none"/>
        </w:rPr>
        <w:t>年整体支出绩效</w:t>
      </w:r>
      <w:r>
        <w:rPr>
          <w:rFonts w:hint="eastAsia" w:ascii="方正小标宋_GBK" w:hAnsi="方正小标宋_GBK" w:eastAsia="方正小标宋_GBK" w:cs="方正小标宋_GBK"/>
          <w:color w:val="auto"/>
          <w:sz w:val="48"/>
          <w:szCs w:val="48"/>
          <w:highlight w:val="none"/>
          <w:lang w:eastAsia="zh-CN"/>
        </w:rPr>
        <w:t>自</w:t>
      </w:r>
      <w:r>
        <w:rPr>
          <w:rFonts w:hint="eastAsia" w:ascii="方正小标宋_GBK" w:hAnsi="方正小标宋_GBK" w:eastAsia="方正小标宋_GBK" w:cs="方正小标宋_GBK"/>
          <w:color w:val="auto"/>
          <w:sz w:val="48"/>
          <w:szCs w:val="48"/>
          <w:highlight w:val="none"/>
        </w:rPr>
        <w:t>评报告</w:t>
      </w:r>
    </w:p>
    <w:p>
      <w:pPr>
        <w:spacing w:line="596" w:lineRule="exact"/>
        <w:jc w:val="center"/>
        <w:outlineLvl w:val="9"/>
        <w:rPr>
          <w:rFonts w:hint="eastAsia" w:ascii="方正小标宋_GBK" w:hAnsi="方正小标宋_GBK" w:eastAsia="方正小标宋_GBK" w:cs="方正小标宋_GBK"/>
          <w:color w:val="auto"/>
          <w:sz w:val="28"/>
          <w:szCs w:val="28"/>
          <w:highlight w:val="none"/>
          <w:lang w:val="en-US" w:eastAsia="zh-CN"/>
        </w:rPr>
      </w:pPr>
    </w:p>
    <w:p>
      <w:pPr>
        <w:spacing w:line="596" w:lineRule="exact"/>
        <w:jc w:val="center"/>
        <w:outlineLvl w:val="9"/>
        <w:rPr>
          <w:rFonts w:hint="eastAsia" w:ascii="方正小标宋_GBK" w:hAnsi="方正小标宋_GBK" w:eastAsia="方正小标宋_GBK" w:cs="方正小标宋_GBK"/>
          <w:color w:val="auto"/>
          <w:sz w:val="28"/>
          <w:szCs w:val="28"/>
          <w:highlight w:val="none"/>
          <w:lang w:val="en-US" w:eastAsia="zh-CN"/>
        </w:rPr>
      </w:pPr>
    </w:p>
    <w:p>
      <w:pPr>
        <w:spacing w:line="596" w:lineRule="exact"/>
        <w:jc w:val="center"/>
        <w:outlineLvl w:val="9"/>
        <w:rPr>
          <w:rFonts w:hint="eastAsia" w:ascii="方正小标宋_GBK" w:hAnsi="方正小标宋_GBK" w:eastAsia="方正小标宋_GBK" w:cs="方正小标宋_GBK"/>
          <w:color w:val="auto"/>
          <w:sz w:val="28"/>
          <w:szCs w:val="28"/>
          <w:highlight w:val="none"/>
          <w:lang w:val="en-US" w:eastAsia="zh-CN"/>
        </w:rPr>
      </w:pPr>
    </w:p>
    <w:p>
      <w:pPr>
        <w:pStyle w:val="2"/>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spacing w:line="596" w:lineRule="exact"/>
        <w:jc w:val="center"/>
        <w:outlineLvl w:val="9"/>
        <w:rPr>
          <w:rFonts w:hint="eastAsia" w:ascii="方正黑体_GBK" w:hAnsi="方正黑体_GBK" w:eastAsia="方正黑体_GBK" w:cs="方正黑体_GBK"/>
          <w:color w:val="auto"/>
          <w:sz w:val="36"/>
          <w:szCs w:val="36"/>
          <w:highlight w:val="none"/>
          <w:lang w:val="en-US" w:eastAsia="zh-CN"/>
        </w:rPr>
      </w:pPr>
      <w:r>
        <w:rPr>
          <w:rFonts w:hint="eastAsia" w:ascii="方正黑体_GBK" w:hAnsi="方正黑体_GBK" w:eastAsia="方正黑体_GBK" w:cs="方正黑体_GBK"/>
          <w:color w:val="auto"/>
          <w:sz w:val="36"/>
          <w:szCs w:val="36"/>
          <w:highlight w:val="none"/>
          <w:lang w:val="en-US" w:eastAsia="zh-CN"/>
        </w:rPr>
        <w:t>2022年3月</w:t>
      </w:r>
    </w:p>
    <w:p>
      <w:pPr>
        <w:pStyle w:val="2"/>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pStyle w:val="3"/>
        <w:rPr>
          <w:rFonts w:hint="eastAsia" w:ascii="方正小标宋_GBK" w:hAnsi="方正小标宋_GBK" w:eastAsia="方正小标宋_GBK" w:cs="方正小标宋_GBK"/>
          <w:color w:val="auto"/>
          <w:sz w:val="28"/>
          <w:szCs w:val="28"/>
          <w:highlight w:val="none"/>
          <w:lang w:val="en-US" w:eastAsia="zh-CN"/>
        </w:rPr>
      </w:pPr>
    </w:p>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目</w:t>
      </w:r>
      <w:r>
        <w:rPr>
          <w:rFonts w:hint="eastAsia" w:ascii="方正小标宋_GBK" w:hAnsi="方正小标宋_GBK" w:eastAsia="方正小标宋_GBK" w:cs="方正小标宋_GBK"/>
          <w:b w:val="0"/>
          <w:bCs w:val="0"/>
          <w:sz w:val="36"/>
          <w:szCs w:val="36"/>
          <w:lang w:val="en-US" w:eastAsia="zh-CN"/>
        </w:rPr>
        <w:t xml:space="preserve"> </w:t>
      </w:r>
      <w:r>
        <w:rPr>
          <w:rFonts w:hint="eastAsia" w:ascii="方正小标宋_GBK" w:hAnsi="方正小标宋_GBK" w:eastAsia="方正小标宋_GBK" w:cs="方正小标宋_GBK"/>
          <w:b w:val="0"/>
          <w:bCs w:val="0"/>
          <w:sz w:val="36"/>
          <w:szCs w:val="36"/>
        </w:rPr>
        <w:t>录</w:t>
      </w:r>
    </w:p>
    <w:p>
      <w:pPr>
        <w:pStyle w:val="2"/>
        <w:rPr>
          <w:rFonts w:hint="eastAsia"/>
        </w:rPr>
      </w:pP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TOC \o "1-3" \h \u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_Toc28626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一、基本情况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_Toc28626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_Toc11264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highlight w:val="none"/>
        </w:rPr>
        <w:t>（一）部门基本情况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_Toc11264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_Toc20790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二</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预算及支出情况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val="en-US" w:eastAsia="zh-CN"/>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_Toc23618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highlight w:val="none"/>
          <w:lang w:val="en-US" w:eastAsia="zh-CN"/>
        </w:rPr>
        <w:t>二、绩效评价基本情况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_Toc23618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_Toc29512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highlight w:val="none"/>
        </w:rPr>
        <w:t>（一）绩效评价目的</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_Toc29512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_Toc19749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highlight w:val="none"/>
        </w:rPr>
        <w:t>（二）绩效评价原则、评价指标体系、评价方法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_Toc19749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_Toc19569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bCs/>
          <w:sz w:val="28"/>
          <w:szCs w:val="28"/>
          <w:lang w:val="en-US" w:eastAsia="zh-CN"/>
        </w:rPr>
        <w:t>1.绩效评价原则</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_Toc19569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_Toc10963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2.评价指标体系</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_Toc10963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_Toc12816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bCs/>
          <w:sz w:val="28"/>
          <w:szCs w:val="28"/>
          <w:lang w:val="en-US" w:eastAsia="zh-CN"/>
        </w:rPr>
        <w:t>3.评价方法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_Toc12816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_Toc20381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三）绩效评价工作过程</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_Toc20381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_Toc19930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bCs/>
          <w:sz w:val="28"/>
          <w:szCs w:val="28"/>
          <w:lang w:val="en-US" w:eastAsia="zh-CN"/>
        </w:rPr>
        <w:t>1.评价工作组织架构及审批流程</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_Toc19930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_Toc15466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bCs/>
          <w:sz w:val="28"/>
          <w:szCs w:val="28"/>
          <w:lang w:val="en-US" w:eastAsia="zh-CN"/>
        </w:rPr>
        <w:t>2.项目基础数据和信息采集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_Toc15466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_Toc11026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bCs/>
          <w:sz w:val="28"/>
          <w:szCs w:val="28"/>
          <w:lang w:val="en-US" w:eastAsia="zh-CN"/>
        </w:rPr>
        <w:t>3.实地调查</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_Toc11026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_Toc3456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三、绩效评价情况及结论</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US" w:eastAsia="zh-CN"/>
        </w:rPr>
        <w:fldChar w:fldCharType="end"/>
      </w:r>
      <w:r>
        <w:rPr>
          <w:rFonts w:hint="eastAsia" w:ascii="方正仿宋_GBK" w:hAnsi="方正仿宋_GBK" w:eastAsia="方正仿宋_GBK" w:cs="方正仿宋_GBK"/>
          <w:sz w:val="28"/>
          <w:szCs w:val="28"/>
          <w:lang w:val="en-US" w:eastAsia="zh-CN"/>
        </w:rPr>
        <w:t>1</w:t>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_Toc692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（一）投入评价情况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US" w:eastAsia="zh-CN"/>
        </w:rPr>
        <w:fldChar w:fldCharType="end"/>
      </w:r>
      <w:r>
        <w:rPr>
          <w:rFonts w:hint="eastAsia" w:ascii="方正仿宋_GBK" w:hAnsi="方正仿宋_GBK" w:eastAsia="方正仿宋_GBK" w:cs="方正仿宋_GBK"/>
          <w:sz w:val="28"/>
          <w:szCs w:val="28"/>
          <w:lang w:val="en-US" w:eastAsia="zh-CN"/>
        </w:rPr>
        <w:t>1</w:t>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_Toc5774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t>1.目标设定</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_Toc5774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_Toc26058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t>2.预算配置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_Toc26058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_Toc26668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（二）过程评价情况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_Toc26668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_Toc8057 </w:instrText>
      </w:r>
      <w:r>
        <w:rPr>
          <w:rFonts w:hint="eastAsia" w:ascii="方正仿宋_GBK" w:hAnsi="方正仿宋_GBK" w:eastAsia="方正仿宋_GBK" w:cs="方正仿宋_GBK"/>
          <w:sz w:val="28"/>
          <w:szCs w:val="28"/>
          <w:lang w:val="en-US" w:eastAsia="zh-CN"/>
        </w:rPr>
        <w:fldChar w:fldCharType="separate"/>
      </w:r>
      <w:r>
        <w:rPr>
          <w:rFonts w:hint="default"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val="en-US" w:eastAsia="zh-CN"/>
        </w:rPr>
        <w:t>预算执行</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_Toc8057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_Toc21028 </w:instrText>
      </w:r>
      <w:r>
        <w:rPr>
          <w:rFonts w:hint="eastAsia" w:ascii="方正仿宋_GBK" w:hAnsi="方正仿宋_GBK" w:eastAsia="方正仿宋_GBK" w:cs="方正仿宋_GBK"/>
          <w:sz w:val="28"/>
          <w:szCs w:val="28"/>
          <w:lang w:val="en-US" w:eastAsia="zh-CN"/>
        </w:rPr>
        <w:fldChar w:fldCharType="separate"/>
      </w:r>
      <w:r>
        <w:rPr>
          <w:rFonts w:hint="default"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US" w:eastAsia="zh-CN"/>
        </w:rPr>
        <w:t>预算管理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_Toc21028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_Toc13466 </w:instrText>
      </w:r>
      <w:r>
        <w:rPr>
          <w:rFonts w:hint="eastAsia" w:ascii="方正仿宋_GBK" w:hAnsi="方正仿宋_GBK" w:eastAsia="方正仿宋_GBK" w:cs="方正仿宋_GBK"/>
          <w:sz w:val="28"/>
          <w:szCs w:val="28"/>
          <w:lang w:val="en-US" w:eastAsia="zh-CN"/>
        </w:rPr>
        <w:fldChar w:fldCharType="separate"/>
      </w:r>
      <w:r>
        <w:rPr>
          <w:rFonts w:hint="default"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val="en-US" w:eastAsia="zh-CN"/>
        </w:rPr>
        <w:t>资产管理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_Toc13466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_Toc20805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产出评价情况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_Toc20805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_Toc3216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（四）效益评价情况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_Toc3216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_Toc29029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t>1.社会效益</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_Toc29029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_Toc25850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t>2.社会公众满意度</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_Toc25850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_Toc4272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四、主要经验及做法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val="en-US" w:eastAsia="zh-CN"/>
        </w:rPr>
        <w:fldChar w:fldCharType="end"/>
      </w:r>
      <w:r>
        <w:rPr>
          <w:rFonts w:hint="eastAsia" w:ascii="方正仿宋_GBK" w:hAnsi="方正仿宋_GBK" w:eastAsia="方正仿宋_GBK" w:cs="方正仿宋_GBK"/>
          <w:sz w:val="28"/>
          <w:szCs w:val="28"/>
          <w:lang w:val="en-US" w:eastAsia="zh-CN"/>
        </w:rPr>
        <w:t>1</w:t>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_Toc29725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kern w:val="2"/>
          <w:sz w:val="28"/>
          <w:szCs w:val="28"/>
          <w:lang w:val="en-US" w:eastAsia="zh-CN" w:bidi="ar-SA"/>
        </w:rPr>
        <w:t>坚持就业优先战略</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val="en-US" w:eastAsia="zh-CN"/>
        </w:rPr>
        <w:fldChar w:fldCharType="end"/>
      </w:r>
      <w:r>
        <w:rPr>
          <w:rFonts w:hint="eastAsia" w:ascii="方正仿宋_GBK" w:hAnsi="方正仿宋_GBK" w:eastAsia="方正仿宋_GBK" w:cs="方正仿宋_GBK"/>
          <w:sz w:val="28"/>
          <w:szCs w:val="28"/>
          <w:lang w:val="en-US" w:eastAsia="zh-CN"/>
        </w:rPr>
        <w:t>1</w:t>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_Toc26713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kern w:val="2"/>
          <w:sz w:val="28"/>
          <w:szCs w:val="28"/>
          <w:lang w:val="en-US" w:eastAsia="zh-CN" w:bidi="ar-SA"/>
        </w:rPr>
        <w:t>推动社会保障机制更加公平更可持续</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_Toc26713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_Toc31114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kern w:val="2"/>
          <w:sz w:val="28"/>
          <w:szCs w:val="28"/>
          <w:lang w:val="en-US" w:eastAsia="zh-CN" w:bidi="ar-SA"/>
        </w:rPr>
        <w:t>深入落实人才强区战略.......................................</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_Toc31114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pStyle w:val="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_Toc24567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sz w:val="28"/>
          <w:szCs w:val="28"/>
        </w:rPr>
        <w:t>五、存在的问题和建议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_Toc24567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val="en-US" w:eastAsia="zh-CN"/>
        </w:rPr>
        <w:fldChar w:fldCharType="begin"/>
      </w:r>
      <w:r>
        <w:rPr>
          <w:rFonts w:hint="eastAsia" w:ascii="方正仿宋_GBK" w:hAnsi="方正仿宋_GBK" w:eastAsia="方正仿宋_GBK" w:cs="方正仿宋_GBK"/>
          <w:sz w:val="28"/>
          <w:szCs w:val="28"/>
          <w:lang w:val="en-US" w:eastAsia="zh-CN"/>
        </w:rPr>
        <w:instrText xml:space="preserve"> HYPERLINK \l _Toc29599 </w:instrText>
      </w:r>
      <w:r>
        <w:rPr>
          <w:rFonts w:hint="eastAsia" w:ascii="方正仿宋_GBK" w:hAnsi="方正仿宋_GBK" w:eastAsia="方正仿宋_GBK" w:cs="方正仿宋_GBK"/>
          <w:sz w:val="28"/>
          <w:szCs w:val="28"/>
          <w:lang w:val="en-US" w:eastAsia="zh-CN"/>
        </w:rPr>
        <w:fldChar w:fldCharType="separate"/>
      </w:r>
      <w:r>
        <w:rPr>
          <w:rFonts w:hint="eastAsia" w:ascii="方正仿宋_GBK" w:hAnsi="方正仿宋_GBK" w:eastAsia="方正仿宋_GBK" w:cs="方正仿宋_GBK"/>
          <w:kern w:val="2"/>
          <w:sz w:val="28"/>
          <w:szCs w:val="28"/>
          <w:lang w:val="en-US" w:eastAsia="zh-CN" w:bidi="ar-SA"/>
        </w:rPr>
        <w:t>（一）项目档案管理需进一步规范.....................................32</w:t>
      </w:r>
    </w:p>
    <w:p>
      <w:pPr>
        <w:ind w:firstLine="560" w:firstLineChars="200"/>
        <w:rPr>
          <w:rFonts w:hint="default"/>
          <w:lang w:val="en-US"/>
        </w:rPr>
      </w:pPr>
      <w:r>
        <w:rPr>
          <w:rFonts w:hint="eastAsia" w:ascii="方正仿宋_GBK" w:hAnsi="方正仿宋_GBK" w:eastAsia="方正仿宋_GBK" w:cs="方正仿宋_GBK"/>
          <w:kern w:val="2"/>
          <w:sz w:val="28"/>
          <w:szCs w:val="28"/>
          <w:lang w:val="en-US" w:eastAsia="zh-CN" w:bidi="ar-SA"/>
        </w:rPr>
        <w:t>（二）加强预算绩效管理...............................................32</w:t>
      </w:r>
      <w:r>
        <w:rPr>
          <w:rFonts w:hint="eastAsia" w:ascii="方正仿宋_GBK" w:hAnsi="方正仿宋_GBK" w:eastAsia="方正仿宋_GBK" w:cs="方正仿宋_GBK"/>
          <w:sz w:val="28"/>
          <w:szCs w:val="28"/>
          <w:lang w:val="en-US" w:eastAsia="zh-CN"/>
        </w:rPr>
        <w:fldChar w:fldCharType="end"/>
      </w:r>
    </w:p>
    <w:p>
      <w:pPr>
        <w:pStyle w:val="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en-US" w:eastAsia="zh-CN"/>
        </w:rPr>
      </w:pPr>
    </w:p>
    <w:p>
      <w:pPr>
        <w:bidi w:val="0"/>
        <w:rPr>
          <w:rFonts w:hint="eastAsia"/>
          <w:lang w:val="en-US" w:eastAsia="zh-CN"/>
        </w:rPr>
      </w:pPr>
    </w:p>
    <w:p>
      <w:pPr>
        <w:bidi w:val="0"/>
        <w:rPr>
          <w:rFonts w:hint="eastAsia"/>
          <w:lang w:val="en-US" w:eastAsia="zh-CN"/>
        </w:rPr>
      </w:pPr>
    </w:p>
    <w:p>
      <w:pPr>
        <w:tabs>
          <w:tab w:val="left" w:pos="8012"/>
        </w:tabs>
        <w:bidi w:val="0"/>
        <w:jc w:val="left"/>
        <w:rPr>
          <w:rFonts w:hint="eastAsia"/>
          <w:lang w:val="en-US" w:eastAsia="zh-CN"/>
        </w:rPr>
        <w:sectPr>
          <w:footerReference r:id="rId3" w:type="default"/>
          <w:pgSz w:w="11906" w:h="16838"/>
          <w:pgMar w:top="1588" w:right="1474" w:bottom="1588" w:left="1474"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方正仿宋_GBK" w:hAnsi="方正仿宋_GBK" w:eastAsia="方正仿宋_GBK" w:cs="方正仿宋_GBK"/>
          <w:sz w:val="28"/>
          <w:szCs w:val="28"/>
          <w:lang w:val="en-US" w:eastAsia="zh-CN"/>
        </w:rPr>
      </w:pPr>
    </w:p>
    <w:p>
      <w:pPr>
        <w:pStyle w:val="14"/>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eastAsia="方正小标宋_GBK"/>
          <w:sz w:val="44"/>
          <w:szCs w:val="32"/>
          <w:lang w:val="en-US" w:eastAsia="zh-CN"/>
        </w:rPr>
      </w:pPr>
      <w:r>
        <w:rPr>
          <w:rFonts w:hint="eastAsia" w:ascii="方正仿宋_GBK" w:hAnsi="方正仿宋_GBK" w:eastAsia="方正仿宋_GBK" w:cs="方正仿宋_GBK"/>
          <w:sz w:val="28"/>
          <w:szCs w:val="28"/>
          <w:lang w:val="en-US" w:eastAsia="zh-CN"/>
        </w:rPr>
        <w:fldChar w:fldCharType="end"/>
      </w:r>
    </w:p>
    <w:p>
      <w:pPr>
        <w:pStyle w:val="14"/>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9"/>
        <w:rPr>
          <w:rFonts w:hint="eastAsia" w:ascii="方正小标宋_GBK" w:hAnsi="方正小标宋_GBK" w:eastAsia="方正小标宋_GBK" w:cs="方正小标宋_GBK"/>
          <w:sz w:val="44"/>
          <w:szCs w:val="32"/>
          <w:lang w:val="en-US" w:eastAsia="zh-CN"/>
        </w:rPr>
      </w:pPr>
      <w:r>
        <w:rPr>
          <w:rFonts w:hint="eastAsia" w:ascii="方正小标宋_GBK" w:hAnsi="方正小标宋_GBK" w:eastAsia="方正小标宋_GBK" w:cs="方正小标宋_GBK"/>
          <w:sz w:val="44"/>
          <w:szCs w:val="32"/>
          <w:lang w:val="en-US" w:eastAsia="zh-CN"/>
        </w:rPr>
        <w:t>重庆市璧山区人力资源和社会保障局</w:t>
      </w:r>
    </w:p>
    <w:p>
      <w:pPr>
        <w:pStyle w:val="14"/>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9"/>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lang w:eastAsia="zh-CN"/>
        </w:rPr>
        <w:t>2021</w:t>
      </w:r>
      <w:r>
        <w:rPr>
          <w:rFonts w:hint="eastAsia" w:ascii="方正小标宋_GBK" w:hAnsi="方正小标宋_GBK" w:eastAsia="方正小标宋_GBK" w:cs="方正小标宋_GBK"/>
          <w:sz w:val="44"/>
          <w:szCs w:val="32"/>
        </w:rPr>
        <w:t>年整体支出绩效自评报告</w:t>
      </w:r>
    </w:p>
    <w:p>
      <w:pPr>
        <w:spacing w:line="600" w:lineRule="exact"/>
        <w:ind w:firstLine="640" w:firstLineChars="200"/>
        <w:rPr>
          <w:rFonts w:hint="eastAsia" w:ascii="方正仿宋_GBK" w:hAnsi="方正仿宋_GBK" w:eastAsia="方正仿宋_GBK" w:cs="方正仿宋_GBK"/>
          <w:color w:val="auto"/>
          <w:sz w:val="32"/>
          <w:szCs w:val="32"/>
          <w:highlight w:val="none"/>
          <w:lang w:val="en-US" w:eastAsia="zh-CN"/>
        </w:rPr>
      </w:pPr>
      <w:bookmarkStart w:id="0" w:name="_Toc2331"/>
      <w:bookmarkStart w:id="1" w:name="_Toc286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一、基本情况</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highlight w:val="none"/>
          <w:lang w:val="en-US" w:eastAsia="zh-CN"/>
        </w:rPr>
      </w:pPr>
      <w:bookmarkStart w:id="2" w:name="_Toc11264"/>
      <w:bookmarkStart w:id="3" w:name="_Toc21673"/>
      <w:r>
        <w:rPr>
          <w:rFonts w:hint="eastAsia" w:ascii="方正楷体_GBK" w:hAnsi="方正楷体_GBK" w:eastAsia="方正楷体_GBK" w:cs="方正楷体_GBK"/>
          <w:color w:val="auto"/>
          <w:sz w:val="32"/>
          <w:szCs w:val="32"/>
          <w:highlight w:val="none"/>
          <w:lang w:val="en-US" w:eastAsia="zh-CN"/>
        </w:rPr>
        <w:t>（一）部门基本情况</w:t>
      </w:r>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我部门属于正处级区府工作部门，列区府工作机关序列，内设机构9个：办公室、人力资源开发科、事业单位和专业技术人员管理科（挂重庆市璧山区职称改革办公室牌子）、法规与监察科（行政审批科）、工资福利与退休管理科、社会保险管理科、财务与基金监督科、劳动人事争议仲裁科、就业促进与职业能力建设科（挂重庆市璧山区机关事业单位技术工人技术等级〈岗位〉考核办公室、重庆市璧山区人力资源和社会保障局国家职业技能鉴定所牌子），内设机构为正科级。下属财政全额拨款正处级事业单位1个:区社会保险事务中心；下财政全额拨款副处级事业单位1个：区就业和人才服务中心；财政全额拨款正科级事业单位2个：区人力社保综合行政执法支队（未独立核算）、区劳动人事争议仲裁院（未独立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我部门主要职责：1.贯彻执行人力资源和社会保障法律、法规、规章和方针政策，拟订相关发展规划、政策措施，并组织实施和监督检查。2.拟订人力资源市场发展规划和人力资源服务业发展、人力资源流动措施，规范完善人力资源市场体系。综合管理全区人力资源市场、人力资源服务机构和人才流动调配工作。3.负责促进就业再就业工作。拟订统筹城乡的就业发展规划和措施，完善公共就业服务体系，贯彻落实面向城乡劳动者的职业技能培训制度，实施就业援助制度。负责高校毕业生离校后的就业指导和服务工作。4.牵头推进覆盖城乡的多层次社会保障体系建设。贯彻执行养老、失业、工伤等社会保险及其补充保险（含企业年金，下同）政策和标准；贯彻执行全市统一的养老、失业、工伤保险关系转续办法；贯彻执行养老、失业、工伤等社会保险及其补充保险基金管理和监督制度；拟订养老、失业、工伤等相关社会保险基金预决算草案；会同有关部门实施全民参保计划。5.牵头负责就业、失业和相关社会保险基金预测预警和信息引导，拟订应对预案并组织实施，保持就业形势总体稳定，维护相关社会保险基金安全。6.贯彻执行劳动关系政策，完善劳动关系协商协调机制，贯彻落实职工工作时间、休息休假和假期制度，贯彻执行消除非法使用童工政策和女工、未成年工特殊劳动保护政策。贯彻执行劳动人事争议调解仲裁法律、法规、政策和制度；组织实施劳动保障监察，协调劳动者维权工作，依法查处人力资源、社会保障违法案件。负责人力资源和社会保障领域执法，具</w:t>
      </w:r>
      <w:bookmarkStart w:id="75" w:name="_GoBack"/>
      <w:bookmarkEnd w:id="75"/>
      <w:r>
        <w:rPr>
          <w:rFonts w:hint="eastAsia" w:ascii="方正仿宋_GBK" w:hAnsi="方正仿宋_GBK" w:eastAsia="方正仿宋_GBK" w:cs="方正仿宋_GBK"/>
          <w:color w:val="auto"/>
          <w:sz w:val="32"/>
          <w:szCs w:val="32"/>
          <w:highlight w:val="none"/>
          <w:lang w:val="en-US" w:eastAsia="zh-CN"/>
        </w:rPr>
        <w:t xml:space="preserve">体执法交由执法队伍承担，并以部门的名义统一执法。7.牵头推进深化职称制度改革工作，负责全区专业技术人员的职称管理，组织实施各类专业技术职称考试、评审和聘用；贯彻执行专业技术人员管理、继续教育和博士后管理等政策，按照管理权限负责高层次专业技术人才选拔和培养工作，负责人才交流、人才引进、开发和管理服务工作。拟订吸引留学人员来（回）区工作或定居措施；组织拟订技能人才培养、评价、使用和激励制度；贯彻落实职业资格制度，健全职业技能多元化评价措施。8.牵头推进事业单位人事制度改革，按照管理权限，负责规范事业单位岗位设置、聘用合同等人事综合管理工作，负责事业单位工作人员（含机关工勤人员，下同）的聘用、任免、考核、晋升、培训、奖励、处分、辞聘解聘等工作；拟订事业单位工作人员管理制度并组织实施。9.贯彻落实国家表彰奖励制度，按照管理权限，综合管理全区有关表彰奖励工作。10.贯彻执行机关事业单位人员工资收入分配、津补贴政策和企业职工工资收入分配的调控政策、措施；贯彻执行机关企事业单位人员工资决定、正常增长和支付保障政策；贯彻执行机关企事业单位人员福利、工伤政策；贯彻执行企事业单位人员离退休政策。11.贯彻执行农民工工作的综合性政策和规划，推动相关政策落实，协调解决重点难点问题，维护农民工合法权益。12.负责人力资源和社会保障领域国际交流与合作工作。13.完成区委和区政府交办的其他任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预算及支出情况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sectPr>
          <w:pgSz w:w="11906" w:h="16838"/>
          <w:pgMar w:top="1588" w:right="1474" w:bottom="1588" w:left="147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方正仿宋_GBK" w:hAnsi="方正仿宋_GBK" w:eastAsia="方正仿宋_GBK" w:cs="方正仿宋_GBK"/>
          <w:color w:val="auto"/>
          <w:sz w:val="32"/>
          <w:szCs w:val="32"/>
          <w:highlight w:val="none"/>
          <w:lang w:val="en-US" w:eastAsia="zh-CN"/>
        </w:rPr>
        <w:t>2021年度，我部门年初预算为16831731.51元，预算总金额为17339595.32元，包括上级资金480000元，区本级资金16859595.32元。年初结转和结余853123.80元；2021年度部门支出总金额为18192719.12元，按支出性质和经济分类可分为基本支出15260982.70元、项目支出2931736.42元，详细收入及支出情况见下表：</w:t>
      </w:r>
    </w:p>
    <w:p>
      <w:pPr>
        <w:pStyle w:val="3"/>
        <w:rPr>
          <w:rFonts w:hint="eastAsia" w:eastAsiaTheme="minor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收入支出总表</w:t>
      </w:r>
    </w:p>
    <w:tbl>
      <w:tblPr>
        <w:tblStyle w:val="13"/>
        <w:tblW w:w="13878"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421"/>
        <w:gridCol w:w="1663"/>
        <w:gridCol w:w="1542"/>
        <w:gridCol w:w="1278"/>
        <w:gridCol w:w="1254"/>
        <w:gridCol w:w="2094"/>
        <w:gridCol w:w="1542"/>
        <w:gridCol w:w="1542"/>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blHeader/>
        </w:trPr>
        <w:tc>
          <w:tcPr>
            <w:tcW w:w="4626" w:type="dxa"/>
            <w:gridSpan w:val="3"/>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bCs/>
                <w:color w:val="auto"/>
                <w:sz w:val="21"/>
                <w:szCs w:val="21"/>
                <w:vertAlign w:val="baseline"/>
              </w:rPr>
            </w:pPr>
            <w:r>
              <w:rPr>
                <w:rFonts w:hint="eastAsia" w:ascii="方正仿宋_GBK" w:hAnsi="方正仿宋_GBK" w:eastAsia="方正仿宋_GBK" w:cs="方正仿宋_GBK"/>
                <w:b/>
                <w:bCs/>
                <w:i w:val="0"/>
                <w:iCs w:val="0"/>
                <w:color w:val="000000"/>
                <w:kern w:val="0"/>
                <w:sz w:val="21"/>
                <w:szCs w:val="21"/>
                <w:u w:val="none"/>
                <w:lang w:val="en-US" w:eastAsia="zh-CN" w:bidi="ar"/>
              </w:rPr>
              <w:t>收入</w:t>
            </w:r>
          </w:p>
        </w:tc>
        <w:tc>
          <w:tcPr>
            <w:tcW w:w="9252" w:type="dxa"/>
            <w:gridSpan w:val="6"/>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b/>
                <w:bCs/>
                <w:color w:val="auto"/>
                <w:sz w:val="21"/>
                <w:szCs w:val="21"/>
                <w:vertAlign w:val="baseline"/>
              </w:rPr>
            </w:pPr>
            <w:r>
              <w:rPr>
                <w:rFonts w:hint="eastAsia" w:ascii="方正仿宋_GBK" w:hAnsi="方正仿宋_GBK" w:eastAsia="方正仿宋_GBK" w:cs="方正仿宋_GBK"/>
                <w:b/>
                <w:bCs/>
                <w:i w:val="0"/>
                <w:iCs w:val="0"/>
                <w:color w:val="000000"/>
                <w:kern w:val="0"/>
                <w:sz w:val="21"/>
                <w:szCs w:val="21"/>
                <w:u w:val="none"/>
                <w:lang w:val="en-US" w:eastAsia="zh-CN" w:bidi="ar"/>
              </w:rPr>
              <w:t>支出</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项目</w:t>
            </w:r>
          </w:p>
        </w:tc>
        <w:tc>
          <w:tcPr>
            <w:tcW w:w="1421"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调整预算数</w:t>
            </w:r>
          </w:p>
        </w:tc>
        <w:tc>
          <w:tcPr>
            <w:tcW w:w="1663"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决算数</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项目(按功能分类)</w:t>
            </w:r>
          </w:p>
        </w:tc>
        <w:tc>
          <w:tcPr>
            <w:tcW w:w="1278"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调整预算数</w:t>
            </w:r>
          </w:p>
        </w:tc>
        <w:tc>
          <w:tcPr>
            <w:tcW w:w="125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决算数</w:t>
            </w: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项目(按支出性质和经济分类)</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调整预算数</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决算数</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一、一般公共预算财政拨款收入</w:t>
            </w:r>
          </w:p>
        </w:tc>
        <w:tc>
          <w:tcPr>
            <w:tcW w:w="1421"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17339595.32</w:t>
            </w:r>
          </w:p>
        </w:tc>
        <w:tc>
          <w:tcPr>
            <w:tcW w:w="1663"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17339595.32</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一、一般公共服务支出</w:t>
            </w:r>
          </w:p>
        </w:tc>
        <w:tc>
          <w:tcPr>
            <w:tcW w:w="1278"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p>
        </w:tc>
        <w:tc>
          <w:tcPr>
            <w:tcW w:w="1254"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一、基本支出</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15260982.70</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15260982.70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二、政府性基金预算财政拨款收入</w:t>
            </w:r>
          </w:p>
        </w:tc>
        <w:tc>
          <w:tcPr>
            <w:tcW w:w="1421"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p>
        </w:tc>
        <w:tc>
          <w:tcPr>
            <w:tcW w:w="1663"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lang w:val="en-US"/>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二、外交支出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人员经费</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12045671.57</w:t>
            </w:r>
          </w:p>
        </w:tc>
        <w:tc>
          <w:tcPr>
            <w:tcW w:w="1542"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12045671.57</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三、国有资本经营预算财政拨款收入</w:t>
            </w: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三、国防支出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公用经费</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3215311.13</w:t>
            </w:r>
          </w:p>
        </w:tc>
        <w:tc>
          <w:tcPr>
            <w:tcW w:w="1542"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3215311.13</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四、上级补助收入</w:t>
            </w: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四、公共安全支出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二、项目支出</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color w:val="auto"/>
                <w:sz w:val="21"/>
                <w:szCs w:val="21"/>
                <w:vertAlign w:val="baseli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2931736.42</w:t>
            </w:r>
          </w:p>
        </w:tc>
        <w:tc>
          <w:tcPr>
            <w:tcW w:w="1542"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2931736.42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五、事业收入</w:t>
            </w: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五、教育支出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其中：基本建设类项目</w:t>
            </w: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六、经营收入</w:t>
            </w: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六、科学技术支出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三、上缴上级支出</w:t>
            </w: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七、附属单位上缴收入</w:t>
            </w: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七、文化旅游体育与传媒支出</w:t>
            </w:r>
          </w:p>
        </w:tc>
        <w:tc>
          <w:tcPr>
            <w:tcW w:w="1278"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p>
        </w:tc>
        <w:tc>
          <w:tcPr>
            <w:tcW w:w="1254"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四、经营支出</w:t>
            </w: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widowControl/>
              <w:suppressLineNumbers w:val="0"/>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八、其他收入</w:t>
            </w: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八、社会保障和就业支出</w:t>
            </w:r>
          </w:p>
        </w:tc>
        <w:tc>
          <w:tcPr>
            <w:tcW w:w="1278"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16683225.71</w:t>
            </w:r>
          </w:p>
        </w:tc>
        <w:tc>
          <w:tcPr>
            <w:tcW w:w="1254"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16683225.71</w:t>
            </w: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五、对附属单位补助支出</w:t>
            </w: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九、卫生健康支出</w:t>
            </w:r>
          </w:p>
        </w:tc>
        <w:tc>
          <w:tcPr>
            <w:tcW w:w="1278"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611458.01</w:t>
            </w:r>
          </w:p>
        </w:tc>
        <w:tc>
          <w:tcPr>
            <w:tcW w:w="1254"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611458.01</w:t>
            </w:r>
          </w:p>
        </w:tc>
        <w:tc>
          <w:tcPr>
            <w:tcW w:w="209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十、节能环保支出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十一、城乡社区支出</w:t>
            </w:r>
          </w:p>
        </w:tc>
        <w:tc>
          <w:tcPr>
            <w:tcW w:w="1278"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p>
        </w:tc>
        <w:tc>
          <w:tcPr>
            <w:tcW w:w="125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vertAlign w:val="baseline"/>
                <w:lang w:val="en-US"/>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highlight w:val="none"/>
                <w:vertAlign w:val="baseli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经济分类支出合计</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lang w:eastAsia="zh-CN"/>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18192719.12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十二、农林水支出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一、工资福利支出</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10992251.05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十三、交通运输支出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二、商品和服务支出</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5775590.55</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十四、资源勘探工业信息等支出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三、对个人和家庭的补助</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1058420.52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十五、商业服务业等支出</w:t>
            </w:r>
          </w:p>
        </w:tc>
        <w:tc>
          <w:tcPr>
            <w:tcW w:w="1278"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四、债务利息及费用支出</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十六、金融支出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五、资本性支出（基本建设）</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十七、援助其他地区支出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六、资本性支出</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keepNext w:val="0"/>
              <w:keepLines w:val="0"/>
              <w:widowControl/>
              <w:suppressLineNumbers w:val="0"/>
              <w:jc w:val="center"/>
              <w:textAlignment w:val="center"/>
              <w:rPr>
                <w:rFonts w:hint="default"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366457</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十八、自然资源海洋气象等支出</w:t>
            </w:r>
          </w:p>
        </w:tc>
        <w:tc>
          <w:tcPr>
            <w:tcW w:w="1278"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七、对企业补助（基本建设）</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十九、住房保障支出</w:t>
            </w:r>
          </w:p>
        </w:tc>
        <w:tc>
          <w:tcPr>
            <w:tcW w:w="1278" w:type="dxa"/>
            <w:tcBorders>
              <w:tl2br w:val="nil"/>
              <w:tr2bl w:val="nil"/>
            </w:tcBorders>
            <w:vAlign w:val="center"/>
          </w:tcPr>
          <w:p>
            <w:pPr>
              <w:keepNext w:val="0"/>
              <w:keepLines w:val="0"/>
              <w:widowControl/>
              <w:suppressLineNumbers w:val="0"/>
              <w:jc w:val="right"/>
              <w:textAlignment w:val="center"/>
              <w:rPr>
                <w:rFonts w:hint="default"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898035.4</w:t>
            </w:r>
          </w:p>
        </w:tc>
        <w:tc>
          <w:tcPr>
            <w:tcW w:w="1254" w:type="dxa"/>
            <w:tcBorders>
              <w:tl2br w:val="nil"/>
              <w:tr2bl w:val="nil"/>
            </w:tcBorders>
            <w:vAlign w:val="center"/>
          </w:tcPr>
          <w:p>
            <w:pPr>
              <w:keepNext w:val="0"/>
              <w:keepLines w:val="0"/>
              <w:widowControl/>
              <w:suppressLineNumbers w:val="0"/>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898035.4</w:t>
            </w:r>
          </w:p>
        </w:tc>
        <w:tc>
          <w:tcPr>
            <w:tcW w:w="2094"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八、对企业补助</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二十、粮油物资储备支出</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九、对社会保障基金补助</w:t>
            </w: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二十一、国有资本经营预算支出</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十、其他支出</w:t>
            </w: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eastAsia="zh-CN"/>
              </w:rPr>
              <w:t>—</w:t>
            </w: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二十二、灾害防治及应急管理支出</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二十三、其他支出</w:t>
            </w:r>
          </w:p>
        </w:tc>
        <w:tc>
          <w:tcPr>
            <w:tcW w:w="127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p>
        </w:tc>
        <w:tc>
          <w:tcPr>
            <w:tcW w:w="125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二十四、债务还本支出</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二十五、债务付息支出</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方正仿宋_GBK" w:hAnsi="方正仿宋_GBK" w:eastAsia="方正仿宋_GBK" w:cs="方正仿宋_GBK"/>
                <w:color w:val="auto"/>
                <w:sz w:val="21"/>
                <w:szCs w:val="21"/>
                <w:vertAlign w:val="baseline"/>
              </w:rPr>
            </w:pPr>
          </w:p>
        </w:tc>
        <w:tc>
          <w:tcPr>
            <w:tcW w:w="14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二十六、抗疫特别国债安排的支出</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b/>
                <w:bCs/>
                <w:i w:val="0"/>
                <w:iCs w:val="0"/>
                <w:color w:val="000000"/>
                <w:kern w:val="0"/>
                <w:sz w:val="21"/>
                <w:szCs w:val="21"/>
                <w:u w:val="none"/>
                <w:lang w:val="en-US" w:eastAsia="zh-CN" w:bidi="ar"/>
              </w:rPr>
              <w:t>本年收入合计</w:t>
            </w:r>
          </w:p>
        </w:tc>
        <w:tc>
          <w:tcPr>
            <w:tcW w:w="14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color w:val="auto"/>
                <w:sz w:val="21"/>
                <w:szCs w:val="21"/>
                <w:highlight w:val="none"/>
                <w:vertAlign w:val="baseline"/>
                <w:lang w:val="en-US"/>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17339595.32</w:t>
            </w:r>
          </w:p>
        </w:tc>
        <w:tc>
          <w:tcPr>
            <w:tcW w:w="1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17339595.32</w:t>
            </w: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b/>
                <w:bCs/>
                <w:i w:val="0"/>
                <w:iCs w:val="0"/>
                <w:color w:val="000000"/>
                <w:kern w:val="0"/>
                <w:sz w:val="21"/>
                <w:szCs w:val="21"/>
                <w:u w:val="none"/>
                <w:lang w:val="en-US" w:eastAsia="zh-CN" w:bidi="ar"/>
              </w:rPr>
              <w:t>本年支出合计</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方正仿宋_GBK" w:hAnsi="方正仿宋_GBK" w:eastAsia="方正仿宋_GBK" w:cs="方正仿宋_GBK"/>
                <w:color w:val="auto"/>
                <w:sz w:val="21"/>
                <w:szCs w:val="21"/>
                <w:vertAlign w:val="baseli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18192719.12</w:t>
            </w: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18192719.12</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使用非财政拨款结余</w:t>
            </w:r>
          </w:p>
        </w:tc>
        <w:tc>
          <w:tcPr>
            <w:tcW w:w="14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6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结余分配</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年初结转和结余</w:t>
            </w:r>
          </w:p>
        </w:tc>
        <w:tc>
          <w:tcPr>
            <w:tcW w:w="14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color w:val="auto"/>
                <w:sz w:val="21"/>
                <w:szCs w:val="21"/>
                <w:vertAlign w:val="baseline"/>
                <w:lang w:val="en-US" w:eastAsia="zh-CN"/>
              </w:rPr>
            </w:pPr>
            <w:r>
              <w:rPr>
                <w:rFonts w:hint="eastAsia" w:ascii="方正仿宋_GBK" w:hAnsi="方正仿宋_GBK" w:eastAsia="方正仿宋_GBK" w:cs="方正仿宋_GBK"/>
                <w:color w:val="auto"/>
                <w:sz w:val="21"/>
                <w:szCs w:val="21"/>
                <w:vertAlign w:val="baseline"/>
                <w:lang w:val="en-US" w:eastAsia="zh-CN"/>
              </w:rPr>
              <w:t>853123.8</w:t>
            </w:r>
          </w:p>
        </w:tc>
        <w:tc>
          <w:tcPr>
            <w:tcW w:w="1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color w:val="auto"/>
                <w:sz w:val="21"/>
                <w:szCs w:val="21"/>
                <w:vertAlign w:val="baseline"/>
                <w:lang w:val="en-US" w:eastAsia="zh-CN"/>
              </w:rPr>
              <w:t>853123.8</w:t>
            </w: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年末结转和结余</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trPr>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b/>
                <w:bCs/>
                <w:i w:val="0"/>
                <w:iCs w:val="0"/>
                <w:color w:val="000000"/>
                <w:kern w:val="0"/>
                <w:sz w:val="21"/>
                <w:szCs w:val="21"/>
                <w:u w:val="none"/>
                <w:lang w:val="en-US" w:eastAsia="zh-CN" w:bidi="ar"/>
              </w:rPr>
              <w:t>总计</w:t>
            </w:r>
          </w:p>
        </w:tc>
        <w:tc>
          <w:tcPr>
            <w:tcW w:w="142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color w:val="auto"/>
                <w:sz w:val="21"/>
                <w:szCs w:val="21"/>
                <w:highlight w:val="none"/>
                <w:vertAlign w:val="baseline"/>
                <w:lang w:val="en-US"/>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18192719.12</w:t>
            </w:r>
          </w:p>
        </w:tc>
        <w:tc>
          <w:tcPr>
            <w:tcW w:w="166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highlight w:val="none"/>
                <w:vertAlign w:val="baseli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18192719.12</w:t>
            </w: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b/>
                <w:bCs/>
                <w:i w:val="0"/>
                <w:iCs w:val="0"/>
                <w:color w:val="000000"/>
                <w:kern w:val="0"/>
                <w:sz w:val="21"/>
                <w:szCs w:val="21"/>
                <w:u w:val="none"/>
                <w:lang w:val="en-US" w:eastAsia="zh-CN" w:bidi="ar"/>
              </w:rPr>
              <w:t>总计</w:t>
            </w:r>
          </w:p>
        </w:tc>
        <w:tc>
          <w:tcPr>
            <w:tcW w:w="12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25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20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1"/>
                <w:szCs w:val="21"/>
                <w:vertAlign w:val="baseline"/>
              </w:rPr>
            </w:pP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18192719.12</w:t>
            </w:r>
          </w:p>
        </w:tc>
        <w:tc>
          <w:tcPr>
            <w:tcW w:w="154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color w:val="auto"/>
                <w:sz w:val="21"/>
                <w:szCs w:val="21"/>
                <w:vertAlign w:val="baseline"/>
              </w:rPr>
            </w:pPr>
            <w:r>
              <w:rPr>
                <w:rFonts w:hint="eastAsia" w:ascii="方正仿宋_GBK" w:hAnsi="方正仿宋_GBK" w:eastAsia="方正仿宋_GBK" w:cs="方正仿宋_GBK"/>
                <w:i w:val="0"/>
                <w:iCs w:val="0"/>
                <w:color w:val="000000"/>
                <w:kern w:val="0"/>
                <w:sz w:val="21"/>
                <w:szCs w:val="21"/>
                <w:u w:val="none"/>
                <w:lang w:val="en-US" w:eastAsia="zh-CN" w:bidi="ar"/>
              </w:rPr>
              <w:t>18192719.12</w:t>
            </w:r>
          </w:p>
        </w:tc>
      </w:tr>
    </w:tbl>
    <w:p>
      <w:pPr>
        <w:pStyle w:val="8"/>
        <w:sectPr>
          <w:pgSz w:w="16838" w:h="11906" w:orient="landscape"/>
          <w:pgMar w:top="1474" w:right="1587" w:bottom="1474" w:left="158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0"/>
        <w:rPr>
          <w:rFonts w:hint="eastAsia" w:eastAsia="方正黑体_GBK"/>
          <w:color w:val="auto"/>
          <w:sz w:val="32"/>
          <w:szCs w:val="32"/>
          <w:highlight w:val="none"/>
          <w:lang w:val="en-US" w:eastAsia="zh-CN"/>
        </w:rPr>
      </w:pPr>
      <w:bookmarkStart w:id="4" w:name="_Toc23618"/>
      <w:bookmarkStart w:id="5" w:name="_Toc23790"/>
      <w:r>
        <w:rPr>
          <w:rFonts w:hint="eastAsia" w:eastAsia="方正黑体_GBK"/>
          <w:color w:val="auto"/>
          <w:sz w:val="32"/>
          <w:szCs w:val="32"/>
          <w:highlight w:val="none"/>
          <w:lang w:val="en-US" w:eastAsia="zh-CN"/>
        </w:rPr>
        <w:t>二、绩效评价基本情况</w:t>
      </w:r>
      <w:bookmarkEnd w:id="4"/>
      <w:bookmarkEnd w:id="5"/>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1"/>
        <w:rPr>
          <w:rFonts w:hint="eastAsia" w:ascii="方正楷体_GBK" w:hAnsi="方正楷体_GBK" w:eastAsia="方正楷体_GBK" w:cs="方正楷体_GBK"/>
          <w:color w:val="auto"/>
          <w:sz w:val="32"/>
          <w:szCs w:val="32"/>
          <w:highlight w:val="none"/>
        </w:rPr>
      </w:pPr>
      <w:bookmarkStart w:id="6" w:name="_Toc29512"/>
      <w:bookmarkStart w:id="7" w:name="_Toc17387"/>
      <w:bookmarkStart w:id="8" w:name="_Toc770"/>
      <w:r>
        <w:rPr>
          <w:rFonts w:hint="eastAsia" w:ascii="方正楷体_GBK" w:hAnsi="方正楷体_GBK" w:eastAsia="方正楷体_GBK" w:cs="方正楷体_GBK"/>
          <w:color w:val="auto"/>
          <w:sz w:val="32"/>
          <w:szCs w:val="32"/>
          <w:highlight w:val="none"/>
        </w:rPr>
        <w:t>（一）绩效评价目的</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eastAsia" w:eastAsia="方正仿宋_GBK"/>
          <w:color w:val="auto"/>
          <w:sz w:val="32"/>
          <w:szCs w:val="32"/>
          <w:lang w:val="en-US" w:eastAsia="zh-CN"/>
        </w:rPr>
      </w:pPr>
      <w:r>
        <w:rPr>
          <w:rFonts w:hint="eastAsia" w:eastAsia="方正仿宋_GBK"/>
          <w:color w:val="auto"/>
          <w:sz w:val="32"/>
          <w:szCs w:val="32"/>
          <w:lang w:val="en-US" w:eastAsia="zh-CN"/>
        </w:rPr>
        <w:t>本次绩效评价是围绕我部门的职责职能，以预算及支出为抓手，洞悉部门人、财、物资源与职能匹配情况，进而从更宽泛的层面把握部门的职能履行情况，从支出效益分析中总结经验、查找问题，促进财政资金管理，强化部门责任意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1"/>
        <w:rPr>
          <w:rFonts w:hint="eastAsia" w:ascii="方正楷体_GBK" w:hAnsi="方正楷体_GBK" w:eastAsia="方正楷体_GBK" w:cs="方正楷体_GBK"/>
          <w:color w:val="auto"/>
          <w:sz w:val="32"/>
          <w:szCs w:val="32"/>
          <w:highlight w:val="none"/>
        </w:rPr>
      </w:pPr>
      <w:bookmarkStart w:id="9" w:name="_Toc3344"/>
      <w:bookmarkStart w:id="10" w:name="_Toc11474"/>
      <w:bookmarkStart w:id="11" w:name="_Toc19749"/>
      <w:r>
        <w:rPr>
          <w:rFonts w:hint="eastAsia" w:ascii="方正楷体_GBK" w:hAnsi="方正楷体_GBK" w:eastAsia="方正楷体_GBK" w:cs="方正楷体_GBK"/>
          <w:color w:val="auto"/>
          <w:sz w:val="32"/>
          <w:szCs w:val="32"/>
          <w:highlight w:val="none"/>
        </w:rPr>
        <w:t>（二）绩效评价原则、评价指标体系、评价方法</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2"/>
        <w:rPr>
          <w:rFonts w:hint="eastAsia" w:ascii="方正仿宋_GBK" w:hAnsi="方正仿宋_GBK" w:eastAsia="方正仿宋_GBK" w:cs="方正仿宋_GBK"/>
          <w:bCs/>
          <w:color w:val="auto"/>
          <w:sz w:val="32"/>
          <w:szCs w:val="32"/>
          <w:lang w:val="en-US" w:eastAsia="zh-CN"/>
        </w:rPr>
      </w:pPr>
      <w:bookmarkStart w:id="12" w:name="_Toc19569"/>
      <w:bookmarkStart w:id="13" w:name="_Toc14270"/>
      <w:bookmarkStart w:id="14" w:name="_Toc1427"/>
      <w:bookmarkStart w:id="15" w:name="_Toc4724"/>
      <w:r>
        <w:rPr>
          <w:rFonts w:hint="eastAsia" w:ascii="方正仿宋_GBK" w:hAnsi="方正仿宋_GBK" w:eastAsia="方正仿宋_GBK" w:cs="方正仿宋_GBK"/>
          <w:bCs/>
          <w:color w:val="auto"/>
          <w:sz w:val="32"/>
          <w:szCs w:val="32"/>
          <w:lang w:val="en-US" w:eastAsia="zh-CN"/>
        </w:rPr>
        <w:t>1. 绩效评价原则</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绩效评价原则包括科学规范原则、公开公正原则、分级分类原则、绩效相关原则。</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outlineLvl w:val="2"/>
        <w:rPr>
          <w:rFonts w:hint="eastAsia" w:ascii="方正仿宋_GBK" w:hAnsi="方正仿宋_GBK" w:eastAsia="方正仿宋_GBK" w:cs="方正仿宋_GBK"/>
          <w:color w:val="auto"/>
          <w:sz w:val="32"/>
          <w:szCs w:val="32"/>
        </w:rPr>
      </w:pPr>
      <w:bookmarkStart w:id="16" w:name="_Toc10963"/>
      <w:bookmarkStart w:id="17" w:name="_Toc3661"/>
      <w:r>
        <w:rPr>
          <w:rFonts w:hint="eastAsia" w:ascii="方正仿宋_GBK" w:hAnsi="方正仿宋_GBK" w:eastAsia="方正仿宋_GBK" w:cs="方正仿宋_GBK"/>
          <w:color w:val="auto"/>
          <w:sz w:val="32"/>
          <w:szCs w:val="32"/>
        </w:rPr>
        <w:t>评价指标体系</w:t>
      </w:r>
      <w:bookmarkEnd w:id="16"/>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Cs/>
          <w:color w:val="auto"/>
          <w:sz w:val="32"/>
          <w:szCs w:val="32"/>
          <w:lang w:val="en-US" w:eastAsia="zh-CN"/>
        </w:rPr>
        <w:sectPr>
          <w:pgSz w:w="11906" w:h="16838"/>
          <w:pgMar w:top="1587" w:right="1474" w:bottom="1587" w:left="1474"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方正仿宋_GBK" w:hAnsi="方正仿宋_GBK" w:eastAsia="方正仿宋_GBK" w:cs="方正仿宋_GBK"/>
          <w:bCs/>
          <w:color w:val="auto"/>
          <w:sz w:val="32"/>
          <w:szCs w:val="32"/>
        </w:rPr>
        <w:t>整个指标体系分为投入（7分），过程（24分），产出（</w:t>
      </w:r>
      <w:r>
        <w:rPr>
          <w:rFonts w:hint="eastAsia" w:ascii="方正仿宋_GBK" w:hAnsi="方正仿宋_GBK" w:eastAsia="方正仿宋_GBK" w:cs="方正仿宋_GBK"/>
          <w:bCs/>
          <w:color w:val="auto"/>
          <w:sz w:val="32"/>
          <w:szCs w:val="32"/>
          <w:lang w:val="en-US" w:eastAsia="zh-CN"/>
        </w:rPr>
        <w:t>36</w:t>
      </w:r>
      <w:r>
        <w:rPr>
          <w:rFonts w:hint="eastAsia" w:ascii="方正仿宋_GBK" w:hAnsi="方正仿宋_GBK" w:eastAsia="方正仿宋_GBK" w:cs="方正仿宋_GBK"/>
          <w:bCs/>
          <w:color w:val="auto"/>
          <w:sz w:val="32"/>
          <w:szCs w:val="32"/>
        </w:rPr>
        <w:t>分），效益（</w:t>
      </w:r>
      <w:r>
        <w:rPr>
          <w:rFonts w:hint="eastAsia" w:ascii="方正仿宋_GBK" w:hAnsi="方正仿宋_GBK" w:eastAsia="方正仿宋_GBK" w:cs="方正仿宋_GBK"/>
          <w:bCs/>
          <w:color w:val="auto"/>
          <w:sz w:val="32"/>
          <w:szCs w:val="32"/>
          <w:lang w:val="en-US" w:eastAsia="zh-CN"/>
        </w:rPr>
        <w:t>33</w:t>
      </w:r>
      <w:r>
        <w:rPr>
          <w:rFonts w:hint="eastAsia" w:ascii="方正仿宋_GBK" w:hAnsi="方正仿宋_GBK" w:eastAsia="方正仿宋_GBK" w:cs="方正仿宋_GBK"/>
          <w:bCs/>
          <w:color w:val="auto"/>
          <w:sz w:val="32"/>
          <w:szCs w:val="32"/>
        </w:rPr>
        <w:t>分），共设置了4个一级指标，</w:t>
      </w:r>
      <w:r>
        <w:rPr>
          <w:rFonts w:hint="eastAsia" w:ascii="方正仿宋_GBK" w:hAnsi="方正仿宋_GBK" w:eastAsia="方正仿宋_GBK" w:cs="方正仿宋_GBK"/>
          <w:bCs/>
          <w:color w:val="auto"/>
          <w:sz w:val="32"/>
          <w:szCs w:val="32"/>
          <w:lang w:val="en-US" w:eastAsia="zh-CN"/>
        </w:rPr>
        <w:t>9</w:t>
      </w:r>
      <w:r>
        <w:rPr>
          <w:rFonts w:hint="eastAsia" w:ascii="方正仿宋_GBK" w:hAnsi="方正仿宋_GBK" w:eastAsia="方正仿宋_GBK" w:cs="方正仿宋_GBK"/>
          <w:bCs/>
          <w:color w:val="auto"/>
          <w:sz w:val="32"/>
          <w:szCs w:val="32"/>
        </w:rPr>
        <w:t>个二级指标，</w:t>
      </w:r>
      <w:r>
        <w:rPr>
          <w:rFonts w:hint="eastAsia" w:ascii="方正仿宋_GBK" w:hAnsi="方正仿宋_GBK" w:eastAsia="方正仿宋_GBK" w:cs="方正仿宋_GBK"/>
          <w:bCs/>
          <w:color w:val="auto"/>
          <w:sz w:val="32"/>
          <w:szCs w:val="32"/>
          <w:lang w:val="en-US" w:eastAsia="zh-CN"/>
        </w:rPr>
        <w:t>29</w:t>
      </w:r>
      <w:r>
        <w:rPr>
          <w:rFonts w:hint="eastAsia" w:ascii="方正仿宋_GBK" w:hAnsi="方正仿宋_GBK" w:eastAsia="方正仿宋_GBK" w:cs="方正仿宋_GBK"/>
          <w:bCs/>
          <w:color w:val="auto"/>
          <w:sz w:val="32"/>
          <w:szCs w:val="32"/>
        </w:rPr>
        <w:t>个三级指标。</w:t>
      </w:r>
      <w:r>
        <w:rPr>
          <w:rFonts w:hint="eastAsia" w:ascii="方正仿宋_GBK" w:hAnsi="方正仿宋_GBK" w:eastAsia="方正仿宋_GBK" w:cs="方正仿宋_GBK"/>
          <w:bCs/>
          <w:color w:val="auto"/>
          <w:sz w:val="32"/>
          <w:szCs w:val="32"/>
          <w:lang w:val="en-US" w:eastAsia="zh-CN"/>
        </w:rPr>
        <w:t>详见下表:</w:t>
      </w:r>
    </w:p>
    <w:tbl>
      <w:tblPr>
        <w:tblStyle w:val="12"/>
        <w:tblW w:w="1430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7"/>
        <w:gridCol w:w="933"/>
        <w:gridCol w:w="1667"/>
        <w:gridCol w:w="4117"/>
        <w:gridCol w:w="583"/>
        <w:gridCol w:w="5608"/>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jc w:val="center"/>
        </w:trPr>
        <w:tc>
          <w:tcPr>
            <w:tcW w:w="14305" w:type="dxa"/>
            <w:gridSpan w:val="7"/>
            <w:tcBorders>
              <w:top w:val="single" w:color="FFFFCC" w:sz="8" w:space="0"/>
              <w:left w:val="single" w:color="FFFFCC" w:sz="8" w:space="0"/>
              <w:bottom w:val="nil"/>
              <w:right w:val="single" w:color="FFFFCC"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bookmarkStart w:id="18" w:name="_Toc2140"/>
            <w:bookmarkStart w:id="19" w:name="_Toc3268"/>
            <w:r>
              <w:rPr>
                <w:rFonts w:hint="eastAsia" w:ascii="方正小标宋_GBK" w:hAnsi="方正小标宋_GBK" w:eastAsia="方正小标宋_GBK" w:cs="方正小标宋_GBK"/>
                <w:b w:val="0"/>
                <w:bCs/>
                <w:i w:val="0"/>
                <w:color w:val="000000"/>
                <w:kern w:val="0"/>
                <w:sz w:val="36"/>
                <w:szCs w:val="36"/>
                <w:u w:val="none"/>
                <w:lang w:val="en-US" w:eastAsia="zh-CN" w:bidi="ar"/>
              </w:rPr>
              <w:t>2021年度重庆市璧山区人力资源和社会保障局整体支出绩效评价表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5" w:hRule="atLeast"/>
          <w:jc w:val="center"/>
        </w:trPr>
        <w:tc>
          <w:tcPr>
            <w:tcW w:w="747"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1"/>
                <w:szCs w:val="21"/>
                <w:u w:val="none"/>
                <w:lang w:val="en-US" w:eastAsia="zh-CN" w:bidi="ar"/>
              </w:rPr>
            </w:pPr>
            <w:r>
              <w:rPr>
                <w:rFonts w:hint="eastAsia" w:ascii="方正黑体_GBK" w:hAnsi="方正黑体_GBK" w:eastAsia="方正黑体_GBK" w:cs="方正黑体_GBK"/>
                <w:b w:val="0"/>
                <w:bCs/>
                <w:i w:val="0"/>
                <w:color w:val="000000"/>
                <w:kern w:val="0"/>
                <w:sz w:val="21"/>
                <w:szCs w:val="21"/>
                <w:u w:val="none"/>
                <w:lang w:val="en-US" w:eastAsia="zh-CN" w:bidi="ar"/>
              </w:rPr>
              <w:t>一级</w:t>
            </w:r>
          </w:p>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指标</w:t>
            </w:r>
          </w:p>
        </w:tc>
        <w:tc>
          <w:tcPr>
            <w:tcW w:w="9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二级指标</w:t>
            </w:r>
          </w:p>
        </w:tc>
        <w:tc>
          <w:tcPr>
            <w:tcW w:w="166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三级指标</w:t>
            </w:r>
          </w:p>
        </w:tc>
        <w:tc>
          <w:tcPr>
            <w:tcW w:w="411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指标说明</w:t>
            </w:r>
          </w:p>
        </w:tc>
        <w:tc>
          <w:tcPr>
            <w:tcW w:w="58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分值</w:t>
            </w:r>
          </w:p>
        </w:tc>
        <w:tc>
          <w:tcPr>
            <w:tcW w:w="56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评价标准</w:t>
            </w:r>
          </w:p>
        </w:tc>
        <w:tc>
          <w:tcPr>
            <w:tcW w:w="65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1"/>
                <w:szCs w:val="21"/>
                <w:u w:val="none"/>
              </w:rPr>
            </w:pPr>
            <w:r>
              <w:rPr>
                <w:rFonts w:hint="eastAsia" w:ascii="方正黑体_GBK" w:hAnsi="方正黑体_GBK" w:eastAsia="方正黑体_GBK" w:cs="方正黑体_GBK"/>
                <w:b w:val="0"/>
                <w:bCs/>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9" w:hRule="atLeast"/>
          <w:jc w:val="center"/>
        </w:trPr>
        <w:tc>
          <w:tcPr>
            <w:tcW w:w="74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投入</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目标设定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绩效目标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合理性</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部门（单位）所设立的整体绩效目标依据是否充分，是否符合客观实际，用以反映和考核部门（单位）整体绩效目标与部门履职、年度工作任务的相符性情况。</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①是否符合国家法律法规、国民经济和社会发展总体规划；</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②是否符合部门“三定”方案确定的职责；</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③是否符合部门制定的中长期实施规划。</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全部符合得满分，否则酌情扣分。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12"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绩效指标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明确性</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部门（单位）依据整体绩效目标所设定的绩效指标是否清晰、细化、可衡量，用以反映和考核部门（单位）整体绩效目标的明确细化情况。（年度计划中的目标可视为绩效目标）</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①是否将部门整体的绩效目标细化分解为具体的工作任务；</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②是否通过清晰、可衡量的指标值予以体现；</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③是否与部门年度的任务数或计划数相对应；</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④是否与本年度部门预算资金相匹配。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全部符合得满分，否则酌情扣分，扣完为止。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预算配置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在职人员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控制率</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在职人员控制率=（在职人员数/编制数）×100%=100%</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以100%为标准。在职人员控制率≤100%，计2分；每超过一个百分点扣0.5分，扣完为止。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"三公经费"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变动率</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“三公经费”变动率=[（本年度“三公经费”预算数-上年度“三公经费”预算数）/上年度“三公经费”预算数]×100%</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“三公经费”变动率≤0,计2分；“三公经费”＞0，每超过一个百分点扣0.5分，扣完为止。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小计</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b/>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7</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b/>
                <w:i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val="en-US" w:eastAsia="zh-CN"/>
              </w:rPr>
              <w:t>过程</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val="en-US" w:eastAsia="zh-CN"/>
              </w:rPr>
              <w:t>预算执行</w:t>
            </w:r>
          </w:p>
        </w:tc>
        <w:tc>
          <w:tcPr>
            <w:tcW w:w="16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val="en-US" w:eastAsia="zh-CN"/>
              </w:rPr>
              <w:t>预算完成率</w:t>
            </w:r>
          </w:p>
        </w:tc>
        <w:tc>
          <w:tcPr>
            <w:tcW w:w="41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预算完成率=[（上年结转+年初预算+本年追加预算-年末结余）/(上年结转+年初预算+本年追加预算）]×100%</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56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预算完成率=（预算完成数/预算数）×100%，100%计满分，每低于5%扣0.5分，扣完为止。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sz w:val="21"/>
                <w:szCs w:val="21"/>
                <w:u w:val="none"/>
                <w:lang w:val="en-US" w:eastAsia="zh-CN"/>
              </w:rPr>
              <w:t>预算调整率</w:t>
            </w:r>
          </w:p>
        </w:tc>
        <w:tc>
          <w:tcPr>
            <w:tcW w:w="41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预算调整数：部门（单位）在本年度内涉及预算的追加、追减或结构调整的资金总和（因落实国家政策、发生不可抗力、上级部门或本级党委政府临时交办而产生的调整除外）。</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56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预算调整率（调增调减）=（预算调整数/预算数）×100%。本年度未进行预算调整，计满分；0-10%（含），计1分；10-20%（含），计0.5分；大于20%不得分</w:t>
            </w:r>
          </w:p>
        </w:tc>
        <w:tc>
          <w:tcPr>
            <w:tcW w:w="65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4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结转结余率</w:t>
            </w:r>
          </w:p>
        </w:tc>
        <w:tc>
          <w:tcPr>
            <w:tcW w:w="41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用以反映和考核部门（单位）预算的调整程度。部门（单位）本年度结转结余总额与支出预算数的比率，用以反映和考核部门（单位）对本年度结转结余资金的实际控制程度。结转结余总额：部门（单位）本年度的结转资金与结余资金之和（以决算数为准）。</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56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结转结余率=结转结余总额/支出预算数×100%。≤3%得满分，每超出1%扣0.5分，扣完为止。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公用经费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控制率</w:t>
            </w:r>
          </w:p>
        </w:tc>
        <w:tc>
          <w:tcPr>
            <w:tcW w:w="41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公用经费控制率=（实际支出公用经费总额/预算安排公用经费总额）×100%=100%</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56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100%以下（含）计满分，每超出1%扣0.5分，扣完为止。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"三公经费"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控制率</w:t>
            </w:r>
          </w:p>
        </w:tc>
        <w:tc>
          <w:tcPr>
            <w:tcW w:w="41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“三公经费”控制率=（“三公经费”实际支出数/“三公经费”预算安排数）×100%</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56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100%以下（含）计满分，每超出1%扣0.5分，扣完为止。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政府采购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执行率</w:t>
            </w:r>
          </w:p>
        </w:tc>
        <w:tc>
          <w:tcPr>
            <w:tcW w:w="41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政府采购执行率=（实际政府采购金额/政府采购预算数）×100%</w:t>
            </w:r>
          </w:p>
        </w:tc>
        <w:tc>
          <w:tcPr>
            <w:tcW w:w="5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56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政府采购执行率95%—105%得满分，低于95%或超过105%不得分</w:t>
            </w:r>
          </w:p>
        </w:tc>
        <w:tc>
          <w:tcPr>
            <w:tcW w:w="65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预算管理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管理制度健全</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部门（单位）为加强预算管理、规范财务行为而制定的管理制度是否健全完整，用以反映和考核部门（单位）预算管理制度对完成主要职责或促进事业发展的保障情况。</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①有内部财务管理制度、会计核算制度等管理制度；②有本部门厉行节约制度；③相关管理制度合法、合规、完整；④相关管理制度得到有效执行。全部符合得满分，否则酌情扣分，扣完为止。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资金使用合规</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部门（单位）使用预算资金是否符合相关的预算财务管理制度的规定，用以反映和考核部门（单位）预算资金的规范运行情况。</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支出符合国家财经法规和财务管理制度规定以及有关专项资金管理办法的规定；②资金拨付有完整的审批程序和手续；③预算调整履行规定程序；④支出符合部门预算批复的用途；⑤资金使用无截留、挤占、挪用、虚列支出等情况。</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以上情况每出现一例不符合要求的扣1分，扣完为止。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预决算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信息公开</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部门（单位）是否按照政府信息公开有关规定公开相关预决算信息，用以反映和考核部门（单位）预决算管理的公开透明情况。</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按规定内容公开预算信息；②按规定时限公开预算信息；③基础数据信息和会计信息资料真实；④基础数据信息和会计信息资料完整；⑤基础数据信息和汇集信息资料准确。以上情况每出现一例不符合要求的扣0.2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工程项目管理</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招投标申报流程和标后管理是否规范</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达到限额标准的项目是否均按照要求通过招投标或竞争性比选程序实施；中标单位与实际施工单位是否一致，项目经理与合同指派是否一致，人员变更是否按合同要求取得建设单位同意。全部符合得满分，否则酌情扣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基础信息完善</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部门（单位）基础信息是否完善，用以反映和考核基础信息对预算管理工作的支撑情况。</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①基础数据信息和会计信息资料是否真实；</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②基础数据信息和会计信息资料是否完整；</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③基础数据信息和会计信息资料是否准确。</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全部符合得满分，否则酌情扣分，扣完为止。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45"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资产</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管理制度健全</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部门（单位）为加强资产管理、规范资产管理行为而制定的管理制度是否健全完整，用以反映和考核部门（单位）资产管理制度对完成主要职责或促进社会发展的保障情况。</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①是否已制定或具有资产管理制度；②相关资金管理制度是否合法、合规、完整；③相关资产管理制度是否得到有效执行。</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全部符合得满分，否则酌情扣分，扣完为止。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25"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资产管理安全</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部门（单位）的资产是否保存完整、使用合规、配置合理、处置规范、收入及时足额上缴，用以反映和考核部门（单位）资产安全运行情况。</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①资产保存是否完整；</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②资产处置是否规范；</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③资产账务管理是否合规，是否帐实相符；</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④资产是否有偿使用及处置收入及时足额上缴。全部符合得满分，否则酌情扣分，扣完为止。</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固定资产利用率</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部门（单位）实际在用固定资产总额与所有固定资产总额的比率，用以反映和考核部门（单位）固定资产使用效率程度。</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固定资产利用率=（实际在用固定资产总额/所有固定资产总额）×100%。以抽查方式，发现一处扣0.2分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小计</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b/>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24</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b/>
                <w:i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产出</w:t>
            </w:r>
          </w:p>
        </w:tc>
        <w:tc>
          <w:tcPr>
            <w:tcW w:w="93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职责履行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实现更高质量和更加充分就业</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实施积极就业政策，多措并举稳就业保居民就业。</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实施就业优先政策，坚持减负、稳岗、扩就业、促创业并举；②创建市级创业孵化基地2个，开展就业技能培训1.56万人；③开展公开招聘事业单位工作人员、招聘高校贫困大学生。以上三项各占1/3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完善更加公平可持续的社会保障体系</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始终坚持“广覆盖、保基本、多层次、可持续”方针，以“加快健全社会保障管理体制和经办服务体系”为主线，基本建成覆盖城乡全体居民、更加适应流动性和更加公平可持续的社会保障体系。</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全面落实机关事业单位养老保险改革任务，机关事业单位970名退休“中人”待遇复算工作；②创建市级社保卡经办示范窗口，新办卡8.8万张、补换卡6500余张，全区持卡人数达77.82万人；③做好部分退役士兵补缴养老保险工作，充分落实特殊人群参保政策，全年新增办理征地农转非养老保险3078人，征收养老保险费4731.4万余元。以上三项各占1/3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0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进一步优化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人才队伍</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积极赴北大、清华、上海交大、吉林大学、四川大学等知名高校引进高层次人才。积极组织辖区内企事业单位参加“国创会”“海创周”“华创会”“留交会”等大型引才引智活动。积极贯彻实施“鸿雁计划”，收集辖区内海外人才信息、企业高端人才引进需求和海外项目需求。</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全区累计入选“鸿雁计划”人选4名。引导辖区内大型企事业单位申报建设博士后科研工作站，目前全区共设立国家级博士后工作站2个、市级博士后工作站9个。②面向社会公开（考核）招聘事业单位工作人员，定向考核招聘服务期满的村官和“三支一扶”大学生；③接收296名大学生开展假期社会实践工作。以上三项各占1/3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推进人事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制度改革</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落实不同类型事业单位岗位总量、结构比例和最高等级的调整办法。</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对因事业单位分离合并，职能职责、机构规格、人员编制发生变化的及时变更岗位设置方案，累计为218个单位做好岗位设置方案；②推进事业单位聘用合同制度，核准6270余人（次）事业人员聘任相应岗位；以上两项各占1/2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形成合理有序的工资收入分配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格局</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落实基本工资标准正常调整机制。建立绩效工资动态调整机制，扩大绩效工资内部分配自主权，全面激发事业单位工作人员干事创业主动性、创造力。</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①工资宏观调控，按时完成企业薪酬调查及成本监测工作；②掌握企业用工成本等经营情况，为形成工资宏观调控政策提供数据支撑。；以上两项各占1/2权重分，不符一项扣除对应权重分。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维护和谐稳定劳动关系</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提高劳动保障监察工作效能，深入化解欠薪问题，清理整顿人力资源市场秩序专项检查，确保人力资源市场秩序总体稳定。</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处理劳资纠纷领域216起突发事件；②重庆市企业劳动保障守法诚信等级评价，全区目前有A级用人单位54家、B级358家，C级3家；③劳动人事争议案件结案率保持在95%以上。以上三项各占1/3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小计</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b/>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36</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b/>
                <w:i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效益</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社会效益</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保持稳定的就业局势</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受新冠肺炎疫情影响，就业增长动力减弱、部分群体就业困难增多，保持就业稳定的压力较大。</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6</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克服疫情带来的消极影响，实施积极就业政策，多措并举稳就业保居民就业，城镇新增就业16597人；②开展职业技能培训7070人，累计回引2466名农民工就业创业；③贫困劳动力转移就业408人，离校未就业高校毕业生人数396人。以上三项各占1/3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社会保障稳固可靠</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全面落实机关事业单位养老保险改革任务。</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5</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完成全区8.07万人未参保原因核查，并将符合参保条件的1.5万人纳入参保范围，，全年新增办理征地农转非养老保险3078人。</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优化营商环境促进企业发展</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抓好助力市场主体健康发展45条政策措施落实。落实国家降低社会保险和疫情期间“免、减、缓”政策。</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6</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145家企业疫情期间中小企业稳岗返还2128.57万元，稳定岗位14378人；②降低创业担保贷款申请门槛支持受疫情影响较大的个体工商户等重点群体，实际发放11949.5万元。以上两项各占1/2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9"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壮大人才队伍</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拓展人才引进和智力引进渠道，加大对璧山现状和人才优惠政策宣传力度，积极参加各级各类人才交流和智力引进活动。</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6</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贯彻实施“鸿雁计划”，2021年全区新入选“鸿雁计划”人选1名；②高层次人才一站式服务平台建设，印发ABC类人才绿卡700余张；③重庆英才网”线上引才平台，2021年上半年提供线上岗位100余个。以上三项各占1/3权重分，不符一项扣除对应权重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00"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社会公众或服务对象满意度</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群众满意度</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群众对部门（单位）日常开展工作的满意度</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10</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①群众对部门开展人力社保工作的满意度；②群众对劳动保障监察工作的满意度；③群众对人事劳动争议仲裁工作的满意度。以上三项各占1/3权重分。满意度&gt;=90%得对应权重分；90%≤满意度＜80%得3/4对应权重分；80%≤满意度＜70%得1/2对应权重分；70%≤满意度＜60%得1/4对应权重分，否则不得分。</w:t>
            </w: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1" w:hRule="atLeast"/>
          <w:jc w:val="center"/>
        </w:trPr>
        <w:tc>
          <w:tcPr>
            <w:tcW w:w="747"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1"/>
                <w:szCs w:val="21"/>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小计</w:t>
            </w:r>
          </w:p>
        </w:tc>
        <w:tc>
          <w:tcPr>
            <w:tcW w:w="4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b/>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33</w:t>
            </w:r>
          </w:p>
        </w:tc>
        <w:tc>
          <w:tcPr>
            <w:tcW w:w="5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b/>
                <w:i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1" w:hRule="atLeast"/>
          <w:jc w:val="center"/>
        </w:trPr>
        <w:tc>
          <w:tcPr>
            <w:tcW w:w="3347" w:type="dxa"/>
            <w:gridSpan w:val="3"/>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总分</w:t>
            </w:r>
          </w:p>
        </w:tc>
        <w:tc>
          <w:tcPr>
            <w:tcW w:w="411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b/>
                <w:i w:val="0"/>
                <w:color w:val="000000"/>
                <w:sz w:val="21"/>
                <w:szCs w:val="21"/>
                <w:u w:val="none"/>
              </w:rPr>
            </w:pPr>
          </w:p>
        </w:tc>
        <w:tc>
          <w:tcPr>
            <w:tcW w:w="583"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100</w:t>
            </w:r>
          </w:p>
        </w:tc>
        <w:tc>
          <w:tcPr>
            <w:tcW w:w="560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1"/>
                <w:szCs w:val="21"/>
                <w:u w:val="none"/>
              </w:rPr>
            </w:pPr>
          </w:p>
        </w:tc>
        <w:tc>
          <w:tcPr>
            <w:tcW w:w="650"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96</w:t>
            </w:r>
          </w:p>
        </w:tc>
      </w:tr>
    </w:tbl>
    <w:p>
      <w:pPr>
        <w:bidi w:val="0"/>
        <w:rPr>
          <w:rFonts w:hint="eastAsia"/>
          <w:lang w:val="en-US" w:eastAsia="zh-CN"/>
        </w:rPr>
        <w:sectPr>
          <w:pgSz w:w="16838" w:h="11906" w:orient="landscape"/>
          <w:pgMar w:top="1474" w:right="1587" w:bottom="1474" w:left="158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bCs/>
          <w:color w:val="auto"/>
          <w:sz w:val="32"/>
          <w:szCs w:val="32"/>
          <w:lang w:val="en-US" w:eastAsia="zh-CN"/>
        </w:rPr>
      </w:pPr>
      <w:bookmarkStart w:id="20" w:name="_Toc12816"/>
      <w:bookmarkStart w:id="21" w:name="_Toc6211"/>
      <w:bookmarkStart w:id="22" w:name="_Toc21152"/>
      <w:r>
        <w:rPr>
          <w:rFonts w:hint="eastAsia" w:ascii="方正仿宋_GBK" w:hAnsi="方正仿宋_GBK" w:eastAsia="方正仿宋_GBK" w:cs="方正仿宋_GBK"/>
          <w:bCs/>
          <w:color w:val="auto"/>
          <w:sz w:val="32"/>
          <w:szCs w:val="32"/>
          <w:lang w:val="en-US" w:eastAsia="zh-CN"/>
        </w:rPr>
        <w:t>评价方法</w:t>
      </w:r>
      <w:bookmarkEnd w:id="20"/>
      <w:bookmarkEnd w:id="21"/>
      <w:bookmarkEnd w:id="22"/>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本次绩效评价运用</w:t>
      </w:r>
      <w:r>
        <w:rPr>
          <w:rFonts w:hint="eastAsia" w:ascii="方正仿宋_GBK" w:hAnsi="方正仿宋_GBK" w:eastAsia="方正仿宋_GBK" w:cs="方正仿宋_GBK"/>
          <w:bCs/>
          <w:color w:val="auto"/>
          <w:sz w:val="32"/>
          <w:szCs w:val="32"/>
          <w:lang w:val="en-US" w:eastAsia="zh-CN"/>
        </w:rPr>
        <w:t>了</w:t>
      </w:r>
      <w:r>
        <w:rPr>
          <w:rFonts w:hint="eastAsia" w:ascii="方正仿宋_GBK" w:hAnsi="方正仿宋_GBK" w:eastAsia="方正仿宋_GBK" w:cs="方正仿宋_GBK"/>
          <w:bCs/>
          <w:color w:val="auto"/>
          <w:sz w:val="32"/>
          <w:szCs w:val="32"/>
        </w:rPr>
        <w:t>比较法、因素分析法、公众评判法等方法进行评价。</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lang w:val="en-US" w:eastAsia="zh-CN"/>
        </w:rPr>
        <w:t>1</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rPr>
        <w:t>比较法</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rPr>
        <w:t>是指通过对绩效目标与实施效果、历史与当期的比较，综合分析绩效目标实现程度。</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lang w:val="en-US" w:eastAsia="zh-CN"/>
        </w:rPr>
        <w:t>2</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rPr>
        <w:t>因素分析法</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rPr>
        <w:t>是指通过综合分析影响绩效目标实现、实施效果的内外因素，评价绩效目标实现程度。</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rPr>
        <w:t>公众评判法</w:t>
      </w:r>
      <w:r>
        <w:rPr>
          <w:rFonts w:hint="eastAsia" w:ascii="方正仿宋_GBK" w:hAnsi="方正仿宋_GBK" w:eastAsia="方正仿宋_GBK" w:cs="方正仿宋_GBK"/>
          <w:bCs/>
          <w:color w:val="auto"/>
          <w:sz w:val="32"/>
          <w:szCs w:val="32"/>
          <w:lang w:eastAsia="zh-CN"/>
        </w:rPr>
        <w:t>：</w:t>
      </w:r>
      <w:r>
        <w:rPr>
          <w:rFonts w:hint="eastAsia" w:ascii="方正仿宋_GBK" w:hAnsi="方正仿宋_GBK" w:eastAsia="方正仿宋_GBK" w:cs="方正仿宋_GBK"/>
          <w:bCs/>
          <w:color w:val="auto"/>
          <w:sz w:val="32"/>
          <w:szCs w:val="32"/>
        </w:rPr>
        <w:t>是指通过专家评估、公众问卷及抽样调查等对</w:t>
      </w:r>
      <w:r>
        <w:rPr>
          <w:rFonts w:hint="eastAsia" w:ascii="方正仿宋_GBK" w:hAnsi="方正仿宋_GBK" w:eastAsia="方正仿宋_GBK" w:cs="方正仿宋_GBK"/>
          <w:bCs/>
          <w:color w:val="auto"/>
          <w:sz w:val="32"/>
          <w:szCs w:val="32"/>
          <w:lang w:val="en-US" w:eastAsia="zh-CN"/>
        </w:rPr>
        <w:t>财政</w:t>
      </w:r>
      <w:r>
        <w:rPr>
          <w:rFonts w:hint="eastAsia" w:ascii="方正仿宋_GBK" w:hAnsi="方正仿宋_GBK" w:eastAsia="方正仿宋_GBK" w:cs="方正仿宋_GBK"/>
          <w:bCs/>
          <w:color w:val="auto"/>
          <w:sz w:val="32"/>
          <w:szCs w:val="32"/>
        </w:rPr>
        <w:t>资金使用效果进行评判，评价绩效目标实现程度。</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outlineLvl w:val="1"/>
        <w:rPr>
          <w:rFonts w:hint="eastAsia" w:ascii="方正楷体_GBK" w:hAnsi="方正楷体_GBK" w:eastAsia="方正楷体_GBK" w:cs="方正楷体_GBK"/>
          <w:color w:val="auto"/>
          <w:sz w:val="32"/>
          <w:szCs w:val="32"/>
          <w:highlight w:val="none"/>
        </w:rPr>
      </w:pPr>
      <w:bookmarkStart w:id="23" w:name="_Toc2624"/>
      <w:bookmarkStart w:id="24" w:name="_Toc21057"/>
      <w:bookmarkStart w:id="25" w:name="_Toc20381"/>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rPr>
        <w:t>三）绩效评价工作过程</w:t>
      </w:r>
      <w:bookmarkEnd w:id="23"/>
      <w:bookmarkEnd w:id="24"/>
      <w:bookmarkEnd w:id="25"/>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bCs/>
          <w:color w:val="auto"/>
          <w:sz w:val="32"/>
          <w:szCs w:val="32"/>
          <w:lang w:val="en-US" w:eastAsia="zh-CN"/>
        </w:rPr>
      </w:pPr>
      <w:bookmarkStart w:id="26" w:name="_Toc23107"/>
      <w:bookmarkStart w:id="27" w:name="_Toc12694"/>
      <w:bookmarkStart w:id="28" w:name="_Toc4360"/>
      <w:bookmarkStart w:id="29" w:name="_Toc19930"/>
      <w:r>
        <w:rPr>
          <w:rFonts w:hint="eastAsia" w:ascii="方正仿宋_GBK" w:hAnsi="方正仿宋_GBK" w:eastAsia="方正仿宋_GBK" w:cs="方正仿宋_GBK"/>
          <w:bCs/>
          <w:color w:val="auto"/>
          <w:sz w:val="32"/>
          <w:szCs w:val="32"/>
          <w:lang w:val="en-US" w:eastAsia="zh-CN"/>
        </w:rPr>
        <w:t>1. 评价工作组织架构及审批流程</w:t>
      </w:r>
      <w:bookmarkEnd w:id="26"/>
      <w:bookmarkEnd w:id="27"/>
      <w:bookmarkEnd w:id="28"/>
      <w:bookmarkEnd w:id="29"/>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本次评价工作由</w:t>
      </w:r>
      <w:r>
        <w:rPr>
          <w:rFonts w:hint="eastAsia" w:ascii="方正仿宋_GBK" w:hAnsi="方正仿宋_GBK" w:eastAsia="方正仿宋_GBK" w:cs="方正仿宋_GBK"/>
          <w:color w:val="auto"/>
          <w:sz w:val="32"/>
          <w:szCs w:val="32"/>
          <w:lang w:val="en-US" w:eastAsia="zh-CN"/>
        </w:rPr>
        <w:t>部门</w:t>
      </w:r>
      <w:r>
        <w:rPr>
          <w:rFonts w:hint="eastAsia" w:ascii="方正仿宋_GBK" w:hAnsi="方正仿宋_GBK" w:eastAsia="方正仿宋_GBK" w:cs="方正仿宋_GBK"/>
          <w:color w:val="auto"/>
          <w:sz w:val="32"/>
          <w:szCs w:val="32"/>
        </w:rPr>
        <w:t>主要领导统筹负责，具体工作由</w:t>
      </w:r>
      <w:r>
        <w:rPr>
          <w:rFonts w:hint="eastAsia" w:ascii="方正仿宋_GBK" w:hAnsi="方正仿宋_GBK" w:eastAsia="方正仿宋_GBK" w:cs="方正仿宋_GBK"/>
          <w:color w:val="auto"/>
          <w:sz w:val="32"/>
          <w:szCs w:val="32"/>
          <w:lang w:val="en-US" w:eastAsia="zh-CN"/>
        </w:rPr>
        <w:t>办公室</w:t>
      </w:r>
      <w:r>
        <w:rPr>
          <w:rFonts w:hint="eastAsia" w:ascii="方正仿宋_GBK" w:hAnsi="方正仿宋_GBK" w:eastAsia="方正仿宋_GBK" w:cs="方正仿宋_GBK"/>
          <w:color w:val="auto"/>
          <w:sz w:val="32"/>
          <w:szCs w:val="32"/>
        </w:rPr>
        <w:t>牵头，各个业务</w:t>
      </w:r>
      <w:r>
        <w:rPr>
          <w:rFonts w:hint="eastAsia" w:ascii="方正仿宋_GBK" w:hAnsi="方正仿宋_GBK" w:eastAsia="方正仿宋_GBK" w:cs="方正仿宋_GBK"/>
          <w:color w:val="auto"/>
          <w:sz w:val="32"/>
          <w:szCs w:val="32"/>
          <w:lang w:val="en-US" w:eastAsia="zh-CN"/>
        </w:rPr>
        <w:t>科室</w:t>
      </w:r>
      <w:r>
        <w:rPr>
          <w:rFonts w:hint="eastAsia" w:ascii="方正仿宋_GBK" w:hAnsi="方正仿宋_GBK" w:eastAsia="方正仿宋_GBK" w:cs="方正仿宋_GBK"/>
          <w:color w:val="auto"/>
          <w:sz w:val="32"/>
          <w:szCs w:val="32"/>
        </w:rPr>
        <w:t>配合开展。</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bCs/>
          <w:color w:val="auto"/>
          <w:sz w:val="32"/>
          <w:szCs w:val="32"/>
          <w:lang w:val="en-US" w:eastAsia="zh-CN"/>
        </w:rPr>
      </w:pPr>
      <w:bookmarkStart w:id="30" w:name="_Toc20715"/>
      <w:bookmarkStart w:id="31" w:name="_Toc362"/>
      <w:bookmarkStart w:id="32" w:name="_Toc32251"/>
      <w:bookmarkStart w:id="33" w:name="_Toc15466"/>
      <w:r>
        <w:rPr>
          <w:rFonts w:hint="eastAsia" w:ascii="方正仿宋_GBK" w:hAnsi="方正仿宋_GBK" w:eastAsia="方正仿宋_GBK" w:cs="方正仿宋_GBK"/>
          <w:bCs/>
          <w:color w:val="auto"/>
          <w:sz w:val="32"/>
          <w:szCs w:val="32"/>
          <w:lang w:val="en-US" w:eastAsia="zh-CN"/>
        </w:rPr>
        <w:t>项目基础数据和信息采集</w:t>
      </w:r>
      <w:bookmarkEnd w:id="30"/>
      <w:bookmarkEnd w:id="31"/>
      <w:bookmarkEnd w:id="32"/>
      <w:bookmarkEnd w:id="33"/>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评价依据</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①</w:t>
      </w:r>
      <w:r>
        <w:rPr>
          <w:rFonts w:hint="eastAsia" w:ascii="方正仿宋_GBK" w:hAnsi="方正仿宋_GBK" w:eastAsia="方正仿宋_GBK" w:cs="方正仿宋_GBK"/>
          <w:color w:val="auto"/>
          <w:sz w:val="32"/>
          <w:szCs w:val="32"/>
        </w:rPr>
        <w:t>《中共中央国务院关于全面实施预算绩效管理的意见》（中发〔2018〕34号）</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②</w:t>
      </w:r>
      <w:r>
        <w:rPr>
          <w:rFonts w:hint="eastAsia" w:ascii="方正仿宋_GBK" w:hAnsi="方正仿宋_GBK" w:eastAsia="方正仿宋_GBK" w:cs="方正仿宋_GBK"/>
          <w:color w:val="auto"/>
          <w:sz w:val="32"/>
          <w:szCs w:val="32"/>
        </w:rPr>
        <w:t>《重庆市委重庆市人民政府关于全面实施预算绩效管理的实施意见》（渝委发〔2019〕12号）</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③《</w:t>
      </w:r>
      <w:r>
        <w:rPr>
          <w:rFonts w:hint="eastAsia" w:ascii="方正仿宋_GBK" w:hAnsi="方正仿宋_GBK" w:eastAsia="方正仿宋_GBK" w:cs="方正仿宋_GBK"/>
          <w:color w:val="auto"/>
          <w:sz w:val="32"/>
          <w:szCs w:val="32"/>
          <w:lang w:val="en-US" w:eastAsia="zh-CN"/>
        </w:rPr>
        <w:t>重庆市璧山区财政局关于开展2021年度绩效评价工作的通知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璧财绩</w:t>
      </w:r>
      <w:r>
        <w:rPr>
          <w:rFonts w:hint="eastAsia" w:ascii="方正仿宋_GBK" w:hAnsi="方正仿宋_GBK" w:eastAsia="方正仿宋_GBK" w:cs="方正仿宋_GBK"/>
          <w:color w:val="auto"/>
          <w:sz w:val="32"/>
          <w:szCs w:val="32"/>
          <w:lang w:eastAsia="zh-CN"/>
        </w:rPr>
        <w:t>〔20</w:t>
      </w:r>
      <w:r>
        <w:rPr>
          <w:rFonts w:hint="eastAsia" w:ascii="方正仿宋_GBK" w:hAnsi="方正仿宋_GBK" w:eastAsia="方正仿宋_GBK" w:cs="方正仿宋_GBK"/>
          <w:color w:val="auto"/>
          <w:sz w:val="32"/>
          <w:szCs w:val="32"/>
          <w:lang w:val="en-US" w:eastAsia="zh-CN"/>
        </w:rPr>
        <w:t>22</w:t>
      </w:r>
      <w:r>
        <w:rPr>
          <w:rFonts w:hint="eastAsia" w:ascii="方正仿宋_GBK" w:hAnsi="方正仿宋_GBK" w:eastAsia="方正仿宋_GBK" w:cs="方正仿宋_GBK"/>
          <w:color w:val="auto"/>
          <w:sz w:val="32"/>
          <w:szCs w:val="32"/>
          <w:lang w:eastAsia="zh-CN"/>
        </w:rPr>
        <w:t>〕2号）</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评价过程</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①</w:t>
      </w:r>
      <w:r>
        <w:rPr>
          <w:rFonts w:hint="eastAsia" w:ascii="方正仿宋_GBK" w:hAnsi="方正仿宋_GBK" w:eastAsia="方正仿宋_GBK" w:cs="方正仿宋_GBK"/>
          <w:color w:val="auto"/>
          <w:sz w:val="32"/>
          <w:szCs w:val="32"/>
        </w:rPr>
        <w:t>成立绩效评价项目组，进行人员分工；</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②</w:t>
      </w:r>
      <w:r>
        <w:rPr>
          <w:rFonts w:hint="eastAsia" w:ascii="方正仿宋_GBK" w:hAnsi="方正仿宋_GBK" w:eastAsia="方正仿宋_GBK" w:cs="方正仿宋_GBK"/>
          <w:color w:val="auto"/>
          <w:sz w:val="32"/>
          <w:szCs w:val="32"/>
        </w:rPr>
        <w:t>组织项目组成员学习项目相关文件资料、熟悉项目实施方案；</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③</w:t>
      </w:r>
      <w:r>
        <w:rPr>
          <w:rFonts w:hint="eastAsia" w:ascii="方正仿宋_GBK" w:hAnsi="方正仿宋_GBK" w:eastAsia="方正仿宋_GBK" w:cs="方正仿宋_GBK"/>
          <w:color w:val="auto"/>
          <w:sz w:val="32"/>
          <w:szCs w:val="32"/>
        </w:rPr>
        <w:t>项目具体负责人，经办人，业务实施负责人集中讨论汇报；</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④</w:t>
      </w:r>
      <w:r>
        <w:rPr>
          <w:rFonts w:hint="eastAsia" w:ascii="方正仿宋_GBK" w:hAnsi="方正仿宋_GBK" w:eastAsia="方正仿宋_GBK" w:cs="方正仿宋_GBK"/>
          <w:color w:val="auto"/>
          <w:sz w:val="32"/>
          <w:szCs w:val="32"/>
        </w:rPr>
        <w:t>搜集整理汇总项目相关资料，对各项指标进行逐项逐条分析、评价；</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⑤</w:t>
      </w:r>
      <w:r>
        <w:rPr>
          <w:rFonts w:hint="eastAsia" w:ascii="方正仿宋_GBK" w:hAnsi="方正仿宋_GBK" w:eastAsia="方正仿宋_GBK" w:cs="方正仿宋_GBK"/>
          <w:color w:val="auto"/>
          <w:sz w:val="32"/>
          <w:szCs w:val="32"/>
        </w:rPr>
        <w:t>对项目受益人、项目基层实施人员、参加培训人员开展问卷调查，获取项目资料；</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⑥</w:t>
      </w:r>
      <w:r>
        <w:rPr>
          <w:rFonts w:hint="eastAsia" w:ascii="方正仿宋_GBK" w:hAnsi="方正仿宋_GBK" w:eastAsia="方正仿宋_GBK" w:cs="方正仿宋_GBK"/>
          <w:color w:val="auto"/>
          <w:sz w:val="32"/>
          <w:szCs w:val="32"/>
        </w:rPr>
        <w:t>整理、分析，撰写绩效评价报告。</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bCs/>
          <w:color w:val="auto"/>
          <w:sz w:val="32"/>
          <w:szCs w:val="32"/>
          <w:lang w:val="en-US" w:eastAsia="zh-CN"/>
        </w:rPr>
      </w:pPr>
      <w:bookmarkStart w:id="34" w:name="_Toc1675"/>
      <w:bookmarkStart w:id="35" w:name="_Toc14600"/>
      <w:bookmarkStart w:id="36" w:name="_Toc11026"/>
      <w:bookmarkStart w:id="37" w:name="_Toc7636"/>
      <w:r>
        <w:rPr>
          <w:rFonts w:hint="eastAsia" w:ascii="方正仿宋_GBK" w:hAnsi="方正仿宋_GBK" w:eastAsia="方正仿宋_GBK" w:cs="方正仿宋_GBK"/>
          <w:bCs/>
          <w:color w:val="auto"/>
          <w:sz w:val="32"/>
          <w:szCs w:val="32"/>
          <w:lang w:val="en-US" w:eastAsia="zh-CN"/>
        </w:rPr>
        <w:t>实地调查</w:t>
      </w:r>
      <w:bookmarkEnd w:id="34"/>
      <w:bookmarkEnd w:id="35"/>
      <w:bookmarkEnd w:id="36"/>
      <w:bookmarkEnd w:id="37"/>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通过文献分析、问卷调查、文件检查、访谈法和大数据分析等方法，对我</w:t>
      </w:r>
      <w:r>
        <w:rPr>
          <w:rFonts w:hint="eastAsia" w:ascii="方正仿宋_GBK" w:hAnsi="方正仿宋_GBK" w:eastAsia="方正仿宋_GBK" w:cs="方正仿宋_GBK"/>
          <w:color w:val="auto"/>
          <w:sz w:val="32"/>
          <w:szCs w:val="32"/>
          <w:lang w:val="en-US" w:eastAsia="zh-CN"/>
        </w:rPr>
        <w:t>部门整体</w:t>
      </w:r>
      <w:r>
        <w:rPr>
          <w:rFonts w:hint="eastAsia" w:ascii="方正仿宋_GBK" w:hAnsi="方正仿宋_GBK" w:eastAsia="方正仿宋_GBK" w:cs="方正仿宋_GBK"/>
          <w:color w:val="auto"/>
          <w:sz w:val="32"/>
          <w:szCs w:val="32"/>
        </w:rPr>
        <w:t>进行绩效</w:t>
      </w:r>
      <w:r>
        <w:rPr>
          <w:rFonts w:hint="eastAsia" w:ascii="方正仿宋_GBK" w:hAnsi="方正仿宋_GBK" w:eastAsia="方正仿宋_GBK" w:cs="方正仿宋_GBK"/>
          <w:color w:val="auto"/>
          <w:sz w:val="32"/>
          <w:szCs w:val="32"/>
          <w:lang w:val="en-US" w:eastAsia="zh-CN"/>
        </w:rPr>
        <w:t>评价</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outlineLvl w:val="0"/>
        <w:rPr>
          <w:rFonts w:hint="eastAsia" w:ascii="方正仿宋_GBK" w:hAnsi="方正仿宋_GBK" w:eastAsia="方正仿宋_GBK" w:cs="方正仿宋_GBK"/>
          <w:sz w:val="32"/>
          <w:szCs w:val="32"/>
        </w:rPr>
      </w:pPr>
      <w:bookmarkStart w:id="38" w:name="_Toc29456"/>
      <w:bookmarkStart w:id="39" w:name="_Toc3456"/>
      <w:r>
        <w:rPr>
          <w:rFonts w:hint="eastAsia" w:ascii="方正仿宋_GBK" w:hAnsi="方正仿宋_GBK" w:eastAsia="方正仿宋_GBK" w:cs="方正仿宋_GBK"/>
          <w:sz w:val="32"/>
          <w:szCs w:val="32"/>
        </w:rPr>
        <w:t>三、绩效评价情况及结论</w:t>
      </w:r>
      <w:bookmarkEnd w:id="38"/>
      <w:bookmarkEnd w:id="39"/>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highlight w:val="none"/>
          <w:lang w:eastAsia="zh-CN"/>
        </w:rPr>
        <w:t>2021</w:t>
      </w:r>
      <w:r>
        <w:rPr>
          <w:rFonts w:hint="eastAsia" w:ascii="方正仿宋_GBK" w:hAnsi="方正仿宋_GBK" w:eastAsia="方正仿宋_GBK" w:cs="方正仿宋_GBK"/>
          <w:color w:val="auto"/>
          <w:sz w:val="32"/>
          <w:szCs w:val="32"/>
          <w:highlight w:val="none"/>
        </w:rPr>
        <w:t>年度我</w:t>
      </w:r>
      <w:r>
        <w:rPr>
          <w:rFonts w:hint="eastAsia" w:ascii="方正仿宋_GBK" w:hAnsi="方正仿宋_GBK" w:eastAsia="方正仿宋_GBK" w:cs="方正仿宋_GBK"/>
          <w:color w:val="auto"/>
          <w:sz w:val="32"/>
          <w:szCs w:val="32"/>
          <w:highlight w:val="none"/>
          <w:lang w:val="en-US" w:eastAsia="zh-CN"/>
        </w:rPr>
        <w:t>部门整体</w:t>
      </w:r>
      <w:r>
        <w:rPr>
          <w:rFonts w:hint="eastAsia" w:ascii="方正仿宋_GBK" w:hAnsi="方正仿宋_GBK" w:eastAsia="方正仿宋_GBK" w:cs="方正仿宋_GBK"/>
          <w:color w:val="auto"/>
          <w:sz w:val="32"/>
          <w:szCs w:val="32"/>
          <w:highlight w:val="none"/>
        </w:rPr>
        <w:t>绩效自评得分为</w:t>
      </w:r>
      <w:r>
        <w:rPr>
          <w:rFonts w:hint="eastAsia" w:ascii="方正仿宋_GBK" w:hAnsi="方正仿宋_GBK" w:eastAsia="方正仿宋_GBK" w:cs="方正仿宋_GBK"/>
          <w:color w:val="auto"/>
          <w:sz w:val="32"/>
          <w:szCs w:val="32"/>
          <w:highlight w:val="none"/>
          <w:lang w:val="en-US" w:eastAsia="zh-CN"/>
        </w:rPr>
        <w:t>96</w:t>
      </w:r>
      <w:r>
        <w:rPr>
          <w:rFonts w:hint="eastAsia" w:ascii="方正仿宋_GBK" w:hAnsi="方正仿宋_GBK" w:eastAsia="方正仿宋_GBK" w:cs="方正仿宋_GBK"/>
          <w:color w:val="auto"/>
          <w:sz w:val="32"/>
          <w:szCs w:val="32"/>
          <w:highlight w:val="none"/>
        </w:rPr>
        <w:t>分。详</w:t>
      </w:r>
      <w:r>
        <w:rPr>
          <w:rFonts w:hint="eastAsia" w:ascii="方正仿宋_GBK" w:hAnsi="方正仿宋_GBK" w:eastAsia="方正仿宋_GBK" w:cs="方正仿宋_GBK"/>
          <w:color w:val="auto"/>
          <w:sz w:val="32"/>
          <w:szCs w:val="32"/>
        </w:rPr>
        <w:t>细情况分析如下：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1"/>
        <w:rPr>
          <w:rFonts w:hint="eastAsia" w:ascii="方正仿宋_GBK" w:hAnsi="方正仿宋_GBK" w:eastAsia="方正仿宋_GBK" w:cs="方正仿宋_GBK"/>
          <w:sz w:val="32"/>
          <w:szCs w:val="32"/>
        </w:rPr>
      </w:pPr>
      <w:bookmarkStart w:id="40" w:name="_Toc692"/>
      <w:bookmarkStart w:id="41" w:name="_Toc28869"/>
      <w:r>
        <w:rPr>
          <w:rFonts w:hint="eastAsia" w:ascii="方正仿宋_GBK" w:hAnsi="方正仿宋_GBK" w:eastAsia="方正仿宋_GBK" w:cs="方正仿宋_GBK"/>
          <w:sz w:val="32"/>
          <w:szCs w:val="32"/>
        </w:rPr>
        <w:t>（一）投入评价情况</w:t>
      </w:r>
      <w:bookmarkEnd w:id="40"/>
      <w:bookmarkEnd w:id="41"/>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2021年，我部门投入指标在整体绩效自评中所占分值为7分，实际得分为7分，详细得分情况如下：</w:t>
      </w:r>
    </w:p>
    <w:p>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sz w:val="32"/>
          <w:szCs w:val="32"/>
          <w:lang w:val="en-US" w:eastAsia="zh-CN"/>
        </w:rPr>
      </w:pPr>
      <w:bookmarkStart w:id="42" w:name="_Toc5774"/>
      <w:bookmarkStart w:id="43" w:name="_Toc18668"/>
      <w:r>
        <w:rPr>
          <w:rFonts w:hint="eastAsia" w:ascii="方正仿宋_GBK" w:hAnsi="方正仿宋_GBK" w:eastAsia="方正仿宋_GBK" w:cs="方正仿宋_GBK"/>
          <w:sz w:val="32"/>
          <w:szCs w:val="32"/>
          <w:lang w:val="en-US" w:eastAsia="zh-CN"/>
        </w:rPr>
        <w:t>目标设定</w:t>
      </w:r>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（1）绩效目标的合理性</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度，我部门依据国家法律法规、国民经济和社会发展总体规划，以及部门《三定方案》中所定的职能职责，制定了部门整体工作计划。我部门制定的整体工作计划与部门中长期实施规划、部门履职、年度工作任务完全符合，该指标得1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（2）绩效指标的明确性</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度，我部门根据部门的年度预算与年度计划数，将部门整体工作计划细化分解为具体工作，在预算平台上填报项目及具体指标，并对追加项目编制了《项目支出绩效目标申报表》，并通过清晰、可衡量的指标值予以体现，该指标得2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sz w:val="32"/>
          <w:szCs w:val="32"/>
          <w:lang w:val="en-US" w:eastAsia="zh-CN"/>
        </w:rPr>
      </w:pPr>
      <w:bookmarkStart w:id="44" w:name="_Toc3730"/>
      <w:bookmarkStart w:id="45" w:name="_Toc26058"/>
      <w:r>
        <w:rPr>
          <w:rFonts w:hint="eastAsia" w:ascii="方正仿宋_GBK" w:hAnsi="方正仿宋_GBK" w:eastAsia="方正仿宋_GBK" w:cs="方正仿宋_GBK"/>
          <w:sz w:val="32"/>
          <w:szCs w:val="32"/>
          <w:lang w:val="en-US" w:eastAsia="zh-CN"/>
        </w:rPr>
        <w:t>2.预算配置</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（3）在职人员控制率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2021年度，我部门年末编制47人，实有人数51人(包含派驻纪检组4人)，在职人员控制率为100%，该指标得2分。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（4）"三公经费"变动率</w:t>
      </w:r>
    </w:p>
    <w:bookmarkEnd w:id="18"/>
    <w:bookmarkEnd w:id="19"/>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val="en-US" w:eastAsia="zh-CN"/>
        </w:rPr>
        <w:t>2021年度，我部门三公经费预算为172500元，</w:t>
      </w:r>
      <w:r>
        <w:rPr>
          <w:rFonts w:hint="eastAsia" w:ascii="方正仿宋_GBK" w:hAnsi="方正仿宋_GBK" w:eastAsia="方正仿宋_GBK" w:cs="方正仿宋_GBK"/>
          <w:color w:val="auto"/>
          <w:sz w:val="32"/>
          <w:szCs w:val="32"/>
          <w:lang w:val="en-US" w:eastAsia="zh-CN"/>
        </w:rPr>
        <w:t>同2020年“三公”经费预算</w:t>
      </w:r>
      <w:r>
        <w:rPr>
          <w:rFonts w:hint="eastAsia" w:ascii="方正仿宋_GBK" w:hAnsi="方正仿宋_GBK" w:eastAsia="方正仿宋_GBK" w:cs="方正仿宋_GBK"/>
          <w:sz w:val="32"/>
          <w:szCs w:val="32"/>
          <w:lang w:val="en-US" w:eastAsia="zh-CN"/>
        </w:rPr>
        <w:t>175000</w:t>
      </w:r>
      <w:r>
        <w:rPr>
          <w:rFonts w:hint="eastAsia" w:ascii="方正仿宋_GBK" w:hAnsi="方正仿宋_GBK" w:eastAsia="方正仿宋_GBK" w:cs="方正仿宋_GBK"/>
          <w:color w:val="auto"/>
          <w:sz w:val="32"/>
          <w:szCs w:val="32"/>
          <w:lang w:val="en-US" w:eastAsia="zh-CN"/>
        </w:rPr>
        <w:t>元相比减少2500元。其中：无因公出国（境）费用，与2020年持平；公务接待费72500元，同2020年75000元相比少2500元；公务用车运行维护费100000元，与2020年持平；公务用车购置费0.00元，与2020年持平，我部门“三公经费”变动率为-2.70%，该指标得2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1"/>
        <w:rPr>
          <w:rFonts w:hint="eastAsia" w:ascii="方正楷体_GBK" w:hAnsi="方正楷体_GBK" w:eastAsia="方正楷体_GBK" w:cs="方正楷体_GBK"/>
          <w:sz w:val="32"/>
          <w:szCs w:val="32"/>
        </w:rPr>
      </w:pPr>
      <w:bookmarkStart w:id="46" w:name="_Toc19845"/>
      <w:bookmarkStart w:id="47" w:name="_Toc26668"/>
      <w:r>
        <w:rPr>
          <w:rFonts w:hint="eastAsia" w:ascii="方正楷体_GBK" w:hAnsi="方正楷体_GBK" w:eastAsia="方正楷体_GBK" w:cs="方正楷体_GBK"/>
          <w:sz w:val="32"/>
          <w:szCs w:val="32"/>
        </w:rPr>
        <w:t>（二）过程评价情况</w:t>
      </w:r>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2021</w:t>
      </w:r>
      <w:r>
        <w:rPr>
          <w:rFonts w:hint="eastAsia" w:ascii="方正仿宋_GBK" w:hAnsi="方正仿宋_GBK" w:eastAsia="方正仿宋_GBK" w:cs="方正仿宋_GBK"/>
          <w:color w:val="auto"/>
          <w:sz w:val="32"/>
          <w:szCs w:val="32"/>
        </w:rPr>
        <w:t>年，我部门过程</w:t>
      </w:r>
      <w:r>
        <w:rPr>
          <w:rFonts w:hint="eastAsia" w:ascii="方正仿宋_GBK" w:hAnsi="方正仿宋_GBK" w:eastAsia="方正仿宋_GBK" w:cs="方正仿宋_GBK"/>
          <w:color w:val="auto"/>
          <w:sz w:val="32"/>
          <w:szCs w:val="32"/>
          <w:lang w:val="en-US" w:eastAsia="zh-CN"/>
        </w:rPr>
        <w:t>指标</w:t>
      </w:r>
      <w:r>
        <w:rPr>
          <w:rFonts w:hint="eastAsia" w:ascii="方正仿宋_GBK" w:hAnsi="方正仿宋_GBK" w:eastAsia="方正仿宋_GBK" w:cs="方正仿宋_GBK"/>
          <w:color w:val="auto"/>
          <w:sz w:val="32"/>
          <w:szCs w:val="32"/>
        </w:rPr>
        <w:t>在整体绩效自评中所占分值为</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分，实际得分</w:t>
      </w:r>
      <w:r>
        <w:rPr>
          <w:rFonts w:hint="eastAsia" w:ascii="方正仿宋_GBK" w:hAnsi="方正仿宋_GBK" w:eastAsia="方正仿宋_GBK" w:cs="方正仿宋_GBK"/>
          <w:color w:val="auto"/>
          <w:sz w:val="32"/>
          <w:szCs w:val="32"/>
          <w:highlight w:val="none"/>
        </w:rPr>
        <w:t>为</w:t>
      </w:r>
      <w:r>
        <w:rPr>
          <w:rFonts w:hint="eastAsia" w:ascii="方正仿宋_GBK" w:hAnsi="方正仿宋_GBK" w:eastAsia="方正仿宋_GBK" w:cs="方正仿宋_GBK"/>
          <w:color w:val="auto"/>
          <w:sz w:val="32"/>
          <w:szCs w:val="32"/>
          <w:highlight w:val="none"/>
          <w:lang w:val="en-US" w:eastAsia="zh-CN"/>
        </w:rPr>
        <w:t>22.5</w:t>
      </w:r>
      <w:r>
        <w:rPr>
          <w:rFonts w:hint="eastAsia" w:ascii="方正仿宋_GBK" w:hAnsi="方正仿宋_GBK" w:eastAsia="方正仿宋_GBK" w:cs="方正仿宋_GBK"/>
          <w:color w:val="auto"/>
          <w:sz w:val="32"/>
          <w:szCs w:val="32"/>
          <w:highlight w:val="none"/>
        </w:rPr>
        <w:t>分</w:t>
      </w:r>
      <w:r>
        <w:rPr>
          <w:rFonts w:hint="eastAsia" w:ascii="方正仿宋_GBK" w:hAnsi="方正仿宋_GBK" w:eastAsia="方正仿宋_GBK" w:cs="方正仿宋_GBK"/>
          <w:color w:val="auto"/>
          <w:sz w:val="32"/>
          <w:szCs w:val="32"/>
        </w:rPr>
        <w:t>，详细得分情况如下：</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sz w:val="32"/>
          <w:szCs w:val="32"/>
          <w:lang w:val="en-US" w:eastAsia="zh-CN"/>
        </w:rPr>
      </w:pPr>
      <w:bookmarkStart w:id="48" w:name="_Toc12907"/>
      <w:bookmarkStart w:id="49" w:name="_Toc8057"/>
      <w:r>
        <w:rPr>
          <w:rFonts w:hint="eastAsia" w:ascii="方正仿宋_GBK" w:hAnsi="方正仿宋_GBK" w:eastAsia="方正仿宋_GBK" w:cs="方正仿宋_GBK"/>
          <w:sz w:val="32"/>
          <w:szCs w:val="32"/>
          <w:lang w:val="en-US" w:eastAsia="zh-CN"/>
        </w:rPr>
        <w:t>预算执行</w:t>
      </w:r>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（1）预算完成率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2021年度，我部门年初预算数</w:t>
      </w:r>
      <w:r>
        <w:rPr>
          <w:rFonts w:hint="eastAsia" w:ascii="方正仿宋_GBK" w:hAnsi="方正仿宋_GBK" w:eastAsia="方正仿宋_GBK" w:cs="方正仿宋_GBK"/>
          <w:color w:val="auto"/>
          <w:sz w:val="32"/>
          <w:szCs w:val="32"/>
          <w:highlight w:val="none"/>
          <w:lang w:val="en-US" w:eastAsia="zh-CN"/>
        </w:rPr>
        <w:t>16831731.51元</w:t>
      </w:r>
      <w:r>
        <w:rPr>
          <w:rFonts w:hint="eastAsia" w:ascii="方正仿宋_GBK" w:hAnsi="方正仿宋_GBK" w:eastAsia="方正仿宋_GBK" w:cs="方正仿宋_GBK"/>
          <w:color w:val="auto"/>
          <w:sz w:val="32"/>
          <w:szCs w:val="32"/>
          <w:lang w:val="en-US" w:eastAsia="zh-CN"/>
        </w:rPr>
        <w:t>；本年收入合计17339595.32元，包括一般公共预算财政拨款17339595.32元；年初结转结余853123.8元；年度中期调整预算数17339595.32元，预算完成数17339595.32元，预算完成率为100.00%，不扣分，该指标得1.5分。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（2）预算调整率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2021年度，我部门年初预算数为</w:t>
      </w:r>
      <w:r>
        <w:rPr>
          <w:rFonts w:hint="eastAsia" w:ascii="方正仿宋_GBK" w:hAnsi="方正仿宋_GBK" w:eastAsia="方正仿宋_GBK" w:cs="方正仿宋_GBK"/>
          <w:color w:val="auto"/>
          <w:sz w:val="32"/>
          <w:szCs w:val="32"/>
          <w:highlight w:val="none"/>
          <w:lang w:val="en-US" w:eastAsia="zh-CN"/>
        </w:rPr>
        <w:t>16831731.51</w:t>
      </w:r>
      <w:r>
        <w:rPr>
          <w:rFonts w:hint="eastAsia" w:ascii="方正仿宋_GBK" w:hAnsi="方正仿宋_GBK" w:eastAsia="方正仿宋_GBK" w:cs="方正仿宋_GBK"/>
          <w:sz w:val="32"/>
          <w:szCs w:val="32"/>
          <w:highlight w:val="none"/>
          <w:lang w:val="en-US" w:eastAsia="zh-CN"/>
        </w:rPr>
        <w:t>元，</w:t>
      </w:r>
      <w:r>
        <w:rPr>
          <w:rFonts w:hint="eastAsia" w:ascii="方正仿宋_GBK" w:hAnsi="方正仿宋_GBK" w:eastAsia="方正仿宋_GBK" w:cs="方正仿宋_GBK"/>
          <w:sz w:val="32"/>
          <w:szCs w:val="32"/>
          <w:lang w:val="en-US" w:eastAsia="zh-CN"/>
        </w:rPr>
        <w:t>年度中期调整预算数为507863.81元，预算调整数为</w:t>
      </w:r>
      <w:r>
        <w:rPr>
          <w:rFonts w:hint="eastAsia" w:ascii="方正仿宋_GBK" w:hAnsi="方正仿宋_GBK" w:eastAsia="方正仿宋_GBK" w:cs="方正仿宋_GBK"/>
          <w:color w:val="auto"/>
          <w:sz w:val="32"/>
          <w:szCs w:val="32"/>
          <w:lang w:val="en-US" w:eastAsia="zh-CN"/>
        </w:rPr>
        <w:t>17339595.32</w:t>
      </w:r>
      <w:r>
        <w:rPr>
          <w:rFonts w:hint="eastAsia" w:ascii="方正仿宋_GBK" w:hAnsi="方正仿宋_GBK" w:eastAsia="方正仿宋_GBK" w:cs="方正仿宋_GBK"/>
          <w:sz w:val="32"/>
          <w:szCs w:val="32"/>
          <w:lang w:val="en-US" w:eastAsia="zh-CN"/>
        </w:rPr>
        <w:t>元，预算调整率为51.45%，该指标不得分。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（3）结转结余率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560" w:firstLineChars="200"/>
        <w:textAlignment w:val="auto"/>
        <w:rPr>
          <w:rFonts w:hint="eastAsia" w:ascii="方正仿宋_GBK" w:hAnsi="方正仿宋_GBK" w:eastAsia="方正仿宋_GBK" w:cs="方正仿宋_GBK"/>
          <w:spacing w:val="-20"/>
          <w:sz w:val="32"/>
          <w:szCs w:val="32"/>
          <w:lang w:val="en-US" w:eastAsia="zh-CN"/>
        </w:rPr>
      </w:pPr>
      <w:r>
        <w:rPr>
          <w:rFonts w:hint="eastAsia" w:ascii="方正仿宋_GBK" w:hAnsi="方正仿宋_GBK" w:eastAsia="方正仿宋_GBK" w:cs="方正仿宋_GBK"/>
          <w:spacing w:val="-20"/>
          <w:sz w:val="32"/>
          <w:szCs w:val="32"/>
          <w:lang w:val="en-US" w:eastAsia="zh-CN"/>
        </w:rPr>
        <w:t>2021年度，我部门年末结转结余0元，该指标得分1.5分。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（4）公用经费控制率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2021年度，我部门公用经费实际支出</w:t>
      </w:r>
      <w:r>
        <w:rPr>
          <w:rFonts w:hint="eastAsia" w:ascii="方正仿宋_GBK" w:hAnsi="方正仿宋_GBK" w:eastAsia="方正仿宋_GBK" w:cs="方正仿宋_GBK"/>
          <w:color w:val="auto"/>
          <w:sz w:val="32"/>
          <w:szCs w:val="32"/>
          <w:highlight w:val="none"/>
          <w:lang w:val="en-US" w:eastAsia="zh-CN"/>
        </w:rPr>
        <w:t>3215311.13</w:t>
      </w:r>
      <w:r>
        <w:rPr>
          <w:rFonts w:hint="eastAsia" w:ascii="方正仿宋_GBK" w:hAnsi="方正仿宋_GBK" w:eastAsia="方正仿宋_GBK" w:cs="方正仿宋_GBK"/>
          <w:color w:val="auto"/>
          <w:sz w:val="32"/>
          <w:szCs w:val="32"/>
          <w:lang w:val="en-US" w:eastAsia="zh-CN"/>
        </w:rPr>
        <w:t>元，公用经费预算安排3215311.13元，公用经费控制率为100%，该指标得1.5分。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（5）“三公经费”控制率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2021年度，我部门“三公经费”实际支出</w:t>
      </w:r>
      <w:r>
        <w:rPr>
          <w:rFonts w:hint="eastAsia" w:ascii="方正仿宋_GBK" w:hAnsi="方正仿宋_GBK" w:eastAsia="方正仿宋_GBK" w:cs="方正仿宋_GBK"/>
          <w:sz w:val="32"/>
          <w:szCs w:val="32"/>
          <w:highlight w:val="none"/>
          <w:lang w:val="en-US" w:eastAsia="zh-CN"/>
        </w:rPr>
        <w:t>104013.27元，</w:t>
      </w:r>
      <w:r>
        <w:rPr>
          <w:rFonts w:hint="eastAsia" w:ascii="方正仿宋_GBK" w:hAnsi="方正仿宋_GBK" w:eastAsia="方正仿宋_GBK" w:cs="方正仿宋_GBK"/>
          <w:sz w:val="32"/>
          <w:szCs w:val="32"/>
          <w:lang w:val="en-US" w:eastAsia="zh-CN"/>
        </w:rPr>
        <w:t>其中，公务车运行维护费80511.07元；公务接待23502.20元。“三公经费”预算安排为172500元，部门“三公经费”控制率为60.30%，该指标得1.5分。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（6）政府采购执行率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2021年度，我部门实际发生政府采购</w:t>
      </w:r>
      <w:r>
        <w:rPr>
          <w:rFonts w:hint="eastAsia" w:ascii="方正仿宋_GBK" w:hAnsi="方正仿宋_GBK" w:eastAsia="方正仿宋_GBK" w:cs="方正仿宋_GBK"/>
          <w:sz w:val="32"/>
          <w:szCs w:val="32"/>
          <w:highlight w:val="none"/>
          <w:lang w:val="en-US" w:eastAsia="zh-CN"/>
        </w:rPr>
        <w:t>21760</w:t>
      </w:r>
      <w:r>
        <w:rPr>
          <w:rFonts w:hint="eastAsia" w:ascii="方正仿宋_GBK" w:hAnsi="方正仿宋_GBK" w:eastAsia="方正仿宋_GBK" w:cs="方正仿宋_GBK"/>
          <w:sz w:val="32"/>
          <w:szCs w:val="32"/>
          <w:lang w:val="en-US" w:eastAsia="zh-CN"/>
        </w:rPr>
        <w:t>元，包括政府采购购买货物支出21760元，其中政府采购货物预算27160元，政府采购执行率100%，该指标得分1分。</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sz w:val="32"/>
          <w:szCs w:val="32"/>
          <w:lang w:val="en-US" w:eastAsia="zh-CN"/>
        </w:rPr>
      </w:pPr>
      <w:bookmarkStart w:id="50" w:name="_Toc27180"/>
      <w:bookmarkStart w:id="51" w:name="_Toc21028"/>
      <w:r>
        <w:rPr>
          <w:rFonts w:hint="eastAsia" w:ascii="方正仿宋_GBK" w:hAnsi="方正仿宋_GBK" w:eastAsia="方正仿宋_GBK" w:cs="方正仿宋_GBK"/>
          <w:sz w:val="32"/>
          <w:szCs w:val="32"/>
          <w:lang w:val="en-US" w:eastAsia="zh-CN"/>
        </w:rPr>
        <w:t>预算管理</w:t>
      </w:r>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（1）管理制度健全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部门整体经济业务共涉及预算、收支、采购、资产、以及合同等五大业务板块，针对各业务板块分别设有相关的经济业务管理制度：预算管理内部控制制度、收支管理内部控制制度、政府采购内部控制制度、资产管理内部控制制度、合同管理内部控制制度，并设立相关制度对部门日常小修进行管控，在部门财务和会计核算等相关工作设立了财务管理制度、会计核算制度等相关管理制度。各项制度合法合规且完整，共同构成了我部门预算管理制度体系，我部门根据《中华人民共和国会计法》、《中华人民共和国国家金库条例》、《党政机关厉行节约反对浪费条例》结合我部门实际情况编制了《收支管理内部控制制度》，该指标得1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（2）资金使用合规</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度，我部门根据《中华人民共和国预算法》（2014年），《行政事业单位内部控制规范（试行）》（财会〔2012〕21号），《重庆市预算审查监督条例》（重庆市人民代表大会常务委员会公告〔2016〕45号）等重庆市政策以及我部门实际情况制定了《预算管理制度》，并严格按照该制度执行相关工作，严格管控项目申报、预算编制、预算分解下达、预算执行分析、预决算信息公开、预算绩效评价等关键流程，资金使用无截留、挤占、挪用、虚列支出等情况。该指标得5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（3）预决算信息公开</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我部门根据信息公开要求，及时撰写《重庆市璧山区人力资源和社会保障局2021年部门预算情况说明》并附预算公开表，按时保质的完成了信息公开工作，该指标得1分。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（4）工程项目管理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2021年度，我部门整体工作未涉及工程项目，本次绩效自评不予评判，该指标得3分。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（5）基础信息完善</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2021年度，我部门基础数据信息和会计信息资料均按照相关法律法规以及上级文件要求进行填列、保管，信息资料真实、完整、准确。该指标得1分。</w:t>
      </w:r>
    </w:p>
    <w:p>
      <w:pPr>
        <w:keepNext w:val="0"/>
        <w:keepLines w:val="0"/>
        <w:pageBreakBefore w:val="0"/>
        <w:widowControl w:val="0"/>
        <w:numPr>
          <w:ilvl w:val="0"/>
          <w:numId w:val="4"/>
        </w:numP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sz w:val="32"/>
          <w:szCs w:val="32"/>
          <w:lang w:val="en-US" w:eastAsia="zh-CN"/>
        </w:rPr>
      </w:pPr>
      <w:bookmarkStart w:id="52" w:name="_Toc13466"/>
      <w:bookmarkStart w:id="53" w:name="_Toc27776"/>
      <w:r>
        <w:rPr>
          <w:rFonts w:hint="eastAsia" w:ascii="方正仿宋_GBK" w:hAnsi="方正仿宋_GBK" w:eastAsia="方正仿宋_GBK" w:cs="方正仿宋_GBK"/>
          <w:sz w:val="32"/>
          <w:szCs w:val="32"/>
          <w:lang w:val="en-US" w:eastAsia="zh-CN"/>
        </w:rPr>
        <w:t>资产管理</w:t>
      </w:r>
      <w:bookmarkEnd w:id="52"/>
      <w:bookmarkEnd w:id="53"/>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（1）管理制度健全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lang w:val="en-US" w:eastAsia="zh-CN"/>
        </w:rPr>
        <w:t>2021年，我部门参照《重庆市璧山区行政事业单位国有资产管理办法》《中华人民共和国会计法》、《现金管理条例》等有关财经法规，结合部门国有资产实际情况制定《资产管理制度》，根据国有资产的配置使用、处置等相关情况编制了《2021年度行政事业性国有资产报表》和《2021</w:t>
      </w:r>
      <w:r>
        <w:rPr>
          <w:rFonts w:hint="eastAsia" w:ascii="方正仿宋_GBK" w:hAnsi="方正仿宋_GBK" w:eastAsia="方正仿宋_GBK" w:cs="方正仿宋_GBK"/>
          <w:color w:val="auto"/>
          <w:sz w:val="32"/>
          <w:szCs w:val="32"/>
          <w:highlight w:val="none"/>
          <w:lang w:val="en-US" w:eastAsia="zh-CN"/>
        </w:rPr>
        <w:t>年资产报表分析报告》，该指标得1.5分。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（2）资产管理安全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我部门根据《行政单位国有资产管理暂行办法》（财政部令第35号）、《事业单位国有资产管理暂行办法》（财政部令第36号）等有关规定对部门资产进行管理，结合我部门实际建立完善了《资产管理制度》，形成了资产保存完整、使用合规、配置合理、处置规范、收入及时足额上缴、账实相符的工作局面，并结合《行政事业单位国有资产报告制度》等有关规定对我部门本年度资产总体、配置、使用、处置以及收益情况等进行分析，形成《2021年度行政事业性国有资产报表》。该指标得2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（3）固定资产利用率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截至2021年12月31日，我部门实际在用固定资产账面净值总额</w:t>
      </w:r>
      <w:r>
        <w:rPr>
          <w:rFonts w:hint="eastAsia" w:ascii="方正仿宋_GBK" w:hAnsi="方正仿宋_GBK" w:eastAsia="方正仿宋_GBK" w:cs="方正仿宋_GBK"/>
          <w:sz w:val="32"/>
          <w:szCs w:val="32"/>
          <w:lang w:val="en-US" w:eastAsia="zh-CN"/>
        </w:rPr>
        <w:t>3810586.50</w:t>
      </w:r>
      <w:r>
        <w:rPr>
          <w:rFonts w:hint="eastAsia" w:ascii="方正仿宋_GBK" w:hAnsi="方正仿宋_GBK" w:eastAsia="方正仿宋_GBK" w:cs="方正仿宋_GBK"/>
          <w:color w:val="auto"/>
          <w:sz w:val="32"/>
          <w:szCs w:val="32"/>
          <w:highlight w:val="none"/>
          <w:lang w:val="en-US" w:eastAsia="zh-CN"/>
        </w:rPr>
        <w:t>元，占固定资产账面净值总额的100%，固定资产利用率为100%。该指标得1分。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200"/>
        <w:textAlignment w:val="auto"/>
        <w:outlineLvl w:val="1"/>
        <w:rPr>
          <w:rFonts w:hint="eastAsia" w:ascii="方正楷体_GBK" w:hAnsi="方正楷体_GBK" w:eastAsia="方正楷体_GBK" w:cs="方正楷体_GBK"/>
          <w:sz w:val="32"/>
          <w:szCs w:val="32"/>
          <w:lang w:val="en-US" w:eastAsia="zh-CN"/>
        </w:rPr>
      </w:pPr>
      <w:bookmarkStart w:id="54" w:name="_Toc4587"/>
      <w:bookmarkStart w:id="55" w:name="_Toc20805"/>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产出评价情况</w:t>
      </w:r>
      <w:bookmarkEnd w:id="54"/>
      <w:bookmarkEnd w:id="55"/>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2021</w:t>
      </w:r>
      <w:r>
        <w:rPr>
          <w:rFonts w:hint="eastAsia" w:ascii="方正仿宋_GBK" w:hAnsi="方正仿宋_GBK" w:eastAsia="方正仿宋_GBK" w:cs="方正仿宋_GBK"/>
          <w:color w:val="auto"/>
          <w:sz w:val="32"/>
          <w:szCs w:val="32"/>
        </w:rPr>
        <w:t>年，我部门产出</w:t>
      </w:r>
      <w:r>
        <w:rPr>
          <w:rFonts w:hint="eastAsia" w:ascii="方正仿宋_GBK" w:hAnsi="方正仿宋_GBK" w:eastAsia="方正仿宋_GBK" w:cs="方正仿宋_GBK"/>
          <w:color w:val="auto"/>
          <w:sz w:val="32"/>
          <w:szCs w:val="32"/>
          <w:lang w:val="en-US" w:eastAsia="zh-CN"/>
        </w:rPr>
        <w:t>指标</w:t>
      </w:r>
      <w:r>
        <w:rPr>
          <w:rFonts w:hint="eastAsia" w:ascii="方正仿宋_GBK" w:hAnsi="方正仿宋_GBK" w:eastAsia="方正仿宋_GBK" w:cs="方正仿宋_GBK"/>
          <w:color w:val="auto"/>
          <w:sz w:val="32"/>
          <w:szCs w:val="32"/>
        </w:rPr>
        <w:t>在整体绩效自评中所占分值为</w:t>
      </w:r>
      <w:r>
        <w:rPr>
          <w:rFonts w:hint="eastAsia" w:ascii="方正仿宋_GBK" w:hAnsi="方正仿宋_GBK" w:eastAsia="方正仿宋_GBK" w:cs="方正仿宋_GBK"/>
          <w:color w:val="auto"/>
          <w:sz w:val="32"/>
          <w:szCs w:val="32"/>
          <w:lang w:val="en-US" w:eastAsia="zh-CN"/>
        </w:rPr>
        <w:t>36</w:t>
      </w:r>
      <w:r>
        <w:rPr>
          <w:rFonts w:hint="eastAsia" w:ascii="方正仿宋_GBK" w:hAnsi="方正仿宋_GBK" w:eastAsia="方正仿宋_GBK" w:cs="方正仿宋_GBK"/>
          <w:color w:val="auto"/>
          <w:sz w:val="32"/>
          <w:szCs w:val="32"/>
        </w:rPr>
        <w:t>分，实际得分为</w:t>
      </w:r>
      <w:r>
        <w:rPr>
          <w:rFonts w:hint="eastAsia" w:ascii="方正仿宋_GBK" w:hAnsi="方正仿宋_GBK" w:eastAsia="方正仿宋_GBK" w:cs="方正仿宋_GBK"/>
          <w:color w:val="auto"/>
          <w:sz w:val="32"/>
          <w:szCs w:val="32"/>
          <w:lang w:val="en-US" w:eastAsia="zh-CN"/>
        </w:rPr>
        <w:t>36</w:t>
      </w:r>
      <w:r>
        <w:rPr>
          <w:rFonts w:hint="eastAsia" w:ascii="方正仿宋_GBK" w:hAnsi="方正仿宋_GBK" w:eastAsia="方正仿宋_GBK" w:cs="方正仿宋_GBK"/>
          <w:color w:val="auto"/>
          <w:sz w:val="32"/>
          <w:szCs w:val="32"/>
        </w:rPr>
        <w:t>分，详细得分情况如下：</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实现更高质量和更加充分就业。大力实施就业优先政策，坚持减负、稳岗、扩就业、促创业并举，就业总量持续增长，就业结构不断优化，就业质量稳步提高，创业环境显著改善，带动就业能力持续增强，兜牢重点群体和重点区域就业底线，实现城镇新增就业20719人，完成目标任务16000人的129.5%；城镇登记失业人员就业5272人，完成目标任务3800人的138.7%；就业困难人员就业2392人，完成目标任务2000人的119.6%；开展职业技能培训(家政、新市民、劳务经纪人)共计11089人，完成目标任务12000人的92.5%；开展职业指导15540人，完成目标任务12000人次的129%；发放创业担保贷款8794万元，完成目标任务4500万元的195.4%；完成就业见习1156人，完成目标任务180人的642.22%；失业保险参保职工115308人，该指标得6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完善更加公平可持续的社会保障体系。</w:t>
      </w:r>
      <w:r>
        <w:rPr>
          <w:rFonts w:hint="eastAsia" w:ascii="方正仿宋_GBK" w:hAnsi="方正仿宋_GBK" w:eastAsia="方正仿宋_GBK" w:cs="方正仿宋_GBK"/>
          <w:sz w:val="32"/>
          <w:szCs w:val="32"/>
          <w:lang w:val="en-US" w:eastAsia="zh-CN"/>
        </w:rPr>
        <w:t>一是社会保险主要指标稳步增长。城镇企业职工养老保险参保人数为240294人，城乡居民养老保险参保人数为264505人，机关事业养老保险参保人数为18681人，合计523480人；工伤保险参保人数为244735人，同比增加24.08%。继续执行小微企业及困难企业社会保险降费政策，为604户困难企业和593户小微企业企业“松绑减负”。二是重点工作稳步实施。充分落实特殊人群参保政策，办理征地安置养老保险14635人，完成村干部以个人身份参加城镇职工养老保险691人补助申报工作，补助金额306.12万元；积极实施全民参保计划扩面专项行动，完成全区12万人未参保原因核查；广泛宣传电子社保卡签发应用，实体社保卡和电子社保卡协同并用，截至11月签发电子社保卡21.78万人次；按照人社部全面取消集中认证要求，开展“寓认证于无形”新认证模式，以数据共享、互联网、重庆人社手机APP、上门服务等多形式开展认证，上门服务近1000人次，认证周期内完成资格核查17万人次，按时足额发放养老金。强化稽核保障资金安全，受理职工对用人单位少报少缴、漏报漏缴投诉38件，调查处理违规参保并领取养老待遇案件2件，追回养老保险基金41.03万元。该指标得6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人才队伍建设凸显新成效。2021年入选重庆英才计划3人（创业领军人才1人、高技能领军人才2人）、创新创业示范团队4个；新增市级技能大师工作室1家。一是有的放矢，大力引进急需紧缺和高层次人才。积极参加全市“百万英才兴重庆引才活动——北京行、四川行”活动，分别在清华大学、四川大学、西南交通大学、电子科技大学进行了5场急需紧缺和高层次人才招聘会，300余名外地高层次人才投递简历，扩大了璧山影响力。二是严肃纪律，公开招聘事业单位工作人员。成功申报2021年农村小学全科教师定向培养计划40名；招募“三支一扶”计划人员4名；公开招聘事业单位工作人员164人，其中博士研究生2名、硕士研究生95名；按规定程序开展了我区上半年公开招聘员额制教师工作，公开招聘中小学员额教师168名。三是帮助企事业单位创建博士后科研工作站。为企业引进和培养高水平人才，提高企业的技术创新能力。新增博士后科研工作站5家，全区累计达到19家（国家级2家，市级17家）。四是组织开展高层次人才沙龙活动。会同市人才交流服务中心、区委组织部等，共同承办2021年重庆市“军民深度融合·产研协同创新”高层次人才沙龙活动。五是切实提高人才服务水平。2021年2月，面向社会公开招聘了2名区级人才服务专员，区高层次人才一站式服务线上平台于2021年9月接入重庆英才“渝快办”网络平台，实现全市联网，并增加了服务项目（9项增加为17项），完善了服务规范、办事指南。六是继续做好区内事业单位岗位设置方案调整工作。已向市人力社保局上报并获批区招商投资促进中心等125个事业单位的岗位设置调整方案（含党群系统事业单位3个）；做好事业单位工作人员岗位竞聘核准工作，共核准1245名事业单位人员聘任相应岗位。七是做好职称评审相关工作。截至目前共考核确定专业技术职务（职称）217人，外地来渝确认专业技术职务（职称）9人，送评各类高级职称人员174人，拟于12月底前组织全区工程技术中初级职称评审和高级职称审核送评工作。该指标得8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zh-CN" w:eastAsia="zh-CN"/>
        </w:rPr>
        <w:t>收入分配制度改革</w:t>
      </w:r>
      <w:r>
        <w:rPr>
          <w:rFonts w:hint="eastAsia" w:ascii="方正仿宋_GBK" w:hAnsi="方正仿宋_GBK" w:eastAsia="方正仿宋_GBK" w:cs="方正仿宋_GBK"/>
          <w:sz w:val="32"/>
          <w:szCs w:val="32"/>
          <w:lang w:val="en-US" w:eastAsia="zh-CN"/>
        </w:rPr>
        <w:t>加快</w:t>
      </w:r>
      <w:r>
        <w:rPr>
          <w:rFonts w:hint="eastAsia" w:ascii="方正仿宋_GBK" w:hAnsi="方正仿宋_GBK" w:eastAsia="方正仿宋_GBK" w:cs="方正仿宋_GBK"/>
          <w:sz w:val="32"/>
          <w:szCs w:val="32"/>
          <w:lang w:val="zh-CN" w:eastAsia="zh-CN"/>
        </w:rPr>
        <w:t>推进。</w:t>
      </w:r>
      <w:r>
        <w:rPr>
          <w:rFonts w:hint="eastAsia" w:ascii="方正仿宋_GBK" w:hAnsi="方正仿宋_GBK" w:eastAsia="方正仿宋_GBK" w:cs="方正仿宋_GBK"/>
          <w:sz w:val="32"/>
          <w:szCs w:val="32"/>
          <w:lang w:val="en-US" w:eastAsia="zh-CN"/>
        </w:rPr>
        <w:t>根据《中共重庆市委组织部重庆市人力资源和社会保障局重庆市财政局关于进一步完善乡镇工作补贴办法的通知》（渝委组〔2021〕5号）精神，会同区委组织部、区财政局共同制定了我区进一步完善乡镇工作补贴的实施方案，并联合行文实施。乡镇工作补贴分为三个梯度，最低每月增资60元，最高每月增资250元。核定了区中医院、区第二人民医院、区妇幼保健院2019年超额绩效总量。区中医院人均年增资3700元、区第二人民医院人均年增资2700元、区妇幼保健院人均年增资5900元。按时兑现了2020年机关事业单位工作人员未休年休假待遇。按时完成15家人工成本检测企业数据季报和130家薪酬调查企业年度数据上报工作。完成2021年国有企业负责人薪酬制度改革自查工作、及区级国有企业工资总额执行情况备案工作。该指标得6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zh-CN" w:eastAsia="zh-CN"/>
        </w:rPr>
        <w:t>维护劳动者合法权益取得新进展。</w:t>
      </w:r>
      <w:r>
        <w:rPr>
          <w:rFonts w:hint="eastAsia" w:ascii="方正仿宋_GBK" w:hAnsi="方正仿宋_GBK" w:eastAsia="方正仿宋_GBK" w:cs="方正仿宋_GBK"/>
          <w:sz w:val="32"/>
          <w:szCs w:val="32"/>
          <w:lang w:val="en-US" w:eastAsia="zh-CN"/>
        </w:rPr>
        <w:t>一是依法保障职工合法权益，积极构建和谐稳定劳动关系。继续实施治欠保支“月调度”，实现欠薪案件、人数、金额明显下降。截至11月底，主动监察用人单位445户，劳动保障监察立案数125件，办结104件，涉及劳动者915人次，涉及金额826.5091万元；提高劳动人事争议调解仲裁办案质量和效率，劳动人事争议仲裁接待登记案件数1180件，立案受理涉及劳动者人数为1195人，结案1055件，结案率为86%，得到群众认可；扎实开展劳动能力鉴定工作，受理工伤职工劳动能力鉴定1239份，开展面检11次，已作出鉴定结论1137份。受理因病或非因公负伤劳动能力鉴定78份，开展面检2次，已作出鉴定结论65份，针对行动不方便的病退职工上门服务9人次。二是开展人力资源市场秩序清理整顿。通过“双随机一公开”方式，对随机抽取17家人力资源服务机构（包括劳务派遣单位）和30家用人单位开展专项检查，为促进劳动者就业和保障企业发展提供良好的人力资源保障。三是根治欠薪工作有序开展。组织区根治拖欠农民工工资工作领导小组相关成员单位开展2020年度专项工作考核，对全区保障农民工工资支付工作进展和成效进行综合分析评价。牵头对全区83个在建工程施工场地开展日常巡查、夏季及冬季行动专项检查，对未依法进行整改的5个建设单位、6个施工单位、4个劳务单位分别实施了行政处罚。该指标得4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双城经济圈建设不断深化。一是扩大就业创业协同发展。4月20日，区人力社保局与四川省宝兴县人力社保局签订了人力资源区域合作协议，协议明确双方在两地技能人才、就业服务、人才引进、农民工服务保障等方面开展合作，不定期交换企业用工岗位信息，组织企业到合作地参加交流活动，力争建成川渝地区区域合作样板。5月14日，四川宝兴县举办2021年四川宝兴·重庆璧山劳务协作暨民营企业招聘月专场招聘会，璧山区组织宇海精密、宗申车辆等多家企业在测试工程师、生产部部长等47个岗位提供近千人的用工需求，同时开展区情介绍和用工政策宣传。在引导两地劳动者“家门口”就业的同时，深入推动川渝地区人社资源区域合作，助推两地经济社会高质量发展。11月17日，与资阳市人力资源和社会保障局签订了《关于推动两地人社行政许可建设合作协议》，积极推动行政许可结果互认、数据共享，以共同提升两地人社便民服务水平。二是社会保险经办管理加快融圈、稳步提质。严格落实19类35项办理社保事项精简材料清单，梳理公共服务事项清单53项，公布服务指南75项，自查自改打通社保堵点15个，开通企业办事“绿色窗口”，推行“延时服务”、“预约服务”，运行“好差评”评价系统，不断优化服务质效。强化“跨省通办”和“川渝合作”，16项社保事项实现“川渝通办”，城镇职工养老保险关系实现无障碍转移，成渝地区工伤认定、各项社保待遇领取资格认证结果互认稳步推进。该指标得6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1"/>
        <w:rPr>
          <w:rFonts w:hint="eastAsia" w:ascii="方正楷体_GBK" w:hAnsi="方正楷体_GBK" w:eastAsia="方正楷体_GBK" w:cs="方正楷体_GBK"/>
          <w:sz w:val="32"/>
          <w:szCs w:val="32"/>
        </w:rPr>
      </w:pPr>
      <w:bookmarkStart w:id="56" w:name="_Toc10476"/>
      <w:bookmarkStart w:id="57" w:name="_Toc3216"/>
      <w:r>
        <w:rPr>
          <w:rFonts w:hint="eastAsia" w:ascii="方正楷体_GBK" w:hAnsi="方正楷体_GBK" w:eastAsia="方正楷体_GBK" w:cs="方正楷体_GBK"/>
          <w:sz w:val="32"/>
          <w:szCs w:val="32"/>
        </w:rPr>
        <w:t>（四）效益评价情况</w:t>
      </w:r>
      <w:bookmarkEnd w:id="56"/>
      <w:bookmarkEnd w:id="57"/>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2021</w:t>
      </w:r>
      <w:r>
        <w:rPr>
          <w:rFonts w:hint="eastAsia" w:ascii="方正仿宋_GBK" w:hAnsi="方正仿宋_GBK" w:eastAsia="方正仿宋_GBK" w:cs="方正仿宋_GBK"/>
          <w:color w:val="auto"/>
          <w:sz w:val="32"/>
          <w:szCs w:val="32"/>
        </w:rPr>
        <w:t>年，我部门</w:t>
      </w:r>
      <w:r>
        <w:rPr>
          <w:rFonts w:hint="eastAsia" w:ascii="方正仿宋_GBK" w:hAnsi="方正仿宋_GBK" w:eastAsia="方正仿宋_GBK" w:cs="方正仿宋_GBK"/>
          <w:color w:val="auto"/>
          <w:sz w:val="32"/>
          <w:szCs w:val="32"/>
          <w:lang w:val="en-US" w:eastAsia="zh-CN"/>
        </w:rPr>
        <w:t>效益指标</w:t>
      </w:r>
      <w:r>
        <w:rPr>
          <w:rFonts w:hint="eastAsia" w:ascii="方正仿宋_GBK" w:hAnsi="方正仿宋_GBK" w:eastAsia="方正仿宋_GBK" w:cs="方正仿宋_GBK"/>
          <w:color w:val="auto"/>
          <w:sz w:val="32"/>
          <w:szCs w:val="32"/>
        </w:rPr>
        <w:t>在整体绩效自评中所占分值为3</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分，实际得分为3</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分，详细得分情况如下：</w:t>
      </w:r>
    </w:p>
    <w:p>
      <w:pPr>
        <w:keepNext w:val="0"/>
        <w:keepLines w:val="0"/>
        <w:pageBreakBefore w:val="0"/>
        <w:widowControl w:val="0"/>
        <w:numPr>
          <w:ilvl w:val="0"/>
          <w:numId w:val="5"/>
        </w:numP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sz w:val="32"/>
          <w:szCs w:val="32"/>
          <w:lang w:val="en-US" w:eastAsia="zh-CN"/>
        </w:rPr>
      </w:pPr>
      <w:bookmarkStart w:id="58" w:name="_Toc29029"/>
      <w:bookmarkStart w:id="59" w:name="_Toc6625"/>
      <w:r>
        <w:rPr>
          <w:rFonts w:hint="eastAsia" w:ascii="方正仿宋_GBK" w:hAnsi="方正仿宋_GBK" w:eastAsia="方正仿宋_GBK" w:cs="方正仿宋_GBK"/>
          <w:sz w:val="32"/>
          <w:szCs w:val="32"/>
          <w:lang w:val="en-US" w:eastAsia="zh-CN"/>
        </w:rPr>
        <w:t>社会效益</w:t>
      </w:r>
      <w:bookmarkEnd w:id="58"/>
      <w:bookmarkEnd w:id="59"/>
    </w:p>
    <w:p>
      <w:pPr>
        <w:keepNext w:val="0"/>
        <w:keepLines w:val="0"/>
        <w:pageBreakBefore w:val="0"/>
        <w:widowControl w:val="0"/>
        <w:numPr>
          <w:ilvl w:val="0"/>
          <w:numId w:val="6"/>
        </w:numP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保持稳定的就业局势。多措并举助力企业用工保障。一方面网络招聘、直播招聘、现场招聘等形式“吸引人”。开展各类招聘会10</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场，</w:t>
      </w:r>
      <w:r>
        <w:rPr>
          <w:rFonts w:hint="eastAsia" w:ascii="方正仿宋_GBK" w:hAnsi="方正仿宋_GBK" w:eastAsia="方正仿宋_GBK" w:cs="方正仿宋_GBK"/>
          <w:sz w:val="32"/>
          <w:szCs w:val="32"/>
          <w:lang w:val="en-US" w:eastAsia="zh-CN"/>
        </w:rPr>
        <w:t>494</w:t>
      </w:r>
      <w:r>
        <w:rPr>
          <w:rFonts w:hint="eastAsia" w:ascii="方正仿宋_GBK" w:hAnsi="方正仿宋_GBK" w:eastAsia="方正仿宋_GBK" w:cs="方正仿宋_GBK"/>
          <w:sz w:val="32"/>
          <w:szCs w:val="32"/>
          <w:lang w:eastAsia="zh-CN"/>
        </w:rPr>
        <w:t>家企业入场现场招聘会，提供</w:t>
      </w:r>
      <w:r>
        <w:rPr>
          <w:rFonts w:hint="eastAsia" w:ascii="方正仿宋_GBK" w:hAnsi="方正仿宋_GBK" w:eastAsia="方正仿宋_GBK" w:cs="方正仿宋_GBK"/>
          <w:sz w:val="32"/>
          <w:szCs w:val="32"/>
          <w:lang w:val="en-US" w:eastAsia="zh-CN"/>
        </w:rPr>
        <w:t>35669</w:t>
      </w:r>
      <w:r>
        <w:rPr>
          <w:rFonts w:hint="eastAsia" w:ascii="方正仿宋_GBK" w:hAnsi="方正仿宋_GBK" w:eastAsia="方正仿宋_GBK" w:cs="方正仿宋_GBK"/>
          <w:sz w:val="32"/>
          <w:szCs w:val="32"/>
          <w:lang w:eastAsia="zh-CN"/>
        </w:rPr>
        <w:t>个岗位，</w:t>
      </w:r>
      <w:r>
        <w:rPr>
          <w:rFonts w:hint="eastAsia" w:ascii="方正仿宋_GBK" w:hAnsi="方正仿宋_GBK" w:eastAsia="方正仿宋_GBK" w:cs="方正仿宋_GBK"/>
          <w:sz w:val="32"/>
          <w:szCs w:val="32"/>
          <w:lang w:val="en-US" w:eastAsia="zh-CN"/>
        </w:rPr>
        <w:t>1747</w:t>
      </w:r>
      <w:r>
        <w:rPr>
          <w:rFonts w:hint="eastAsia" w:ascii="方正仿宋_GBK" w:hAnsi="方正仿宋_GBK" w:eastAsia="方正仿宋_GBK" w:cs="方正仿宋_GBK"/>
          <w:sz w:val="32"/>
          <w:szCs w:val="32"/>
          <w:lang w:eastAsia="zh-CN"/>
        </w:rPr>
        <w:t>家企业入场网络招聘会，提供</w:t>
      </w:r>
      <w:r>
        <w:rPr>
          <w:rFonts w:hint="eastAsia" w:ascii="方正仿宋_GBK" w:hAnsi="方正仿宋_GBK" w:eastAsia="方正仿宋_GBK" w:cs="方正仿宋_GBK"/>
          <w:sz w:val="32"/>
          <w:szCs w:val="32"/>
          <w:lang w:val="en-US" w:eastAsia="zh-CN"/>
        </w:rPr>
        <w:t>40196</w:t>
      </w:r>
      <w:r>
        <w:rPr>
          <w:rFonts w:hint="eastAsia" w:ascii="方正仿宋_GBK" w:hAnsi="方正仿宋_GBK" w:eastAsia="方正仿宋_GBK" w:cs="方正仿宋_GBK"/>
          <w:sz w:val="32"/>
          <w:szCs w:val="32"/>
          <w:lang w:eastAsia="zh-CN"/>
        </w:rPr>
        <w:t>个岗位，切实为企业和求职人员搭建信息平台；组织区内40余家企业前往綦江区松藻煤矿、打通一矿、渝阳煤矿参加为期三天的招聘活动，近1000人达成意向性就业协议。另一方面企业培训“留住人”。开展“迎新春”稳岗留工工作，及时将惠企政策、提升培训、留岗红包等福利及时送达企业和职工，发放一次性留工补贴</w:t>
      </w:r>
      <w:r>
        <w:rPr>
          <w:rFonts w:hint="eastAsia" w:ascii="方正仿宋_GBK" w:hAnsi="方正仿宋_GBK" w:eastAsia="方正仿宋_GBK" w:cs="方正仿宋_GBK"/>
          <w:sz w:val="32"/>
          <w:szCs w:val="32"/>
          <w:lang w:val="en-US" w:eastAsia="zh-CN"/>
        </w:rPr>
        <w:t>6371</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lang w:val="en-US" w:eastAsia="zh-CN"/>
        </w:rPr>
        <w:t>191.1</w:t>
      </w:r>
      <w:r>
        <w:rPr>
          <w:rFonts w:hint="eastAsia" w:ascii="方正仿宋_GBK" w:hAnsi="方正仿宋_GBK" w:eastAsia="方正仿宋_GBK" w:cs="方正仿宋_GBK"/>
          <w:sz w:val="32"/>
          <w:szCs w:val="32"/>
          <w:lang w:eastAsia="zh-CN"/>
        </w:rPr>
        <w:t>万元；技能提升补贴982人次167.89万元；发放</w:t>
      </w:r>
      <w:r>
        <w:rPr>
          <w:rFonts w:hint="eastAsia" w:ascii="方正仿宋_GBK" w:hAnsi="方正仿宋_GBK" w:eastAsia="方正仿宋_GBK" w:cs="方正仿宋_GBK"/>
          <w:sz w:val="32"/>
          <w:szCs w:val="32"/>
          <w:lang w:val="en-US" w:eastAsia="zh-CN"/>
        </w:rPr>
        <w:t>用人单位社保补贴831</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lang w:val="en-US" w:eastAsia="zh-CN"/>
        </w:rPr>
        <w:t>291.9万元</w:t>
      </w:r>
      <w:r>
        <w:rPr>
          <w:rFonts w:hint="eastAsia" w:ascii="方正仿宋_GBK" w:hAnsi="方正仿宋_GBK" w:eastAsia="方正仿宋_GBK" w:cs="方正仿宋_GBK"/>
          <w:sz w:val="32"/>
          <w:szCs w:val="32"/>
          <w:lang w:eastAsia="zh-CN"/>
        </w:rPr>
        <w:t>；发放一次性吸纳就业补贴</w:t>
      </w:r>
      <w:r>
        <w:rPr>
          <w:rFonts w:hint="eastAsia" w:ascii="方正仿宋_GBK" w:hAnsi="方正仿宋_GBK" w:eastAsia="方正仿宋_GBK" w:cs="方正仿宋_GBK"/>
          <w:sz w:val="32"/>
          <w:szCs w:val="32"/>
          <w:lang w:val="en-US" w:eastAsia="zh-CN"/>
        </w:rPr>
        <w:t xml:space="preserve"> 26人10.8万元、见习补贴598</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lang w:val="en-US" w:eastAsia="zh-CN"/>
        </w:rPr>
        <w:t>255.47万元</w:t>
      </w:r>
      <w:r>
        <w:rPr>
          <w:rFonts w:hint="eastAsia" w:ascii="方正仿宋_GBK" w:hAnsi="方正仿宋_GBK" w:eastAsia="方正仿宋_GBK" w:cs="方正仿宋_GBK"/>
          <w:sz w:val="32"/>
          <w:szCs w:val="32"/>
          <w:lang w:eastAsia="zh-CN"/>
        </w:rPr>
        <w:t>；为红宇摩擦、精元电脑、弗迪锂电池等50余家企业开展在岗职工技能提升培训、通用素质培训、以工代训等共计2169人。同时实施专场招聘“招到人”。借“网络招聘”直播的热度，及时召开“春风行动”大型现场招聘会，100余家企业提供3139个就业岗位，达成就业意向643人。</w:t>
      </w:r>
      <w:r>
        <w:rPr>
          <w:rFonts w:hint="eastAsia" w:ascii="方正仿宋_GBK" w:hAnsi="方正仿宋_GBK" w:eastAsia="方正仿宋_GBK" w:cs="方正仿宋_GBK"/>
          <w:sz w:val="32"/>
          <w:szCs w:val="32"/>
          <w:lang w:val="en-US" w:eastAsia="zh-CN"/>
        </w:rPr>
        <w:t>该指标得6分。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社会保障稳固可靠。始终坚持“广覆盖、保基本、多层次、可持续”方针，以“加快健全社会保障管理体制和经办服务体系”为主线，基本建成覆盖城乡全体居民、更加适应流动性和更加公平可持续的社会保障体系。社保扶贫实现60岁以上贫困人员领取养老金率、符合代缴条件的贫困人员代缴率和建档立卡贫困人员参保率3个100%。基本养老保险参保率稳定保持在95%以上。社会保障卡持卡人数占比稳定在99%以上，电子社保卡申领人数达26.9万。</w:t>
      </w:r>
      <w:r>
        <w:rPr>
          <w:rFonts w:hint="default" w:ascii="方正仿宋_GBK" w:hAnsi="方正仿宋_GBK" w:eastAsia="方正仿宋_GBK" w:cs="方正仿宋_GBK"/>
          <w:sz w:val="32"/>
          <w:szCs w:val="32"/>
          <w:lang w:val="en-US" w:eastAsia="zh-CN"/>
        </w:rPr>
        <w:t>52项</w:t>
      </w:r>
      <w:r>
        <w:rPr>
          <w:rFonts w:hint="eastAsia" w:ascii="方正仿宋_GBK" w:hAnsi="方正仿宋_GBK" w:eastAsia="方正仿宋_GBK" w:cs="方正仿宋_GBK"/>
          <w:sz w:val="32"/>
          <w:szCs w:val="32"/>
          <w:lang w:val="en-US" w:eastAsia="zh-CN"/>
        </w:rPr>
        <w:t>社保</w:t>
      </w:r>
      <w:r>
        <w:rPr>
          <w:rFonts w:hint="default" w:ascii="方正仿宋_GBK" w:hAnsi="方正仿宋_GBK" w:eastAsia="方正仿宋_GBK" w:cs="方正仿宋_GBK"/>
          <w:sz w:val="32"/>
          <w:szCs w:val="32"/>
          <w:lang w:val="en-US" w:eastAsia="zh-CN"/>
        </w:rPr>
        <w:t>公共服务事项在</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渝快办</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重庆人社</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APP等平台上实现了</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最多跑一次</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或</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零跑路</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，办结时限压缩率达到68.2%</w:t>
      </w:r>
      <w:r>
        <w:rPr>
          <w:rFonts w:hint="eastAsia" w:ascii="方正仿宋_GBK" w:hAnsi="方正仿宋_GBK" w:eastAsia="方正仿宋_GBK" w:cs="方正仿宋_GBK"/>
          <w:sz w:val="32"/>
          <w:szCs w:val="32"/>
          <w:lang w:val="en-US" w:eastAsia="zh-CN"/>
        </w:rPr>
        <w:t>。该指标得5分。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（3）优化营商环境促进企业发展。发挥品牌优势促就业。“</w:t>
      </w:r>
      <w:r>
        <w:rPr>
          <w:rFonts w:hint="default" w:ascii="方正仿宋_GBK" w:hAnsi="方正仿宋_GBK" w:eastAsia="方正仿宋_GBK" w:cs="方正仿宋_GBK"/>
          <w:sz w:val="32"/>
          <w:szCs w:val="32"/>
          <w:lang w:val="en-US" w:eastAsia="zh-CN"/>
        </w:rPr>
        <w:t>璧山兔制作</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培训811人，</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来凤鱼制作</w:t>
      </w:r>
      <w:r>
        <w:rPr>
          <w:rFonts w:hint="eastAsia" w:ascii="方正仿宋_GBK" w:hAnsi="方正仿宋_GBK" w:eastAsia="方正仿宋_GBK" w:cs="方正仿宋_GBK"/>
          <w:sz w:val="32"/>
          <w:szCs w:val="32"/>
          <w:lang w:val="en-US" w:eastAsia="zh-CN"/>
        </w:rPr>
        <w:t>”培训</w:t>
      </w:r>
      <w:r>
        <w:rPr>
          <w:rFonts w:hint="default" w:ascii="方正仿宋_GBK" w:hAnsi="方正仿宋_GBK" w:eastAsia="方正仿宋_GBK" w:cs="方正仿宋_GBK"/>
          <w:sz w:val="32"/>
          <w:szCs w:val="32"/>
          <w:lang w:val="en-US" w:eastAsia="zh-CN"/>
        </w:rPr>
        <w:t>574人</w:t>
      </w:r>
      <w:r>
        <w:rPr>
          <w:rFonts w:hint="eastAsia" w:ascii="方正仿宋_GBK" w:hAnsi="方正仿宋_GBK" w:eastAsia="方正仿宋_GBK" w:cs="方正仿宋_GBK"/>
          <w:sz w:val="32"/>
          <w:szCs w:val="32"/>
          <w:lang w:val="en-US" w:eastAsia="zh-CN"/>
        </w:rPr>
        <w:t>，不断</w:t>
      </w:r>
      <w:r>
        <w:rPr>
          <w:rFonts w:hint="default" w:ascii="方正仿宋_GBK" w:hAnsi="方正仿宋_GBK" w:eastAsia="方正仿宋_GBK" w:cs="方正仿宋_GBK"/>
          <w:sz w:val="32"/>
          <w:szCs w:val="32"/>
          <w:lang w:val="en-US" w:eastAsia="zh-CN"/>
        </w:rPr>
        <w:t>扩大特色品牌影响力</w:t>
      </w:r>
      <w:r>
        <w:rPr>
          <w:rFonts w:hint="eastAsia" w:ascii="方正仿宋_GBK" w:hAnsi="方正仿宋_GBK" w:eastAsia="方正仿宋_GBK" w:cs="方正仿宋_GBK"/>
          <w:sz w:val="32"/>
          <w:szCs w:val="32"/>
          <w:lang w:val="en-US" w:eastAsia="zh-CN"/>
        </w:rPr>
        <w:t>。推动创业带动就业：创建市级创业孵化基地2个，2017年，璧山区获“国家级返乡创业试点区县”国字号名片。加强就业创业服务信息化建设。在就业服务招聘大厅设置了培训和创业服务区等6大分区，配备了求职查询系统、现场洽谈系统、后台管理数据中心、微信求职招聘系统、综合查询一体机、桌面终端洽谈机、招聘显示系统等软件系统，可容纳74家企业1000名求职人员同时进场。实施积极就业政策，克服疫情带来的消极影响，多措并举稳就业保居民就业。先后出台《璧山区“探索‘订单式’人才培养方式解决企业用工难问题”工作方案》《璧山区关于保障企业用工的若干措施》，保障企业用工工作得到极大发展。支付困难企业稳岗返还362户1.05亿元，支付稳岗补贴394.73万元。该指标得6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壮大人才队伍。打造具有我区特色的高层次人才一站式线下线上服务平台，发放“璧山人才绿卡”。2020年底完成璧山区高层次人才一站式服务平台建设，为我区高层次人才提供职称评审服务、科研项目服务、子女教育服务、外国人来渝办理签证证件服务、配偶（子女）就业服务、医疗保健服务、交通服务、流动人员人事档案服务、免费就餐服务、代办服务等线上服务。事业单位人才队伍结构持续优化，公开招聘事业单位工作人员中的高层次人才比例不断增大。积极参加“百万英才兴重庆”等人才交流活动，公开招聘事业单位工作人员1024名。我区公招事业单位工作人员中的硕士研究生以上高层次人才比例持续增大，从24%提升至46%，2021年上半年达到了62%。引导辖区内大型企事业单位申报建设博士后科研工作站，全区共设立国家级博士后工作站2个、市级博士后工作站15个。该指标得6分。</w:t>
      </w:r>
    </w:p>
    <w:p>
      <w:pPr>
        <w:keepNext w:val="0"/>
        <w:keepLines w:val="0"/>
        <w:pageBreakBefore w:val="0"/>
        <w:widowControl w:val="0"/>
        <w:numPr>
          <w:ilvl w:val="0"/>
          <w:numId w:val="5"/>
        </w:numPr>
        <w:kinsoku/>
        <w:wordWrap/>
        <w:overflowPunct/>
        <w:topLinePunct w:val="0"/>
        <w:autoSpaceDE/>
        <w:autoSpaceDN/>
        <w:bidi w:val="0"/>
        <w:adjustRightInd/>
        <w:snapToGrid w:val="0"/>
        <w:spacing w:line="600" w:lineRule="exact"/>
        <w:ind w:firstLine="640" w:firstLineChars="200"/>
        <w:textAlignment w:val="auto"/>
        <w:outlineLvl w:val="2"/>
        <w:rPr>
          <w:rFonts w:hint="eastAsia" w:ascii="方正仿宋_GBK" w:hAnsi="方正仿宋_GBK" w:eastAsia="方正仿宋_GBK" w:cs="方正仿宋_GBK"/>
          <w:color w:val="auto"/>
          <w:sz w:val="32"/>
          <w:szCs w:val="32"/>
          <w:lang w:val="en-US" w:eastAsia="zh-CN"/>
        </w:rPr>
      </w:pPr>
      <w:bookmarkStart w:id="60" w:name="_Toc10576"/>
      <w:bookmarkStart w:id="61" w:name="_Toc25850"/>
      <w:bookmarkStart w:id="62" w:name="_Toc29732"/>
      <w:r>
        <w:rPr>
          <w:rFonts w:hint="eastAsia" w:ascii="方正仿宋_GBK" w:hAnsi="方正仿宋_GBK" w:eastAsia="方正仿宋_GBK" w:cs="方正仿宋_GBK"/>
          <w:color w:val="auto"/>
          <w:sz w:val="32"/>
          <w:szCs w:val="32"/>
          <w:lang w:val="en-US" w:eastAsia="zh-CN"/>
        </w:rPr>
        <w:t>社会公众满意度</w:t>
      </w:r>
      <w:bookmarkEnd w:id="60"/>
      <w:bookmarkEnd w:id="61"/>
      <w:bookmarkEnd w:id="62"/>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2021年3月，我部门对参与人力社保工作开展了满意度调研工作，满意度为96%，该指标得10分</w:t>
      </w:r>
      <w:r>
        <w:rPr>
          <w:rFonts w:hint="eastAsia" w:ascii="方正仿宋_GBK" w:hAnsi="方正仿宋_GBK" w:eastAsia="方正仿宋_GBK" w:cs="方正仿宋_GBK"/>
          <w:color w:val="auto"/>
          <w:sz w:val="32"/>
          <w:szCs w:val="32"/>
        </w:rPr>
        <w:t>。</w:t>
      </w:r>
    </w:p>
    <w:p>
      <w:pPr>
        <w:keepNext w:val="0"/>
        <w:keepLines w:val="0"/>
        <w:pageBreakBefore w:val="0"/>
        <w:widowControl w:val="0"/>
        <w:numPr>
          <w:ilvl w:val="0"/>
          <w:numId w:val="7"/>
        </w:numPr>
        <w:kinsoku/>
        <w:wordWrap/>
        <w:overflowPunct/>
        <w:topLinePunct w:val="0"/>
        <w:autoSpaceDE/>
        <w:autoSpaceDN/>
        <w:bidi w:val="0"/>
        <w:adjustRightInd/>
        <w:snapToGrid w:val="0"/>
        <w:spacing w:line="600" w:lineRule="exact"/>
        <w:ind w:firstLine="640" w:firstLineChars="200"/>
        <w:textAlignment w:val="auto"/>
        <w:outlineLvl w:val="0"/>
        <w:rPr>
          <w:rFonts w:eastAsia="方正黑体_GBK"/>
          <w:sz w:val="32"/>
          <w:szCs w:val="32"/>
        </w:rPr>
      </w:pPr>
      <w:bookmarkStart w:id="63" w:name="_Toc1378"/>
      <w:bookmarkStart w:id="64" w:name="_Toc4272"/>
      <w:r>
        <w:rPr>
          <w:rFonts w:eastAsia="方正黑体_GBK"/>
          <w:sz w:val="32"/>
          <w:szCs w:val="32"/>
        </w:rPr>
        <w:t>主要经验及做法</w:t>
      </w:r>
      <w:bookmarkEnd w:id="63"/>
      <w:bookmarkEnd w:id="64"/>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1"/>
        <w:rPr>
          <w:rFonts w:hint="default" w:ascii="方正仿宋_GBK" w:hAnsi="方正仿宋_GBK" w:eastAsia="方正仿宋_GBK" w:cs="方正仿宋_GBK"/>
          <w:color w:val="auto"/>
          <w:sz w:val="32"/>
          <w:szCs w:val="32"/>
          <w:lang w:val="en-US" w:eastAsia="zh-CN"/>
        </w:rPr>
      </w:pPr>
      <w:bookmarkStart w:id="65" w:name="_Toc29725"/>
      <w:bookmarkStart w:id="66" w:name="_Toc15174"/>
      <w:r>
        <w:rPr>
          <w:rFonts w:hint="eastAsia" w:ascii="方正楷体_GBK" w:hAnsi="方正楷体_GBK" w:eastAsia="方正楷体_GBK" w:cs="方正楷体_GBK"/>
          <w:sz w:val="32"/>
          <w:szCs w:val="32"/>
          <w:lang w:val="en-US" w:eastAsia="zh-CN"/>
        </w:rPr>
        <w:t>（一）</w:t>
      </w:r>
      <w:bookmarkEnd w:id="65"/>
      <w:bookmarkEnd w:id="66"/>
      <w:r>
        <w:rPr>
          <w:rFonts w:hint="eastAsia" w:ascii="方正楷体_GBK" w:hAnsi="方正楷体_GBK" w:eastAsia="方正楷体_GBK" w:cs="方正楷体_GBK"/>
          <w:sz w:val="32"/>
          <w:szCs w:val="32"/>
          <w:lang w:val="en-US" w:eastAsia="zh-CN"/>
        </w:rPr>
        <w:t>坚持就业优先战略。</w:t>
      </w:r>
      <w:r>
        <w:rPr>
          <w:rFonts w:hint="eastAsia" w:ascii="方正仿宋_GBK" w:hAnsi="方正仿宋_GBK" w:eastAsia="方正仿宋_GBK" w:cs="方正仿宋_GBK"/>
          <w:color w:val="auto"/>
          <w:sz w:val="32"/>
          <w:szCs w:val="32"/>
          <w:lang w:val="en-US" w:eastAsia="zh-CN"/>
        </w:rPr>
        <w:t>健全就业服务体系，着力解决就业结构性矛盾，保持就业局势稳定，努力实现更高质量和更充分就业。完善重点群体就业支持体系。推进农村劳动力转移就业。进一步完善职业培训、就业服务、劳动维权“三位一体”的工作机制促进农民工群体融入城市。加强城镇困难人员就业援助，重点对长期失业的就业困难人员实施“一对一”帮扶，确保城镇零就业家庭动态为零。</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outlineLvl w:val="1"/>
        <w:rPr>
          <w:rFonts w:hint="default" w:ascii="方正仿宋_GBK" w:hAnsi="方正仿宋_GBK" w:eastAsia="方正仿宋_GBK" w:cs="方正仿宋_GBK"/>
          <w:sz w:val="28"/>
          <w:szCs w:val="28"/>
          <w:lang w:val="en-US" w:eastAsia="zh-CN"/>
        </w:rPr>
      </w:pPr>
      <w:bookmarkStart w:id="67" w:name="_Toc26713"/>
      <w:bookmarkStart w:id="68" w:name="_Toc16310"/>
      <w:r>
        <w:rPr>
          <w:rFonts w:hint="eastAsia" w:ascii="方正仿宋_GBK" w:hAnsi="方正仿宋_GBK" w:eastAsia="方正仿宋_GBK" w:cs="方正仿宋_GBK"/>
          <w:sz w:val="28"/>
          <w:szCs w:val="28"/>
          <w:lang w:val="en-US" w:eastAsia="zh-CN"/>
        </w:rPr>
        <w:t>（二）</w:t>
      </w:r>
      <w:bookmarkEnd w:id="67"/>
      <w:bookmarkEnd w:id="68"/>
      <w:r>
        <w:rPr>
          <w:rFonts w:hint="eastAsia" w:ascii="方正楷体_GBK" w:hAnsi="方正楷体_GBK" w:eastAsia="方正楷体_GBK" w:cs="方正楷体_GBK"/>
          <w:sz w:val="32"/>
          <w:szCs w:val="32"/>
          <w:lang w:val="en-US" w:eastAsia="zh-CN"/>
        </w:rPr>
        <w:t>推动社会保障机制更加公平更可持续。</w:t>
      </w:r>
      <w:r>
        <w:rPr>
          <w:rFonts w:hint="eastAsia" w:ascii="方正仿宋_GBK" w:hAnsi="方正仿宋_GBK" w:eastAsia="方正仿宋_GBK" w:cs="方正仿宋_GBK"/>
          <w:color w:val="auto"/>
          <w:sz w:val="32"/>
          <w:szCs w:val="32"/>
          <w:lang w:val="en-US" w:eastAsia="zh-CN"/>
        </w:rPr>
        <w:t>大力推进全民参保计划全面实施，巩固全民参保登记成果，重点做好建档立卡贫困人口、农民工、灵活就业人员、新业态从业人员等群体的参保扩面工作，促进未参齐险种人员参齐险种，促进断保人员接续参保。深入推进企业退休人员社会化管理，确保完成国企退休人员移交任务</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outlineLvl w:val="1"/>
        <w:rPr>
          <w:rFonts w:hint="default" w:ascii="方正仿宋_GBK" w:hAnsi="方正仿宋_GBK" w:eastAsia="方正仿宋_GBK" w:cs="方正仿宋_GBK"/>
          <w:color w:val="auto"/>
          <w:sz w:val="32"/>
          <w:szCs w:val="32"/>
          <w:lang w:val="en-US" w:eastAsia="zh-CN"/>
        </w:rPr>
      </w:pPr>
      <w:bookmarkStart w:id="69" w:name="_Toc22337"/>
      <w:bookmarkStart w:id="70" w:name="_Toc31114"/>
      <w:r>
        <w:rPr>
          <w:rFonts w:hint="eastAsia" w:ascii="方正楷体_GBK" w:hAnsi="方正楷体_GBK" w:eastAsia="方正楷体_GBK" w:cs="方正楷体_GBK"/>
          <w:sz w:val="28"/>
          <w:szCs w:val="28"/>
          <w:lang w:val="en-US" w:eastAsia="zh-CN"/>
        </w:rPr>
        <w:t>（三）</w:t>
      </w:r>
      <w:bookmarkEnd w:id="69"/>
      <w:bookmarkEnd w:id="70"/>
      <w:r>
        <w:rPr>
          <w:rFonts w:hint="eastAsia" w:ascii="方正楷体_GBK" w:hAnsi="方正楷体_GBK" w:eastAsia="方正楷体_GBK" w:cs="方正楷体_GBK"/>
          <w:sz w:val="32"/>
          <w:szCs w:val="32"/>
          <w:lang w:val="en-US" w:eastAsia="zh-CN"/>
        </w:rPr>
        <w:t>深入落实人才强区战略。</w:t>
      </w:r>
      <w:r>
        <w:rPr>
          <w:rFonts w:hint="eastAsia" w:ascii="方正仿宋_GBK" w:hAnsi="方正仿宋_GBK" w:eastAsia="方正仿宋_GBK" w:cs="方正仿宋_GBK"/>
          <w:color w:val="auto"/>
          <w:sz w:val="32"/>
          <w:szCs w:val="32"/>
          <w:lang w:val="en-US" w:eastAsia="zh-CN"/>
        </w:rPr>
        <w:t>进一步拓展人才引进和智力引进渠道，加大对璧山现状和人才优惠政策宣传力度，积极参加各级各类人才交流和智力引进活动。重点引进装备制造、信息产业、食品医药三大产业，以及高新技术、农业科技等领域的高层次人才（急需紧缺高层次人才），打造璧山高层次人才队伍。严格按照相关规定，广泛开展公开招聘事业单位工作人员、招聘高校贫困大学生，办理人员流动调配手续，为全区经济社会发展提供人才智力保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eastAsia="方正黑体_GBK"/>
          <w:sz w:val="32"/>
          <w:szCs w:val="32"/>
        </w:rPr>
      </w:pPr>
      <w:bookmarkStart w:id="71" w:name="_Toc24567"/>
      <w:bookmarkStart w:id="72" w:name="_Toc7293"/>
      <w:r>
        <w:rPr>
          <w:rFonts w:hint="eastAsia" w:eastAsia="方正黑体_GBK"/>
          <w:sz w:val="32"/>
          <w:szCs w:val="32"/>
        </w:rPr>
        <w:t>五、</w:t>
      </w:r>
      <w:r>
        <w:rPr>
          <w:rFonts w:eastAsia="方正黑体_GBK"/>
          <w:sz w:val="32"/>
          <w:szCs w:val="32"/>
        </w:rPr>
        <w:t>存在的问题和建议</w:t>
      </w:r>
      <w:bookmarkEnd w:id="71"/>
      <w:bookmarkEnd w:id="72"/>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color w:val="auto"/>
          <w:kern w:val="2"/>
          <w:sz w:val="32"/>
          <w:szCs w:val="32"/>
          <w:lang w:val="en-US" w:eastAsia="zh-CN" w:bidi="ar-SA"/>
        </w:rPr>
      </w:pPr>
      <w:bookmarkStart w:id="73" w:name="_Toc29599"/>
      <w:bookmarkStart w:id="74" w:name="_Toc31202"/>
      <w:r>
        <w:rPr>
          <w:rFonts w:hint="eastAsia" w:ascii="方正楷体_GBK" w:hAnsi="方正楷体_GBK" w:eastAsia="方正楷体_GBK" w:cs="方正楷体_GBK"/>
          <w:kern w:val="2"/>
          <w:sz w:val="32"/>
          <w:szCs w:val="32"/>
          <w:lang w:val="en-US" w:eastAsia="zh-CN" w:bidi="ar-SA"/>
        </w:rPr>
        <w:t>（一）</w:t>
      </w:r>
      <w:bookmarkEnd w:id="73"/>
      <w:bookmarkEnd w:id="74"/>
      <w:r>
        <w:rPr>
          <w:rFonts w:hint="eastAsia" w:ascii="方正楷体_GBK" w:hAnsi="方正楷体_GBK" w:eastAsia="方正楷体_GBK" w:cs="方正楷体_GBK"/>
          <w:kern w:val="2"/>
          <w:sz w:val="32"/>
          <w:szCs w:val="32"/>
          <w:lang w:val="en-US" w:eastAsia="zh-CN" w:bidi="ar-SA"/>
        </w:rPr>
        <w:t>项目档案管理需进一步规范。</w:t>
      </w:r>
      <w:r>
        <w:rPr>
          <w:rFonts w:hint="eastAsia" w:ascii="方正仿宋_GBK" w:hAnsi="方正仿宋_GBK" w:eastAsia="方正仿宋_GBK" w:cs="方正仿宋_GBK"/>
          <w:color w:val="auto"/>
          <w:kern w:val="2"/>
          <w:sz w:val="32"/>
          <w:szCs w:val="32"/>
          <w:lang w:val="en-US" w:eastAsia="zh-CN" w:bidi="ar-SA"/>
        </w:rPr>
        <w:t>对项目管理的重视程度有待进一步提高，业务科室对绩效评价工作的认识不足，重视不够，项目档案没有按要求及时进行归集整理，存在未保存相关部门的审批文件、文件日期标注不明、无工程项目施工过程记录照片的情况，没有进行专门的项目管理。</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楷体_GBK" w:hAnsi="方正楷体_GBK" w:eastAsia="方正楷体_GBK" w:cs="方正楷体_GBK"/>
          <w:kern w:val="2"/>
          <w:sz w:val="32"/>
          <w:szCs w:val="32"/>
          <w:lang w:val="en-US" w:eastAsia="zh-CN" w:bidi="ar-SA"/>
        </w:rPr>
        <w:t>（二）加强预算绩效管理。</w:t>
      </w:r>
      <w:r>
        <w:rPr>
          <w:rFonts w:hint="eastAsia" w:ascii="方正仿宋_GBK" w:hAnsi="方正仿宋_GBK" w:eastAsia="方正仿宋_GBK" w:cs="方正仿宋_GBK"/>
          <w:color w:val="auto"/>
          <w:kern w:val="2"/>
          <w:sz w:val="32"/>
          <w:szCs w:val="32"/>
          <w:lang w:val="en-US" w:eastAsia="zh-CN" w:bidi="ar-SA"/>
        </w:rPr>
        <w:t>进一步加强预算资金管理，减少预算资金使用的随意性，对预算的事前、事中、事后进行全过程控制，加大对预算编制与执行的监督管理力度，提高预算资金使用效率。同时，提高各业务科室（单位）对预算资金使用效益的认识，把预算资金是否发挥使用效益与各岗位是否履职尽责相结合，将预算资金使用的效率和效益作为对各岗位人员工作考核评价的重要内容之一。对预算外经费严格落实“收支两条线”要求，精细测算支出额度，把需求核准核实，充分发挥财政资金的效益。</w:t>
      </w: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jc w:val="right"/>
        <w:textAlignment w:val="auto"/>
        <w:outlineLvl w:val="9"/>
        <w:rPr>
          <w:rFonts w:hint="eastAsia" w:eastAsia="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jc w:val="both"/>
        <w:textAlignment w:val="auto"/>
        <w:outlineLvl w:val="9"/>
        <w:rPr>
          <w:rFonts w:hint="eastAsia" w:eastAsia="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outlineLvl w:val="9"/>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重庆市璧山区人力资源和社会保障局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center"/>
        <w:textAlignment w:val="auto"/>
        <w:outlineLvl w:val="9"/>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                      2022年3月18日</w:t>
      </w:r>
    </w:p>
    <w:sectPr>
      <w:headerReference r:id="rId4" w:type="default"/>
      <w:pgSz w:w="11906" w:h="16838"/>
      <w:pgMar w:top="1587" w:right="1474" w:bottom="1587" w:left="147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88A30"/>
    <w:multiLevelType w:val="singleLevel"/>
    <w:tmpl w:val="8AF88A30"/>
    <w:lvl w:ilvl="0" w:tentative="0">
      <w:start w:val="2"/>
      <w:numFmt w:val="decimal"/>
      <w:suff w:val="space"/>
      <w:lvlText w:val="%1."/>
      <w:lvlJc w:val="left"/>
    </w:lvl>
  </w:abstractNum>
  <w:abstractNum w:abstractNumId="1">
    <w:nsid w:val="F25FCC9E"/>
    <w:multiLevelType w:val="singleLevel"/>
    <w:tmpl w:val="F25FCC9E"/>
    <w:lvl w:ilvl="0" w:tentative="0">
      <w:start w:val="1"/>
      <w:numFmt w:val="decimal"/>
      <w:suff w:val="nothing"/>
      <w:lvlText w:val="（%1）"/>
      <w:lvlJc w:val="left"/>
    </w:lvl>
  </w:abstractNum>
  <w:abstractNum w:abstractNumId="2">
    <w:nsid w:val="FBA31907"/>
    <w:multiLevelType w:val="singleLevel"/>
    <w:tmpl w:val="FBA31907"/>
    <w:lvl w:ilvl="0" w:tentative="0">
      <w:start w:val="1"/>
      <w:numFmt w:val="decimal"/>
      <w:suff w:val="space"/>
      <w:lvlText w:val="%1."/>
      <w:lvlJc w:val="left"/>
    </w:lvl>
  </w:abstractNum>
  <w:abstractNum w:abstractNumId="3">
    <w:nsid w:val="FFB2944A"/>
    <w:multiLevelType w:val="singleLevel"/>
    <w:tmpl w:val="FFB2944A"/>
    <w:lvl w:ilvl="0" w:tentative="0">
      <w:start w:val="2"/>
      <w:numFmt w:val="decimal"/>
      <w:suff w:val="space"/>
      <w:lvlText w:val="%1."/>
      <w:lvlJc w:val="left"/>
    </w:lvl>
  </w:abstractNum>
  <w:abstractNum w:abstractNumId="4">
    <w:nsid w:val="32EC0C5C"/>
    <w:multiLevelType w:val="singleLevel"/>
    <w:tmpl w:val="32EC0C5C"/>
    <w:lvl w:ilvl="0" w:tentative="0">
      <w:start w:val="1"/>
      <w:numFmt w:val="decimal"/>
      <w:suff w:val="space"/>
      <w:lvlText w:val="%1."/>
      <w:lvlJc w:val="left"/>
    </w:lvl>
  </w:abstractNum>
  <w:abstractNum w:abstractNumId="5">
    <w:nsid w:val="48E72DC4"/>
    <w:multiLevelType w:val="singleLevel"/>
    <w:tmpl w:val="48E72DC4"/>
    <w:lvl w:ilvl="0" w:tentative="0">
      <w:start w:val="1"/>
      <w:numFmt w:val="decimal"/>
      <w:suff w:val="space"/>
      <w:lvlText w:val="%1."/>
      <w:lvlJc w:val="left"/>
    </w:lvl>
  </w:abstractNum>
  <w:abstractNum w:abstractNumId="6">
    <w:nsid w:val="4E9D7F47"/>
    <w:multiLevelType w:val="singleLevel"/>
    <w:tmpl w:val="4E9D7F47"/>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E3210"/>
    <w:rsid w:val="00337F5F"/>
    <w:rsid w:val="01347920"/>
    <w:rsid w:val="01A341D1"/>
    <w:rsid w:val="066E54EF"/>
    <w:rsid w:val="08795CAD"/>
    <w:rsid w:val="0A2400FC"/>
    <w:rsid w:val="0A5613FB"/>
    <w:rsid w:val="0AF32FD7"/>
    <w:rsid w:val="0B0E0EB5"/>
    <w:rsid w:val="0CAA7AB6"/>
    <w:rsid w:val="0D1B166A"/>
    <w:rsid w:val="0E4D394A"/>
    <w:rsid w:val="11486FF2"/>
    <w:rsid w:val="131F53B7"/>
    <w:rsid w:val="144B5E1C"/>
    <w:rsid w:val="14DA48E3"/>
    <w:rsid w:val="15712FF4"/>
    <w:rsid w:val="15D8324F"/>
    <w:rsid w:val="168A2BB0"/>
    <w:rsid w:val="168F2B1D"/>
    <w:rsid w:val="17CD1C84"/>
    <w:rsid w:val="187B2AD9"/>
    <w:rsid w:val="18963743"/>
    <w:rsid w:val="18F6753B"/>
    <w:rsid w:val="19112B94"/>
    <w:rsid w:val="1A1C0452"/>
    <w:rsid w:val="1BCC0BAD"/>
    <w:rsid w:val="1D5421B7"/>
    <w:rsid w:val="1E34286E"/>
    <w:rsid w:val="1F384891"/>
    <w:rsid w:val="22783380"/>
    <w:rsid w:val="23E40D2B"/>
    <w:rsid w:val="23EC5610"/>
    <w:rsid w:val="264832C5"/>
    <w:rsid w:val="283A70C1"/>
    <w:rsid w:val="29CA03ED"/>
    <w:rsid w:val="2AEB0819"/>
    <w:rsid w:val="2AF96C30"/>
    <w:rsid w:val="2B6D0E97"/>
    <w:rsid w:val="2BD43A28"/>
    <w:rsid w:val="2D6C0276"/>
    <w:rsid w:val="2EB73A41"/>
    <w:rsid w:val="30EB7686"/>
    <w:rsid w:val="31451B7D"/>
    <w:rsid w:val="325F181C"/>
    <w:rsid w:val="32DC5935"/>
    <w:rsid w:val="331E4B3D"/>
    <w:rsid w:val="348D4CC3"/>
    <w:rsid w:val="352C5B45"/>
    <w:rsid w:val="36704F28"/>
    <w:rsid w:val="368C43E0"/>
    <w:rsid w:val="36A162CE"/>
    <w:rsid w:val="394C4612"/>
    <w:rsid w:val="3BC97E0B"/>
    <w:rsid w:val="3BF3276E"/>
    <w:rsid w:val="3C2A1BE6"/>
    <w:rsid w:val="3CD36765"/>
    <w:rsid w:val="3DFE3A36"/>
    <w:rsid w:val="3E3504B6"/>
    <w:rsid w:val="3E712B54"/>
    <w:rsid w:val="3F01772D"/>
    <w:rsid w:val="41BD7E99"/>
    <w:rsid w:val="437A3AD7"/>
    <w:rsid w:val="448C4652"/>
    <w:rsid w:val="44D56139"/>
    <w:rsid w:val="45201C51"/>
    <w:rsid w:val="48CA0852"/>
    <w:rsid w:val="48FD6E00"/>
    <w:rsid w:val="4C383A2C"/>
    <w:rsid w:val="4DD32FAE"/>
    <w:rsid w:val="502B4CCF"/>
    <w:rsid w:val="50305BD0"/>
    <w:rsid w:val="53235A8B"/>
    <w:rsid w:val="54B1276E"/>
    <w:rsid w:val="54D26EC0"/>
    <w:rsid w:val="55EA3F07"/>
    <w:rsid w:val="561424EC"/>
    <w:rsid w:val="56FD2460"/>
    <w:rsid w:val="570A22B7"/>
    <w:rsid w:val="58C408FD"/>
    <w:rsid w:val="59CA1982"/>
    <w:rsid w:val="5A690AFD"/>
    <w:rsid w:val="5CCB3FC9"/>
    <w:rsid w:val="5F570A60"/>
    <w:rsid w:val="614B17B4"/>
    <w:rsid w:val="658F02D2"/>
    <w:rsid w:val="67125A14"/>
    <w:rsid w:val="681A5E9D"/>
    <w:rsid w:val="6831060B"/>
    <w:rsid w:val="685B5254"/>
    <w:rsid w:val="698C433C"/>
    <w:rsid w:val="6B9F52F0"/>
    <w:rsid w:val="6BDB3B13"/>
    <w:rsid w:val="6C023C44"/>
    <w:rsid w:val="6DC33D2F"/>
    <w:rsid w:val="6EE27180"/>
    <w:rsid w:val="700F34AF"/>
    <w:rsid w:val="70506B46"/>
    <w:rsid w:val="70D91C50"/>
    <w:rsid w:val="70D9435F"/>
    <w:rsid w:val="710F1DDD"/>
    <w:rsid w:val="72AA051C"/>
    <w:rsid w:val="72AF767C"/>
    <w:rsid w:val="765216AA"/>
    <w:rsid w:val="76DE3210"/>
    <w:rsid w:val="772E7EB8"/>
    <w:rsid w:val="77B17EA7"/>
    <w:rsid w:val="78CE25BE"/>
    <w:rsid w:val="79E353C2"/>
    <w:rsid w:val="7BA45FD6"/>
    <w:rsid w:val="7BE3264B"/>
    <w:rsid w:val="7D25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3"/>
    <w:basedOn w:val="1"/>
    <w:next w:val="1"/>
    <w:unhideWhenUsed/>
    <w:qFormat/>
    <w:uiPriority w:val="39"/>
    <w:pPr>
      <w:ind w:left="840" w:leftChars="400"/>
    </w:p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paragraph" w:styleId="8">
    <w:name w:val="Message Header"/>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firstLine="420" w:firstLineChars="200"/>
    </w:pPr>
  </w:style>
  <w:style w:type="paragraph" w:customStyle="1" w:styleId="15">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2021-04-16T05:03:00Z</dcterms:created>
  <dc:creator>acer</dc:creator>
  <cp:lastModifiedBy>Administrator</cp:lastModifiedBy>
  <cp:lastPrinted>2022-10-13T02:49:00Z</cp:lastPrinted>
  <dcterms:modified xsi:type="dcterms:W3CDTF">2024-12-10T03:06:40Z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