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center"/>
        <w:rPr>
          <w:rFonts w:hint="eastAsia" w:eastAsia="方正小标宋_GBK"/>
          <w:sz w:val="44"/>
          <w:szCs w:val="32"/>
        </w:rPr>
      </w:pPr>
    </w:p>
    <w:p>
      <w:pPr>
        <w:pStyle w:val="2"/>
        <w:rPr>
          <w:rFonts w:hint="eastAsia"/>
        </w:rPr>
      </w:pPr>
    </w:p>
    <w:p>
      <w:pPr>
        <w:spacing w:line="596" w:lineRule="exact"/>
        <w:jc w:val="center"/>
        <w:rPr>
          <w:rFonts w:hint="eastAsia" w:eastAsia="方正小标宋_GBK"/>
          <w:sz w:val="44"/>
          <w:szCs w:val="32"/>
        </w:rPr>
      </w:pPr>
    </w:p>
    <w:p>
      <w:pPr>
        <w:spacing w:line="596" w:lineRule="exact"/>
        <w:jc w:val="center"/>
        <w:rPr>
          <w:rFonts w:hint="eastAsia" w:eastAsia="方正小标宋_GBK"/>
          <w:sz w:val="44"/>
          <w:szCs w:val="32"/>
        </w:rPr>
      </w:pPr>
    </w:p>
    <w:p>
      <w:pPr>
        <w:spacing w:line="596" w:lineRule="exact"/>
        <w:jc w:val="center"/>
        <w:rPr>
          <w:rFonts w:hint="eastAsia" w:eastAsia="方正小标宋_GBK"/>
          <w:sz w:val="44"/>
          <w:szCs w:val="32"/>
        </w:rPr>
      </w:pPr>
    </w:p>
    <w:p>
      <w:pPr>
        <w:spacing w:line="596" w:lineRule="exact"/>
        <w:jc w:val="center"/>
        <w:rPr>
          <w:rFonts w:hint="eastAsia" w:eastAsia="方正小标宋_GBK"/>
          <w:sz w:val="44"/>
          <w:szCs w:val="32"/>
        </w:rPr>
      </w:pPr>
    </w:p>
    <w:p>
      <w:pPr>
        <w:spacing w:line="596" w:lineRule="exact"/>
        <w:jc w:val="center"/>
        <w:rPr>
          <w:rFonts w:hint="eastAsia" w:eastAsia="方正小标宋_GBK"/>
          <w:sz w:val="44"/>
          <w:szCs w:val="32"/>
        </w:rPr>
      </w:pPr>
    </w:p>
    <w:p>
      <w:pPr>
        <w:pStyle w:val="14"/>
        <w:spacing w:line="596" w:lineRule="exact"/>
        <w:ind w:left="359" w:leftChars="171" w:firstLine="1100" w:firstLineChars="250"/>
        <w:jc w:val="center"/>
        <w:rPr>
          <w:rFonts w:hint="eastAsia" w:eastAsia="方正小标宋_GBK"/>
          <w:sz w:val="44"/>
          <w:szCs w:val="32"/>
          <w:lang w:eastAsia="zh-CN"/>
        </w:rPr>
      </w:pPr>
      <w:r>
        <w:rPr>
          <w:rFonts w:hint="eastAsia" w:eastAsia="方正小标宋_GBK"/>
          <w:sz w:val="44"/>
          <w:szCs w:val="32"/>
        </w:rPr>
        <w:t>重庆市璧山区</w:t>
      </w:r>
      <w:r>
        <w:rPr>
          <w:rFonts w:hint="eastAsia" w:eastAsia="方正小标宋_GBK"/>
          <w:sz w:val="44"/>
          <w:szCs w:val="32"/>
          <w:lang w:eastAsia="zh-CN"/>
        </w:rPr>
        <w:t>融媒体中心</w:t>
      </w:r>
    </w:p>
    <w:p>
      <w:pPr>
        <w:pStyle w:val="14"/>
        <w:spacing w:line="596" w:lineRule="exact"/>
        <w:ind w:left="359" w:leftChars="171" w:firstLine="1100" w:firstLineChars="250"/>
        <w:jc w:val="center"/>
        <w:rPr>
          <w:rFonts w:eastAsia="方正小标宋_GBK"/>
          <w:sz w:val="44"/>
          <w:szCs w:val="32"/>
        </w:rPr>
      </w:pPr>
      <w:r>
        <w:rPr>
          <w:rFonts w:hint="eastAsia" w:eastAsia="方正小标宋_GBK"/>
          <w:sz w:val="44"/>
          <w:szCs w:val="32"/>
        </w:rPr>
        <w:t>2021</w:t>
      </w:r>
      <w:r>
        <w:rPr>
          <w:rFonts w:eastAsia="方正小标宋_GBK"/>
          <w:sz w:val="44"/>
          <w:szCs w:val="32"/>
        </w:rPr>
        <w:t>年</w:t>
      </w:r>
      <w:r>
        <w:rPr>
          <w:rFonts w:hint="eastAsia" w:eastAsia="方正小标宋_GBK"/>
          <w:sz w:val="44"/>
          <w:szCs w:val="32"/>
        </w:rPr>
        <w:t>度</w:t>
      </w:r>
      <w:r>
        <w:rPr>
          <w:rFonts w:eastAsia="方正小标宋_GBK"/>
          <w:sz w:val="44"/>
          <w:szCs w:val="32"/>
        </w:rPr>
        <w:t>整体支出绩效</w:t>
      </w:r>
      <w:r>
        <w:rPr>
          <w:rFonts w:hint="eastAsia" w:eastAsia="方正小标宋_GBK"/>
          <w:sz w:val="44"/>
          <w:szCs w:val="32"/>
        </w:rPr>
        <w:t>自评</w:t>
      </w:r>
      <w:r>
        <w:rPr>
          <w:rFonts w:eastAsia="方正小标宋_GBK"/>
          <w:sz w:val="44"/>
          <w:szCs w:val="32"/>
        </w:rPr>
        <w:t>报告</w:t>
      </w: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357" w:firstLine="640"/>
        <w:rPr>
          <w:rFonts w:eastAsia="方正仿宋_GBK"/>
          <w:sz w:val="32"/>
          <w:szCs w:val="32"/>
        </w:rPr>
      </w:pPr>
    </w:p>
    <w:p>
      <w:pPr>
        <w:pStyle w:val="14"/>
        <w:spacing w:line="596" w:lineRule="exact"/>
        <w:ind w:left="0" w:leftChars="0" w:firstLine="0" w:firstLineChars="0"/>
        <w:rPr>
          <w:rFonts w:hint="eastAsia" w:eastAsia="方正仿宋_GBK"/>
          <w:sz w:val="32"/>
          <w:szCs w:val="32"/>
          <w:lang w:eastAsia="zh-CN"/>
        </w:rPr>
      </w:pPr>
    </w:p>
    <w:p>
      <w:pPr>
        <w:rPr>
          <w:rFonts w:eastAsia="FZHei-B01"/>
          <w:sz w:val="32"/>
          <w:szCs w:val="32"/>
        </w:rPr>
      </w:pPr>
      <w:r>
        <w:rPr>
          <w:rFonts w:eastAsia="FZHei-B01"/>
          <w:sz w:val="32"/>
          <w:szCs w:val="32"/>
        </w:rPr>
        <w:br w:type="page"/>
      </w:r>
    </w:p>
    <w:p>
      <w:pPr>
        <w:pStyle w:val="7"/>
        <w:tabs>
          <w:tab w:val="right" w:leader="dot" w:pos="8958"/>
        </w:tabs>
        <w:jc w:val="center"/>
        <w:rPr>
          <w:rFonts w:hint="eastAsia" w:eastAsia="方正仿宋_GBK"/>
          <w:color w:val="auto"/>
          <w:sz w:val="32"/>
          <w:szCs w:val="32"/>
          <w:highlight w:val="none"/>
          <w:lang w:eastAsia="zh-CN"/>
        </w:rPr>
      </w:pPr>
      <w:r>
        <w:rPr>
          <w:rFonts w:hint="eastAsia" w:eastAsia="方正仿宋_GBK"/>
          <w:color w:val="auto"/>
          <w:sz w:val="32"/>
          <w:szCs w:val="32"/>
          <w:highlight w:val="none"/>
          <w:lang w:eastAsia="zh-CN"/>
        </w:rPr>
        <w:t>目</w:t>
      </w:r>
      <w:r>
        <w:rPr>
          <w:rFonts w:hint="eastAsia" w:eastAsia="方正仿宋_GBK"/>
          <w:color w:val="auto"/>
          <w:sz w:val="32"/>
          <w:szCs w:val="32"/>
          <w:highlight w:val="none"/>
          <w:lang w:val="en-US" w:eastAsia="zh-CN"/>
        </w:rPr>
        <w:t xml:space="preserve"> </w:t>
      </w:r>
      <w:r>
        <w:rPr>
          <w:rFonts w:hint="eastAsia" w:eastAsia="方正仿宋_GBK"/>
          <w:color w:val="auto"/>
          <w:sz w:val="32"/>
          <w:szCs w:val="32"/>
          <w:highlight w:val="none"/>
          <w:lang w:eastAsia="zh-CN"/>
        </w:rPr>
        <w:t>录</w:t>
      </w:r>
    </w:p>
    <w:p>
      <w:pPr>
        <w:pStyle w:val="6"/>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highlight w:val="none"/>
        </w:rPr>
        <w:fldChar w:fldCharType="begin"/>
      </w:r>
      <w:r>
        <w:rPr>
          <w:rFonts w:hint="eastAsia" w:ascii="方正仿宋_GBK" w:hAnsi="方正仿宋_GBK" w:eastAsia="方正仿宋_GBK" w:cs="方正仿宋_GBK"/>
          <w:color w:val="auto"/>
          <w:sz w:val="32"/>
          <w:szCs w:val="32"/>
          <w:highlight w:val="none"/>
        </w:rPr>
        <w:instrText xml:space="preserve">TOC \o "1-2" \h \u </w:instrText>
      </w:r>
      <w:r>
        <w:rPr>
          <w:rFonts w:hint="eastAsia" w:ascii="方正仿宋_GBK" w:hAnsi="方正仿宋_GBK" w:eastAsia="方正仿宋_GBK" w:cs="方正仿宋_GBK"/>
          <w:color w:val="auto"/>
          <w:sz w:val="32"/>
          <w:szCs w:val="32"/>
          <w:highlight w:val="none"/>
        </w:rPr>
        <w:fldChar w:fldCharType="separate"/>
      </w:r>
      <w:r>
        <w:rPr>
          <w:rFonts w:hint="eastAsia" w:ascii="方正仿宋_GBK" w:hAnsi="方正仿宋_GBK" w:eastAsia="方正仿宋_GBK" w:cs="方正仿宋_GBK"/>
          <w:color w:val="auto"/>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_Toc14813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rPr>
        <w:t>一、基本情况</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_Toc14813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color w:val="auto"/>
          <w:sz w:val="32"/>
          <w:szCs w:val="32"/>
          <w:highlight w:val="none"/>
        </w:rPr>
        <w:fldChar w:fldCharType="end"/>
      </w:r>
    </w:p>
    <w:p>
      <w:pPr>
        <w:pStyle w:val="7"/>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_Toc22177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部门基本情况</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_Toc22177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color w:val="auto"/>
          <w:sz w:val="32"/>
          <w:szCs w:val="32"/>
          <w:highlight w:val="none"/>
        </w:rPr>
        <w:fldChar w:fldCharType="end"/>
      </w:r>
    </w:p>
    <w:p>
      <w:pPr>
        <w:pStyle w:val="7"/>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_Toc26831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（二）预算及支出情况</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_Toc26831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color w:val="auto"/>
          <w:sz w:val="32"/>
          <w:szCs w:val="32"/>
          <w:highlight w:val="none"/>
        </w:rPr>
        <w:fldChar w:fldCharType="end"/>
      </w:r>
    </w:p>
    <w:p>
      <w:pPr>
        <w:pStyle w:val="6"/>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_Toc14787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二、绩效评价基本情况</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_Toc14787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color w:val="auto"/>
          <w:sz w:val="32"/>
          <w:szCs w:val="32"/>
          <w:highlight w:val="none"/>
        </w:rPr>
        <w:fldChar w:fldCharType="end"/>
      </w:r>
    </w:p>
    <w:p>
      <w:pPr>
        <w:pStyle w:val="7"/>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_Toc11678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（一）绩效评价目的</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_Toc11678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color w:val="auto"/>
          <w:sz w:val="32"/>
          <w:szCs w:val="32"/>
          <w:highlight w:val="none"/>
        </w:rPr>
        <w:fldChar w:fldCharType="end"/>
      </w:r>
    </w:p>
    <w:p>
      <w:pPr>
        <w:pStyle w:val="7"/>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_Toc26199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（二）绩效评价原则</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_Toc26199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color w:val="auto"/>
          <w:sz w:val="32"/>
          <w:szCs w:val="32"/>
          <w:highlight w:val="none"/>
        </w:rPr>
        <w:fldChar w:fldCharType="end"/>
      </w:r>
    </w:p>
    <w:p>
      <w:pPr>
        <w:pStyle w:val="7"/>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_Toc26109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lang w:eastAsia="zh-CN"/>
        </w:rPr>
        <w:t>（三）</w:t>
      </w:r>
      <w:r>
        <w:rPr>
          <w:rFonts w:hint="eastAsia" w:ascii="方正仿宋_GBK" w:hAnsi="方正仿宋_GBK" w:eastAsia="方正仿宋_GBK" w:cs="方正仿宋_GBK"/>
          <w:sz w:val="32"/>
          <w:szCs w:val="32"/>
          <w:highlight w:val="none"/>
        </w:rPr>
        <w:t>绩效评价工作过程</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_Toc26109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color w:val="auto"/>
          <w:sz w:val="32"/>
          <w:szCs w:val="32"/>
          <w:highlight w:val="none"/>
        </w:rPr>
        <w:fldChar w:fldCharType="end"/>
      </w:r>
    </w:p>
    <w:p>
      <w:pPr>
        <w:pStyle w:val="6"/>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_Toc30085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三、绩效评价情况及结论</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_Toc30085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8</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color w:val="auto"/>
          <w:sz w:val="32"/>
          <w:szCs w:val="32"/>
          <w:highlight w:val="none"/>
        </w:rPr>
        <w:fldChar w:fldCharType="end"/>
      </w:r>
    </w:p>
    <w:p>
      <w:pPr>
        <w:pStyle w:val="6"/>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_Toc14258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lang w:eastAsia="zh-CN"/>
        </w:rPr>
        <w:t>四、</w:t>
      </w:r>
      <w:r>
        <w:rPr>
          <w:rFonts w:hint="eastAsia" w:ascii="方正仿宋_GBK" w:hAnsi="方正仿宋_GBK" w:eastAsia="方正仿宋_GBK" w:cs="方正仿宋_GBK"/>
          <w:sz w:val="32"/>
          <w:szCs w:val="32"/>
          <w:highlight w:val="none"/>
        </w:rPr>
        <w:t>主要经验及做法</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_Toc14258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12</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color w:val="auto"/>
          <w:sz w:val="32"/>
          <w:szCs w:val="32"/>
          <w:highlight w:val="none"/>
        </w:rPr>
        <w:fldChar w:fldCharType="end"/>
      </w:r>
    </w:p>
    <w:p>
      <w:pPr>
        <w:pStyle w:val="6"/>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_Toc2639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rPr>
        <w:t>五、存在的问题和建议</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_Toc2639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color w:val="auto"/>
          <w:sz w:val="32"/>
          <w:szCs w:val="32"/>
          <w:highlight w:val="none"/>
        </w:rPr>
        <w:fldChar w:fldCharType="end"/>
      </w:r>
    </w:p>
    <w:p>
      <w:pPr>
        <w:pStyle w:val="7"/>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_Toc17596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存在的问题</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_Toc17596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color w:val="auto"/>
          <w:sz w:val="32"/>
          <w:szCs w:val="32"/>
          <w:highlight w:val="none"/>
        </w:rPr>
        <w:fldChar w:fldCharType="end"/>
      </w:r>
    </w:p>
    <w:p>
      <w:pPr>
        <w:pStyle w:val="7"/>
        <w:tabs>
          <w:tab w:val="right" w:leader="dot" w:pos="8958"/>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_Toc17815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建议</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PAGEREF _Toc17815 \h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13</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color w:val="auto"/>
          <w:sz w:val="32"/>
          <w:szCs w:val="32"/>
          <w:highlight w:val="none"/>
        </w:rPr>
        <w:fldChar w:fldCharType="end"/>
      </w:r>
    </w:p>
    <w:p>
      <w:pPr>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fldChar w:fldCharType="end"/>
      </w:r>
      <w:r>
        <w:rPr>
          <w:rFonts w:hint="eastAsia" w:ascii="方正仿宋_GBK" w:hAnsi="方正仿宋_GBK" w:eastAsia="方正仿宋_GBK" w:cs="方正仿宋_GBK"/>
          <w:color w:val="auto"/>
          <w:sz w:val="32"/>
          <w:szCs w:val="32"/>
          <w:highlight w:val="none"/>
        </w:rPr>
        <w:br w:type="page"/>
      </w:r>
    </w:p>
    <w:p>
      <w:pPr>
        <w:spacing w:line="560" w:lineRule="exact"/>
        <w:ind w:firstLine="640" w:firstLineChars="200"/>
        <w:rPr>
          <w:rFonts w:eastAsia="FZHei-B01"/>
          <w:sz w:val="32"/>
          <w:szCs w:val="32"/>
        </w:rPr>
      </w:pPr>
      <w:r>
        <w:rPr>
          <w:rFonts w:hint="eastAsia" w:ascii="方正仿宋_GBK" w:hAnsi="方正仿宋_GBK" w:eastAsia="方正仿宋_GBK" w:cs="方正仿宋_GBK"/>
          <w:color w:val="auto"/>
          <w:sz w:val="32"/>
          <w:szCs w:val="32"/>
          <w:highlight w:val="none"/>
        </w:rPr>
        <w:t>为加强财政资金的管理，提高财政资金的使用效益。根据《</w:t>
      </w:r>
      <w:r>
        <w:rPr>
          <w:rFonts w:hint="eastAsia" w:ascii="方正仿宋_GBK" w:hAnsi="方正仿宋_GBK" w:eastAsia="方正仿宋_GBK" w:cs="方正仿宋_GBK"/>
          <w:color w:val="auto"/>
          <w:sz w:val="32"/>
          <w:szCs w:val="32"/>
          <w:highlight w:val="none"/>
          <w:lang w:eastAsia="zh-CN"/>
        </w:rPr>
        <w:t>重庆市财政局关于加快推进预算绩效管理工作的通知</w:t>
      </w:r>
      <w:r>
        <w:rPr>
          <w:rFonts w:hint="eastAsia" w:ascii="方正仿宋_GBK" w:hAnsi="方正仿宋_GBK" w:eastAsia="方正仿宋_GBK" w:cs="方正仿宋_GBK"/>
          <w:color w:val="auto"/>
          <w:sz w:val="32"/>
          <w:szCs w:val="32"/>
          <w:highlight w:val="none"/>
        </w:rPr>
        <w:t>》（渝财绩〔202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〕1号）、</w:t>
      </w:r>
      <w:r>
        <w:rPr>
          <w:rFonts w:hint="eastAsia" w:ascii="方正仿宋_GBK" w:hAnsi="方正仿宋_GBK" w:eastAsia="方正仿宋_GBK" w:cs="方正仿宋_GBK"/>
          <w:sz w:val="32"/>
          <w:szCs w:val="32"/>
        </w:rPr>
        <w:t>《重庆市璧山区财政局关于开展2021年度预算绩效自评工作的通知》（璧财绩〔2022〕2号）</w:t>
      </w:r>
      <w:r>
        <w:rPr>
          <w:rFonts w:hint="eastAsia" w:ascii="方正仿宋_GBK" w:hAnsi="方正仿宋_GBK" w:eastAsia="方正仿宋_GBK" w:cs="方正仿宋_GBK"/>
          <w:color w:val="auto"/>
          <w:sz w:val="32"/>
          <w:szCs w:val="32"/>
          <w:highlight w:val="none"/>
          <w:lang w:val="en-US" w:eastAsia="zh-CN"/>
        </w:rPr>
        <w:t>文件要求</w:t>
      </w:r>
      <w:r>
        <w:rPr>
          <w:rFonts w:hint="eastAsia" w:ascii="方正仿宋_GBK" w:hAnsi="方正仿宋_GBK" w:eastAsia="方正仿宋_GBK" w:cs="方正仿宋_GBK"/>
          <w:color w:val="auto"/>
          <w:sz w:val="32"/>
          <w:szCs w:val="32"/>
          <w:highlight w:val="none"/>
        </w:rPr>
        <w:t>，形成202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年</w:t>
      </w:r>
      <w:r>
        <w:rPr>
          <w:rFonts w:hint="eastAsia" w:ascii="方正仿宋_GBK" w:hAnsi="方正仿宋_GBK" w:eastAsia="方正仿宋_GBK" w:cs="方正仿宋_GBK"/>
          <w:color w:val="auto"/>
          <w:sz w:val="32"/>
          <w:szCs w:val="32"/>
          <w:highlight w:val="none"/>
          <w:lang w:eastAsia="zh-CN"/>
        </w:rPr>
        <w:t>度</w:t>
      </w:r>
      <w:r>
        <w:rPr>
          <w:rFonts w:hint="eastAsia" w:ascii="方正仿宋_GBK" w:hAnsi="方正仿宋_GBK" w:eastAsia="方正仿宋_GBK" w:cs="方正仿宋_GBK"/>
          <w:color w:val="auto"/>
          <w:sz w:val="32"/>
          <w:szCs w:val="32"/>
          <w:highlight w:val="none"/>
          <w:lang w:val="en-US" w:eastAsia="zh-CN"/>
        </w:rPr>
        <w:t>部门</w:t>
      </w:r>
      <w:r>
        <w:rPr>
          <w:rFonts w:hint="eastAsia" w:ascii="方正仿宋_GBK" w:hAnsi="方正仿宋_GBK" w:eastAsia="方正仿宋_GBK" w:cs="方正仿宋_GBK"/>
          <w:color w:val="auto"/>
          <w:sz w:val="32"/>
          <w:szCs w:val="32"/>
          <w:highlight w:val="none"/>
        </w:rPr>
        <w:t>整体支出绩效自评报告如下：</w:t>
      </w:r>
    </w:p>
    <w:p>
      <w:pPr>
        <w:spacing w:line="596" w:lineRule="exact"/>
        <w:ind w:firstLine="640" w:firstLineChars="200"/>
        <w:outlineLvl w:val="0"/>
        <w:rPr>
          <w:rFonts w:eastAsia="FZHei-B01"/>
          <w:sz w:val="32"/>
          <w:szCs w:val="32"/>
        </w:rPr>
      </w:pPr>
      <w:bookmarkStart w:id="0" w:name="_Toc14813"/>
      <w:bookmarkStart w:id="1" w:name="_Toc24362"/>
      <w:bookmarkStart w:id="2" w:name="_Toc14937"/>
      <w:r>
        <w:rPr>
          <w:rFonts w:eastAsia="FZHei-B01"/>
          <w:sz w:val="32"/>
          <w:szCs w:val="32"/>
        </w:rPr>
        <w:t>一、基本</w:t>
      </w:r>
      <w:r>
        <w:rPr>
          <w:rFonts w:hint="eastAsia" w:eastAsia="FZHei-B01"/>
          <w:sz w:val="32"/>
          <w:szCs w:val="32"/>
        </w:rPr>
        <w:t>情况</w:t>
      </w:r>
      <w:bookmarkEnd w:id="0"/>
      <w:bookmarkEnd w:id="1"/>
      <w:bookmarkEnd w:id="2"/>
    </w:p>
    <w:p>
      <w:pPr>
        <w:spacing w:line="596" w:lineRule="exact"/>
        <w:ind w:firstLine="640" w:firstLineChars="200"/>
        <w:outlineLvl w:val="1"/>
        <w:rPr>
          <w:rFonts w:hint="eastAsia" w:eastAsia="方正仿宋_GBK"/>
          <w:sz w:val="32"/>
          <w:szCs w:val="32"/>
          <w:lang w:eastAsia="zh-CN"/>
        </w:rPr>
      </w:pPr>
      <w:bookmarkStart w:id="3" w:name="_Toc11498"/>
      <w:bookmarkStart w:id="4" w:name="_Toc22177"/>
      <w:r>
        <w:rPr>
          <w:rFonts w:eastAsia="方正仿宋_GBK"/>
          <w:sz w:val="32"/>
          <w:szCs w:val="32"/>
        </w:rPr>
        <w:t>（一）</w:t>
      </w:r>
      <w:r>
        <w:rPr>
          <w:rFonts w:hint="eastAsia" w:eastAsia="方正仿宋_GBK"/>
          <w:sz w:val="32"/>
          <w:szCs w:val="32"/>
          <w:lang w:eastAsia="zh-CN"/>
        </w:rPr>
        <w:t>部门基本情况</w:t>
      </w:r>
      <w:bookmarkEnd w:id="3"/>
      <w:bookmarkEnd w:id="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部门职级</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重庆市璧山区</w:t>
      </w:r>
      <w:r>
        <w:rPr>
          <w:rFonts w:hint="eastAsia" w:ascii="方正仿宋_GBK" w:hAnsi="方正仿宋_GBK" w:eastAsia="方正仿宋_GBK" w:cs="方正仿宋_GBK"/>
          <w:color w:val="auto"/>
          <w:sz w:val="32"/>
          <w:szCs w:val="32"/>
          <w:highlight w:val="none"/>
          <w:lang w:eastAsia="zh-CN"/>
        </w:rPr>
        <w:t>融媒体中心</w:t>
      </w:r>
      <w:r>
        <w:rPr>
          <w:rFonts w:hint="eastAsia" w:ascii="方正仿宋_GBK" w:hAnsi="方正仿宋_GBK" w:eastAsia="方正仿宋_GBK" w:cs="方正仿宋_GBK"/>
          <w:color w:val="auto"/>
          <w:sz w:val="32"/>
          <w:szCs w:val="32"/>
          <w:highlight w:val="none"/>
        </w:rPr>
        <w:t>是</w:t>
      </w:r>
      <w:r>
        <w:rPr>
          <w:rFonts w:hint="eastAsia" w:ascii="方正仿宋_GBK" w:hAnsi="方正仿宋_GBK" w:eastAsia="方正仿宋_GBK" w:cs="方正仿宋_GBK"/>
          <w:color w:val="auto"/>
          <w:sz w:val="32"/>
          <w:szCs w:val="32"/>
          <w:highlight w:val="none"/>
          <w:lang w:eastAsia="zh-CN"/>
        </w:rPr>
        <w:t>区委直属财政全额补助公益二类事业单位</w:t>
      </w:r>
      <w:r>
        <w:rPr>
          <w:rFonts w:hint="eastAsia" w:ascii="方正仿宋_GBK" w:hAnsi="方正仿宋_GBK" w:eastAsia="方正仿宋_GBK" w:cs="方正仿宋_GBK"/>
          <w:color w:val="auto"/>
          <w:sz w:val="32"/>
          <w:szCs w:val="32"/>
          <w:highlight w:val="none"/>
        </w:rPr>
        <w:t>，为正处级。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内设机构及编制</w:t>
      </w:r>
    </w:p>
    <w:p>
      <w:pPr>
        <w:spacing w:line="560" w:lineRule="exact"/>
        <w:ind w:firstLine="640" w:firstLineChars="200"/>
        <w:rPr>
          <w:rFonts w:hint="default" w:ascii="方正仿宋_GBK" w:hAnsi="方正仿宋_GBK" w:eastAsia="方正仿宋_GBK" w:cs="方正仿宋_GBK"/>
          <w:color w:val="FF0000"/>
          <w:sz w:val="32"/>
          <w:szCs w:val="32"/>
          <w:highlight w:val="none"/>
          <w:lang w:val="en-US" w:eastAsia="zh-CN"/>
        </w:rPr>
      </w:pPr>
      <w:r>
        <w:rPr>
          <w:rFonts w:hint="eastAsia" w:ascii="方正仿宋_GBK" w:hAnsi="方正仿宋_GBK" w:eastAsia="方正仿宋_GBK" w:cs="方正仿宋_GBK"/>
          <w:color w:val="auto"/>
          <w:sz w:val="32"/>
          <w:szCs w:val="32"/>
          <w:highlight w:val="none"/>
        </w:rPr>
        <w:t>重庆市璧山区</w:t>
      </w:r>
      <w:r>
        <w:rPr>
          <w:rFonts w:hint="eastAsia" w:ascii="方正仿宋_GBK" w:hAnsi="方正仿宋_GBK" w:eastAsia="方正仿宋_GBK" w:cs="方正仿宋_GBK"/>
          <w:color w:val="auto"/>
          <w:sz w:val="32"/>
          <w:szCs w:val="32"/>
          <w:highlight w:val="none"/>
          <w:lang w:eastAsia="zh-CN"/>
        </w:rPr>
        <w:t>融媒体中心</w:t>
      </w:r>
      <w:r>
        <w:rPr>
          <w:rFonts w:hint="eastAsia" w:ascii="方正仿宋_GBK" w:hAnsi="方正仿宋_GBK" w:eastAsia="方正仿宋_GBK" w:cs="方正仿宋_GBK"/>
          <w:color w:val="auto"/>
          <w:sz w:val="32"/>
          <w:szCs w:val="32"/>
          <w:highlight w:val="none"/>
        </w:rPr>
        <w:t>设下列内设机构：</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办公室。负责中心行政事务的统筹协调、综合管理；负责组织、人事，制定内部规章管理制度；负责党建、意识形态、纪检监察、督察督办、关心下一代、离退休老龄、法治、扶贫等相关工作；负责文件收发、行文、会务、文秘、机要保密、文件档案管理工作；负责采购平台管理；物资采购、招投标、公务接待、公车、物业、安保等后勤管理工作；负责领导交办的其他工作。</w:t>
      </w:r>
    </w:p>
    <w:p>
      <w:pPr>
        <w:spacing w:line="560" w:lineRule="exact"/>
        <w:ind w:firstLine="640" w:firstLineChars="200"/>
        <w:rPr>
          <w:rFonts w:hint="eastAsia" w:ascii="方正仿宋_GBK" w:hAnsi="方正仿宋_GBK" w:eastAsia="方正仿宋_GBK" w:cs="方正仿宋_GBK"/>
          <w:color w:val="auto"/>
          <w:sz w:val="32"/>
          <w:szCs w:val="32"/>
          <w:highlight w:val="yellow"/>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）总编室</w:t>
      </w:r>
      <w:r>
        <w:rPr>
          <w:rFonts w:hint="eastAsia" w:ascii="方正仿宋_GBK" w:hAnsi="方正仿宋_GBK" w:eastAsia="方正仿宋_GBK" w:cs="方正仿宋_GBK"/>
          <w:color w:val="auto"/>
          <w:sz w:val="32"/>
          <w:szCs w:val="32"/>
          <w:highlight w:val="none"/>
        </w:rPr>
        <w:t>。负责定期组织召开编委会、编前会，统筹做好各媒体平台选题策划会；负责影视剧及重要节目的引进、购买、审看和广告内容的审查工作；负责频道节目编排，作品质量评定、推优、评优、创优工作；负责统筹标准化建设工作；负责媒体平台考核打分、报评、职工绩效考核、职工业务技能培训工作；负责领导交办的其他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）新闻部</w:t>
      </w:r>
      <w:r>
        <w:rPr>
          <w:rFonts w:hint="eastAsia" w:ascii="方正仿宋_GBK" w:hAnsi="方正仿宋_GBK" w:eastAsia="方正仿宋_GBK" w:cs="方正仿宋_GBK"/>
          <w:color w:val="auto"/>
          <w:sz w:val="32"/>
          <w:szCs w:val="32"/>
          <w:highlight w:val="none"/>
        </w:rPr>
        <w:t>。负责制定中心年度、季度、每月、每周宣传计划及报道重点；负责广播电视、报纸、新媒部平台本土新闻的策划、采访报道以及电视节目的后期制作工作；负责中心记者的管理、调度；负责内、外宣工作以及与中央市级媒体的新闻宣传通联、采访对接等工作；负责领导交办的其他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eastAsia="zh-CN"/>
        </w:rPr>
        <w:t>）编辑部</w:t>
      </w:r>
      <w:r>
        <w:rPr>
          <w:rFonts w:hint="eastAsia" w:ascii="方正仿宋_GBK" w:hAnsi="方正仿宋_GBK" w:eastAsia="方正仿宋_GBK" w:cs="方正仿宋_GBK"/>
          <w:color w:val="auto"/>
          <w:sz w:val="32"/>
          <w:szCs w:val="32"/>
          <w:highlight w:val="none"/>
        </w:rPr>
        <w:t>。负责报纸、广播电视新闻的文稿统筹编辑校对工作；负责领导交办的其他工作。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）新媒体部</w:t>
      </w:r>
      <w:r>
        <w:rPr>
          <w:rFonts w:hint="eastAsia" w:ascii="方正仿宋_GBK" w:hAnsi="方正仿宋_GBK" w:eastAsia="方正仿宋_GBK" w:cs="方正仿宋_GBK"/>
          <w:color w:val="auto"/>
          <w:sz w:val="32"/>
          <w:szCs w:val="32"/>
          <w:highlight w:val="none"/>
        </w:rPr>
        <w:t>。负责手机客户端、网站、微信公众号、手机报、手机台、微博、头条号、抖音号等新媒体平台文字、图片、视频等内容的编辑、制作、发布、管理工作；负责全媒体直播统筹工作；负责领导交办的其他工作。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lang w:eastAsia="zh-CN"/>
        </w:rPr>
        <w:t>）美编部</w:t>
      </w:r>
      <w:r>
        <w:rPr>
          <w:rFonts w:hint="eastAsia" w:ascii="方正仿宋_GBK" w:hAnsi="方正仿宋_GBK" w:eastAsia="方正仿宋_GBK" w:cs="方正仿宋_GBK"/>
          <w:color w:val="auto"/>
          <w:sz w:val="32"/>
          <w:szCs w:val="32"/>
          <w:highlight w:val="none"/>
        </w:rPr>
        <w:t>。负责电视广播、报纸、新媒体节目和栏目、大屏背景的包装美化、报纸版面制作传输、印刷投递，节目改版、报纸改版等工作</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负责视频影像、报纸文字、照片、新媒体平台资料的收集、整理、入库；负责做好媒体资产编目工作，方便快捷调用；负责领导交办的其他工作。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）播音主持部</w:t>
      </w:r>
      <w:r>
        <w:rPr>
          <w:rFonts w:hint="eastAsia" w:ascii="方正仿宋_GBK" w:hAnsi="方正仿宋_GBK" w:eastAsia="方正仿宋_GBK" w:cs="方正仿宋_GBK"/>
          <w:color w:val="auto"/>
          <w:sz w:val="32"/>
          <w:szCs w:val="32"/>
          <w:highlight w:val="none"/>
        </w:rPr>
        <w:t>。负责全媒体平台节目的出像、配音、主持工作；负责广播节目的策划、采编及广播外宣工作；负责区内大型文艺节目的主持工作；负责广播节目编排工作；负责领导交办的其他工作。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lang w:eastAsia="zh-CN"/>
        </w:rPr>
        <w:t>）专题节目部</w:t>
      </w:r>
      <w:r>
        <w:rPr>
          <w:rFonts w:hint="eastAsia" w:ascii="方正仿宋_GBK" w:hAnsi="方正仿宋_GBK" w:eastAsia="方正仿宋_GBK" w:cs="方正仿宋_GBK"/>
          <w:color w:val="auto"/>
          <w:sz w:val="32"/>
          <w:szCs w:val="32"/>
          <w:highlight w:val="none"/>
        </w:rPr>
        <w:t>。负责电视专题栏目的制作；负责政务专题片、纪录片、微电影、微视频、公益广告等非新闻类视频节目的生产创作，负责领导交办的其他工作。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9</w:t>
      </w:r>
      <w:r>
        <w:rPr>
          <w:rFonts w:hint="eastAsia" w:ascii="方正仿宋_GBK" w:hAnsi="方正仿宋_GBK" w:eastAsia="方正仿宋_GBK" w:cs="方正仿宋_GBK"/>
          <w:color w:val="auto"/>
          <w:sz w:val="32"/>
          <w:szCs w:val="32"/>
          <w:highlight w:val="none"/>
          <w:lang w:eastAsia="zh-CN"/>
        </w:rPr>
        <w:t>）技术部</w:t>
      </w:r>
      <w:r>
        <w:rPr>
          <w:rFonts w:hint="eastAsia" w:ascii="方正仿宋_GBK" w:hAnsi="方正仿宋_GBK" w:eastAsia="方正仿宋_GBK" w:cs="方正仿宋_GBK"/>
          <w:color w:val="auto"/>
          <w:sz w:val="32"/>
          <w:szCs w:val="32"/>
          <w:highlight w:val="none"/>
        </w:rPr>
        <w:t>。负责中心所有技术设备的管理、维护保养工作；负责媒体技术规划及新技术推广、应用；负责报纸、广播电视、新媒体等技术系统维护工作；负责大型活动设备前期搭建工作；负责《璧山新闻》类栏目出像录制工作；负责制作播出媒资网站、新媒体等系统的等级保护；负责网络安全工作；负责全媒体平台的监听监看和安全播出工作；负责科学编制安播应急预案及其相关规章制度；负责采访设备的管理收发工作；负责领导交办的其他工作。负责领导交办的其他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lang w:eastAsia="zh-CN"/>
        </w:rPr>
        <w:t>）经宣部</w:t>
      </w:r>
      <w:r>
        <w:rPr>
          <w:rFonts w:hint="eastAsia" w:ascii="方正仿宋_GBK" w:hAnsi="方正仿宋_GBK" w:eastAsia="方正仿宋_GBK" w:cs="方正仿宋_GBK"/>
          <w:color w:val="auto"/>
          <w:sz w:val="32"/>
          <w:szCs w:val="32"/>
          <w:highlight w:val="none"/>
        </w:rPr>
        <w:t>。负责公益性广告、公告、通告的制作工作；负责中心经济宣传工作、文化产业经营工作；负责领导交办的其他工作。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11</w:t>
      </w:r>
      <w:r>
        <w:rPr>
          <w:rFonts w:hint="eastAsia" w:ascii="方正仿宋_GBK" w:hAnsi="方正仿宋_GBK" w:eastAsia="方正仿宋_GBK" w:cs="方正仿宋_GBK"/>
          <w:color w:val="auto"/>
          <w:sz w:val="32"/>
          <w:szCs w:val="32"/>
          <w:highlight w:val="none"/>
          <w:lang w:eastAsia="zh-CN"/>
        </w:rPr>
        <w:t>）传媒创意部</w:t>
      </w:r>
      <w:r>
        <w:rPr>
          <w:rFonts w:hint="eastAsia" w:ascii="方正仿宋_GBK" w:hAnsi="方正仿宋_GBK" w:eastAsia="方正仿宋_GBK" w:cs="方正仿宋_GBK"/>
          <w:color w:val="auto"/>
          <w:sz w:val="32"/>
          <w:szCs w:val="32"/>
          <w:highlight w:val="none"/>
        </w:rPr>
        <w:t>。负责各媒体平台的统筹推广；负责大型宣传报道、大型文化活动的策划工作；负责全媒体运营管理，承接媒体经营业务；负责公益性广告、公告、通告的制作工作；负责中心经济宣传工作、文化产业经营工作；负责领导交办的其他工作。</w:t>
      </w:r>
    </w:p>
    <w:p>
      <w:pPr>
        <w:spacing w:line="560" w:lineRule="exact"/>
        <w:ind w:firstLine="640" w:firstLineChars="200"/>
        <w:rPr>
          <w:rFonts w:hint="eastAsia"/>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12</w:t>
      </w:r>
      <w:r>
        <w:rPr>
          <w:rFonts w:hint="eastAsia" w:ascii="方正仿宋_GBK" w:hAnsi="方正仿宋_GBK" w:eastAsia="方正仿宋_GBK" w:cs="方正仿宋_GBK"/>
          <w:color w:val="auto"/>
          <w:sz w:val="32"/>
          <w:szCs w:val="32"/>
          <w:highlight w:val="none"/>
          <w:lang w:eastAsia="zh-CN"/>
        </w:rPr>
        <w:t>）财务部</w:t>
      </w:r>
      <w:r>
        <w:rPr>
          <w:rFonts w:hint="eastAsia" w:ascii="方正仿宋_GBK" w:hAnsi="方正仿宋_GBK" w:eastAsia="方正仿宋_GBK" w:cs="方正仿宋_GBK"/>
          <w:color w:val="auto"/>
          <w:sz w:val="32"/>
          <w:szCs w:val="32"/>
          <w:highlight w:val="none"/>
        </w:rPr>
        <w:t>。负责中心财务、预决算、固定资产管理、资金统筹调度使用、负责配合上级审计、财政税收等部门检查督查工作；负责媒体经营事项中的财务收支监管及合同管理；负责内控制度建设工作；负责医保、社保、税收、住房公积金缴纳等干部职工工资福利及通讯员稿费发放工作；负责做好债权、债务的清理结算等工作；负责领导交办的其他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2021年末编制部门核定璧山区融媒体中心在职人员编制数为46人，其中非参公事业人员46人；年末实有在职人员46人。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outlineLvl w:val="2"/>
        <w:rPr>
          <w:rFonts w:hint="default"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 xml:space="preserve">3、职能职责 </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）贯彻落实党的新闻宣传方针政策，宣传党的理论、路线和各项方针政策，把握新闻宣传基调，坚持正面宣传、团结鼓劲，为全区经济社会发展提供舆论支持。</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）坚持正确舆论导向，引导社会热点，加强和改进舆论监督，统筹组织重大宣传报道，开展对外宣传。</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）组织广播电视和网络视听节目创作生产，制作人民群众喜闻乐见的精品节目，负责内容生产、审核、分发，确保安全播出。</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eastAsia="zh-CN"/>
        </w:rPr>
        <w:t>）编发连续性内部资料《璧山报》《璧山手机报》《璧山报数字报》。</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）综合运用报纸、广播、电视、网站、微博、微信、手机报、手机台、电子阅报栏、户外大屏等多形态终端，打造自主可控、影响力强的新媒体传播平台，推动媒体融合发展。</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lang w:eastAsia="zh-CN"/>
        </w:rPr>
        <w:t>）负责璧山网和“璧山之声”官方微博，“和美璧山”官方微信、政务APP等官方新媒体建设、维护、运行。</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）从事大型活动策划实施，广告、专题宣传片拍摄制作，艺术培训等文化创意产业，“媒体+N”信息技术产业。</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lang w:eastAsia="zh-CN"/>
        </w:rPr>
        <w:t>）集聚用户、增强互动、扩大影响，发挥党委政府与人民群众沟通交流的桥梁作用。</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9</w:t>
      </w:r>
      <w:r>
        <w:rPr>
          <w:rFonts w:hint="eastAsia" w:ascii="方正仿宋_GBK" w:hAnsi="方正仿宋_GBK" w:eastAsia="方正仿宋_GBK" w:cs="方正仿宋_GBK"/>
          <w:color w:val="auto"/>
          <w:sz w:val="32"/>
          <w:szCs w:val="32"/>
          <w:highlight w:val="none"/>
          <w:lang w:eastAsia="zh-CN"/>
        </w:rPr>
        <w:t>）开辟线上线下社区群众交流通道。搭建群众之间的联络纽带。为群众提供文化教育、旅游出行、健康医疗、生活缴费、购买商品等社会信息服务。</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（10）完成区委、区政府交办的其他任务。</w:t>
      </w:r>
    </w:p>
    <w:p>
      <w:pPr>
        <w:spacing w:line="596" w:lineRule="exact"/>
        <w:ind w:firstLine="640" w:firstLineChars="200"/>
        <w:outlineLvl w:val="1"/>
        <w:rPr>
          <w:rFonts w:eastAsia="方正仿宋_GBK"/>
          <w:color w:val="auto"/>
          <w:sz w:val="32"/>
          <w:szCs w:val="32"/>
          <w:highlight w:val="none"/>
        </w:rPr>
      </w:pPr>
      <w:bookmarkStart w:id="5" w:name="_Toc23518"/>
      <w:bookmarkStart w:id="6" w:name="_Toc26831"/>
      <w:r>
        <w:rPr>
          <w:rFonts w:eastAsia="方正仿宋_GBK"/>
          <w:color w:val="auto"/>
          <w:sz w:val="32"/>
          <w:szCs w:val="32"/>
          <w:highlight w:val="none"/>
        </w:rPr>
        <w:t>（二）</w:t>
      </w:r>
      <w:r>
        <w:rPr>
          <w:rFonts w:hint="eastAsia" w:eastAsia="方正仿宋_GBK"/>
          <w:color w:val="auto"/>
          <w:sz w:val="32"/>
          <w:szCs w:val="32"/>
          <w:highlight w:val="none"/>
        </w:rPr>
        <w:t>预算及支出情况</w:t>
      </w:r>
      <w:bookmarkEnd w:id="5"/>
      <w:bookmarkEnd w:id="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财政资金整体支出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202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年财政资金年初支出预算为</w:t>
      </w:r>
      <w:r>
        <w:rPr>
          <w:rFonts w:hint="eastAsia" w:ascii="方正仿宋_GBK" w:hAnsi="方正仿宋_GBK" w:eastAsia="方正仿宋_GBK" w:cs="方正仿宋_GBK"/>
          <w:color w:val="auto"/>
          <w:sz w:val="32"/>
          <w:szCs w:val="32"/>
          <w:highlight w:val="none"/>
          <w:lang w:val="en-US" w:eastAsia="zh-CN"/>
        </w:rPr>
        <w:t>2443.329124</w:t>
      </w:r>
      <w:r>
        <w:rPr>
          <w:rFonts w:hint="eastAsia" w:ascii="方正仿宋_GBK" w:hAnsi="方正仿宋_GBK" w:eastAsia="方正仿宋_GBK" w:cs="方正仿宋_GBK"/>
          <w:color w:val="auto"/>
          <w:sz w:val="32"/>
          <w:szCs w:val="32"/>
          <w:highlight w:val="none"/>
        </w:rPr>
        <w:t>万元，年中调整预算为</w:t>
      </w:r>
      <w:r>
        <w:rPr>
          <w:rFonts w:hint="eastAsia" w:ascii="方正仿宋_GBK" w:hAnsi="方正仿宋_GBK" w:eastAsia="方正仿宋_GBK" w:cs="方正仿宋_GBK"/>
          <w:color w:val="auto"/>
          <w:sz w:val="32"/>
          <w:szCs w:val="32"/>
          <w:highlight w:val="none"/>
          <w:lang w:val="en-US" w:eastAsia="zh-CN"/>
        </w:rPr>
        <w:t>3210.609138</w:t>
      </w:r>
      <w:r>
        <w:rPr>
          <w:rFonts w:hint="eastAsia" w:ascii="方正仿宋_GBK" w:hAnsi="方正仿宋_GBK" w:eastAsia="方正仿宋_GBK" w:cs="方正仿宋_GBK"/>
          <w:color w:val="auto"/>
          <w:sz w:val="32"/>
          <w:szCs w:val="32"/>
          <w:highlight w:val="none"/>
        </w:rPr>
        <w:t>万元，</w:t>
      </w:r>
      <w:r>
        <w:rPr>
          <w:rFonts w:hint="eastAsia" w:ascii="方正仿宋_GBK" w:hAnsi="方正仿宋_GBK" w:eastAsia="方正仿宋_GBK" w:cs="方正仿宋_GBK"/>
          <w:color w:val="auto"/>
          <w:kern w:val="0"/>
          <w:sz w:val="32"/>
          <w:szCs w:val="32"/>
          <w:highlight w:val="none"/>
          <w:shd w:val="clear" w:color="auto" w:fill="FFFFFF"/>
          <w:lang w:val="en-US" w:eastAsia="zh-CN"/>
        </w:rPr>
        <w:t>上年结转0万元</w:t>
      </w:r>
      <w:r>
        <w:rPr>
          <w:rFonts w:hint="eastAsia" w:ascii="方正仿宋_GBK" w:hAnsi="方正仿宋_GBK" w:eastAsia="方正仿宋_GBK" w:cs="方正仿宋_GBK"/>
          <w:color w:val="auto"/>
          <w:sz w:val="32"/>
          <w:szCs w:val="32"/>
          <w:highlight w:val="none"/>
        </w:rPr>
        <w:t>，调整后支出预算为</w:t>
      </w:r>
      <w:r>
        <w:rPr>
          <w:rFonts w:hint="eastAsia" w:ascii="方正仿宋_GBK" w:hAnsi="方正仿宋_GBK" w:eastAsia="方正仿宋_GBK" w:cs="方正仿宋_GBK"/>
          <w:color w:val="auto"/>
          <w:sz w:val="32"/>
          <w:szCs w:val="32"/>
          <w:highlight w:val="none"/>
          <w:lang w:val="en-US" w:eastAsia="zh-CN"/>
        </w:rPr>
        <w:t>3210.609138</w:t>
      </w:r>
      <w:r>
        <w:rPr>
          <w:rFonts w:hint="eastAsia" w:ascii="方正仿宋_GBK" w:hAnsi="方正仿宋_GBK" w:eastAsia="方正仿宋_GBK" w:cs="方正仿宋_GBK"/>
          <w:color w:val="auto"/>
          <w:sz w:val="32"/>
          <w:szCs w:val="32"/>
          <w:highlight w:val="none"/>
        </w:rPr>
        <w:t>万元；年末支出决算为</w:t>
      </w:r>
      <w:r>
        <w:rPr>
          <w:rFonts w:hint="eastAsia" w:ascii="方正仿宋_GBK" w:hAnsi="方正仿宋_GBK" w:eastAsia="方正仿宋_GBK" w:cs="方正仿宋_GBK"/>
          <w:color w:val="auto"/>
          <w:sz w:val="32"/>
          <w:szCs w:val="32"/>
          <w:highlight w:val="none"/>
          <w:lang w:val="en-US" w:eastAsia="zh-CN"/>
        </w:rPr>
        <w:t>3210.609138</w:t>
      </w:r>
      <w:r>
        <w:rPr>
          <w:rFonts w:hint="eastAsia" w:ascii="方正仿宋_GBK" w:hAnsi="方正仿宋_GBK" w:eastAsia="方正仿宋_GBK" w:cs="方正仿宋_GBK"/>
          <w:color w:val="auto"/>
          <w:sz w:val="32"/>
          <w:szCs w:val="32"/>
          <w:highlight w:val="none"/>
        </w:rPr>
        <w:t>万元</w:t>
      </w:r>
      <w:r>
        <w:rPr>
          <w:rFonts w:hint="eastAsia" w:ascii="方正仿宋_GBK" w:hAnsi="方正仿宋_GBK" w:eastAsia="方正仿宋_GBK" w:cs="方正仿宋_GBK"/>
          <w:color w:val="auto"/>
          <w:sz w:val="32"/>
          <w:szCs w:val="32"/>
          <w:highlight w:val="none"/>
          <w:lang w:eastAsia="zh-CN"/>
        </w:rPr>
        <w:t>，年末结转和结余为</w:t>
      </w:r>
      <w:r>
        <w:rPr>
          <w:rFonts w:hint="eastAsia" w:ascii="方正仿宋_GBK" w:hAnsi="方正仿宋_GBK" w:eastAsia="方正仿宋_GBK" w:cs="方正仿宋_GBK"/>
          <w:color w:val="auto"/>
          <w:sz w:val="32"/>
          <w:szCs w:val="32"/>
          <w:highlight w:val="none"/>
          <w:lang w:val="en-US" w:eastAsia="zh-CN"/>
        </w:rPr>
        <w:t>0</w:t>
      </w:r>
      <w:r>
        <w:rPr>
          <w:rFonts w:hint="eastAsia" w:ascii="方正仿宋_GBK" w:hAnsi="方正仿宋_GBK" w:eastAsia="方正仿宋_GBK" w:cs="方正仿宋_GBK"/>
          <w:color w:val="auto"/>
          <w:sz w:val="32"/>
          <w:szCs w:val="32"/>
          <w:highlight w:val="none"/>
          <w:lang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部门“三公”经费支出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宋体"/>
          <w:color w:val="auto"/>
          <w:highlight w:val="none"/>
          <w:lang w:eastAsia="zh-CN"/>
        </w:rPr>
      </w:pPr>
      <w:r>
        <w:rPr>
          <w:rFonts w:hint="eastAsia" w:ascii="方正仿宋_GBK" w:hAnsi="方正仿宋_GBK" w:eastAsia="方正仿宋_GBK" w:cs="方正仿宋_GBK"/>
          <w:color w:val="auto"/>
          <w:sz w:val="32"/>
          <w:szCs w:val="32"/>
          <w:highlight w:val="none"/>
          <w:lang w:val="en-US" w:eastAsia="zh-CN"/>
        </w:rPr>
        <w:t>2021年</w:t>
      </w:r>
      <w:r>
        <w:rPr>
          <w:rFonts w:hint="eastAsia" w:ascii="方正仿宋_GBK" w:hAnsi="方正仿宋_GBK" w:eastAsia="方正仿宋_GBK" w:cs="方正仿宋_GBK"/>
          <w:color w:val="auto"/>
          <w:sz w:val="32"/>
          <w:szCs w:val="32"/>
          <w:highlight w:val="none"/>
        </w:rPr>
        <w:t>“三公”经费支出总额</w:t>
      </w:r>
      <w:r>
        <w:rPr>
          <w:rFonts w:hint="eastAsia" w:ascii="方正仿宋_GBK" w:hAnsi="方正仿宋_GBK" w:eastAsia="方正仿宋_GBK" w:cs="方正仿宋_GBK"/>
          <w:color w:val="auto"/>
          <w:sz w:val="32"/>
          <w:szCs w:val="32"/>
          <w:highlight w:val="none"/>
          <w:lang w:val="en-US" w:eastAsia="zh-CN"/>
        </w:rPr>
        <w:t>27.568609</w:t>
      </w:r>
      <w:r>
        <w:rPr>
          <w:rFonts w:hint="eastAsia" w:ascii="方正仿宋_GBK" w:hAnsi="方正仿宋_GBK" w:eastAsia="方正仿宋_GBK" w:cs="方正仿宋_GBK"/>
          <w:color w:val="auto"/>
          <w:sz w:val="32"/>
          <w:szCs w:val="32"/>
          <w:highlight w:val="none"/>
        </w:rPr>
        <w:t>万元，其中：公务车运行维护费</w:t>
      </w:r>
      <w:r>
        <w:rPr>
          <w:rFonts w:hint="eastAsia" w:ascii="方正仿宋_GBK" w:hAnsi="方正仿宋_GBK" w:eastAsia="方正仿宋_GBK" w:cs="方正仿宋_GBK"/>
          <w:color w:val="auto"/>
          <w:sz w:val="32"/>
          <w:szCs w:val="32"/>
          <w:highlight w:val="none"/>
          <w:lang w:val="en-US" w:eastAsia="zh-CN"/>
        </w:rPr>
        <w:t>12.927429</w:t>
      </w:r>
      <w:r>
        <w:rPr>
          <w:rFonts w:hint="eastAsia" w:ascii="方正仿宋_GBK" w:hAnsi="方正仿宋_GBK" w:eastAsia="方正仿宋_GBK" w:cs="方正仿宋_GBK"/>
          <w:color w:val="auto"/>
          <w:sz w:val="32"/>
          <w:szCs w:val="32"/>
          <w:highlight w:val="none"/>
        </w:rPr>
        <w:t>万元、国内公务接待</w:t>
      </w:r>
      <w:r>
        <w:rPr>
          <w:rFonts w:hint="eastAsia" w:ascii="方正仿宋_GBK" w:hAnsi="方正仿宋_GBK" w:eastAsia="方正仿宋_GBK" w:cs="方正仿宋_GBK"/>
          <w:color w:val="auto"/>
          <w:sz w:val="32"/>
          <w:szCs w:val="32"/>
          <w:highlight w:val="none"/>
          <w:lang w:val="en-US" w:eastAsia="zh-CN"/>
        </w:rPr>
        <w:t>14.64118</w:t>
      </w:r>
      <w:r>
        <w:rPr>
          <w:rFonts w:hint="eastAsia" w:ascii="方正仿宋_GBK" w:hAnsi="方正仿宋_GBK" w:eastAsia="方正仿宋_GBK" w:cs="方正仿宋_GBK"/>
          <w:color w:val="auto"/>
          <w:sz w:val="32"/>
          <w:szCs w:val="32"/>
          <w:highlight w:val="none"/>
        </w:rPr>
        <w:t>万元。年初预算支出</w:t>
      </w:r>
      <w:r>
        <w:rPr>
          <w:rFonts w:hint="eastAsia" w:ascii="方正仿宋_GBK" w:hAnsi="方正仿宋_GBK" w:eastAsia="方正仿宋_GBK" w:cs="方正仿宋_GBK"/>
          <w:color w:val="auto"/>
          <w:sz w:val="32"/>
          <w:szCs w:val="32"/>
          <w:highlight w:val="none"/>
          <w:lang w:val="en-US" w:eastAsia="zh-CN"/>
        </w:rPr>
        <w:t>35</w:t>
      </w:r>
      <w:r>
        <w:rPr>
          <w:rFonts w:hint="eastAsia" w:ascii="方正仿宋_GBK" w:hAnsi="方正仿宋_GBK" w:eastAsia="方正仿宋_GBK" w:cs="方正仿宋_GBK"/>
          <w:color w:val="auto"/>
          <w:sz w:val="32"/>
          <w:szCs w:val="32"/>
          <w:highlight w:val="none"/>
        </w:rPr>
        <w:t>万</w:t>
      </w:r>
      <w:r>
        <w:rPr>
          <w:rFonts w:hint="eastAsia" w:ascii="方正仿宋_GBK" w:hAnsi="方正仿宋_GBK" w:eastAsia="方正仿宋_GBK" w:cs="方正仿宋_GBK"/>
          <w:color w:val="auto"/>
          <w:sz w:val="32"/>
          <w:szCs w:val="32"/>
          <w:highlight w:val="none"/>
          <w:lang w:eastAsia="zh-CN"/>
        </w:rPr>
        <w:t>元</w:t>
      </w:r>
      <w:r>
        <w:rPr>
          <w:rFonts w:hint="eastAsia" w:ascii="方正仿宋_GBK" w:hAnsi="方正仿宋_GBK" w:eastAsia="方正仿宋_GBK" w:cs="方正仿宋_GBK"/>
          <w:color w:val="auto"/>
          <w:sz w:val="32"/>
          <w:szCs w:val="32"/>
          <w:highlight w:val="none"/>
        </w:rPr>
        <w:t>，比预算减少</w:t>
      </w:r>
      <w:r>
        <w:rPr>
          <w:rFonts w:hint="eastAsia" w:ascii="方正仿宋_GBK" w:hAnsi="方正仿宋_GBK" w:eastAsia="方正仿宋_GBK" w:cs="方正仿宋_GBK"/>
          <w:color w:val="auto"/>
          <w:sz w:val="32"/>
          <w:szCs w:val="32"/>
          <w:highlight w:val="none"/>
          <w:lang w:val="en-US" w:eastAsia="zh-CN"/>
        </w:rPr>
        <w:t>7.431391</w:t>
      </w:r>
      <w:r>
        <w:rPr>
          <w:rFonts w:hint="eastAsia" w:ascii="方正仿宋_GBK" w:hAnsi="方正仿宋_GBK" w:eastAsia="方正仿宋_GBK" w:cs="方正仿宋_GBK"/>
          <w:color w:val="auto"/>
          <w:sz w:val="32"/>
          <w:szCs w:val="32"/>
          <w:highlight w:val="none"/>
        </w:rPr>
        <w:t>万元，主要原因是车辆维修费减少、严格控制公务接待标准、尽量在机关食堂就餐。公务用车未新购置、保有量为</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辆、无因公出国（境）团组数及人数，国内公务接待</w:t>
      </w:r>
      <w:r>
        <w:rPr>
          <w:rFonts w:hint="eastAsia" w:ascii="方正仿宋_GBK" w:hAnsi="方正仿宋_GBK" w:eastAsia="方正仿宋_GBK" w:cs="方正仿宋_GBK"/>
          <w:color w:val="auto"/>
          <w:sz w:val="32"/>
          <w:szCs w:val="32"/>
          <w:highlight w:val="none"/>
          <w:lang w:val="en-US" w:eastAsia="zh-CN"/>
        </w:rPr>
        <w:t>109</w:t>
      </w:r>
      <w:r>
        <w:rPr>
          <w:rFonts w:hint="eastAsia" w:ascii="方正仿宋_GBK" w:hAnsi="方正仿宋_GBK" w:eastAsia="方正仿宋_GBK" w:cs="方正仿宋_GBK"/>
          <w:color w:val="auto"/>
          <w:sz w:val="32"/>
          <w:szCs w:val="32"/>
          <w:highlight w:val="none"/>
        </w:rPr>
        <w:t>批次及</w:t>
      </w:r>
      <w:r>
        <w:rPr>
          <w:rFonts w:hint="eastAsia" w:ascii="方正仿宋_GBK" w:hAnsi="方正仿宋_GBK" w:eastAsia="方正仿宋_GBK" w:cs="方正仿宋_GBK"/>
          <w:color w:val="auto"/>
          <w:sz w:val="32"/>
          <w:szCs w:val="32"/>
          <w:highlight w:val="none"/>
          <w:lang w:val="en-US" w:eastAsia="zh-CN"/>
        </w:rPr>
        <w:t>1567</w:t>
      </w:r>
      <w:r>
        <w:rPr>
          <w:rFonts w:hint="eastAsia" w:ascii="方正仿宋_GBK" w:hAnsi="方正仿宋_GBK" w:eastAsia="方正仿宋_GBK" w:cs="方正仿宋_GBK"/>
          <w:color w:val="auto"/>
          <w:sz w:val="32"/>
          <w:szCs w:val="32"/>
          <w:highlight w:val="none"/>
        </w:rPr>
        <w:t>人数。</w:t>
      </w:r>
      <w:r>
        <w:rPr>
          <w:rFonts w:hint="eastAsia" w:ascii="方正仿宋_GBK" w:hAnsi="方正仿宋_GBK" w:eastAsia="方正仿宋_GBK" w:cs="方正仿宋_GBK"/>
          <w:color w:val="auto"/>
          <w:sz w:val="32"/>
          <w:szCs w:val="32"/>
          <w:highlight w:val="none"/>
          <w:lang w:val="en-US" w:eastAsia="zh-CN"/>
        </w:rPr>
        <w:t xml:space="preserve">  </w:t>
      </w:r>
    </w:p>
    <w:p>
      <w:pPr>
        <w:spacing w:line="596" w:lineRule="exact"/>
        <w:ind w:firstLine="640" w:firstLineChars="200"/>
        <w:outlineLvl w:val="0"/>
        <w:rPr>
          <w:rFonts w:eastAsia="方正仿宋_GBK"/>
          <w:color w:val="auto"/>
          <w:sz w:val="32"/>
          <w:szCs w:val="32"/>
          <w:highlight w:val="none"/>
        </w:rPr>
      </w:pPr>
      <w:bookmarkStart w:id="7" w:name="_Toc1913"/>
      <w:bookmarkStart w:id="8" w:name="_Toc2471"/>
      <w:bookmarkStart w:id="9" w:name="_Toc14787"/>
      <w:r>
        <w:rPr>
          <w:rFonts w:eastAsia="FZHei-B01"/>
          <w:color w:val="auto"/>
          <w:sz w:val="32"/>
          <w:szCs w:val="32"/>
          <w:highlight w:val="none"/>
        </w:rPr>
        <w:t>二、绩效评价</w:t>
      </w:r>
      <w:r>
        <w:rPr>
          <w:rFonts w:hint="eastAsia" w:eastAsia="FZHei-B01"/>
          <w:color w:val="auto"/>
          <w:sz w:val="32"/>
          <w:szCs w:val="32"/>
          <w:highlight w:val="none"/>
        </w:rPr>
        <w:t>基本</w:t>
      </w:r>
      <w:r>
        <w:rPr>
          <w:rFonts w:eastAsia="FZHei-B01"/>
          <w:color w:val="auto"/>
          <w:sz w:val="32"/>
          <w:szCs w:val="32"/>
          <w:highlight w:val="none"/>
        </w:rPr>
        <w:t>情况</w:t>
      </w:r>
      <w:bookmarkEnd w:id="7"/>
      <w:bookmarkEnd w:id="8"/>
      <w:bookmarkEnd w:id="9"/>
    </w:p>
    <w:p>
      <w:pPr>
        <w:spacing w:line="596" w:lineRule="exact"/>
        <w:ind w:firstLine="640" w:firstLineChars="200"/>
        <w:outlineLvl w:val="1"/>
        <w:rPr>
          <w:rFonts w:eastAsia="方正仿宋_GBK"/>
          <w:color w:val="auto"/>
          <w:sz w:val="32"/>
          <w:szCs w:val="32"/>
          <w:highlight w:val="none"/>
        </w:rPr>
      </w:pPr>
      <w:bookmarkStart w:id="10" w:name="_Toc13811"/>
      <w:bookmarkStart w:id="11" w:name="_Toc11678"/>
      <w:r>
        <w:rPr>
          <w:rFonts w:eastAsia="方正仿宋_GBK"/>
          <w:color w:val="auto"/>
          <w:sz w:val="32"/>
          <w:szCs w:val="32"/>
          <w:highlight w:val="none"/>
        </w:rPr>
        <w:t>（一）绩效评价目的</w:t>
      </w:r>
      <w:bookmarkEnd w:id="10"/>
      <w:bookmarkEnd w:id="11"/>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为加强预算执行分析，规范财务管理，强化财政资金跟踪问效和绩效管理，建立对下属预算单位的监督、指导机制，及时发现问题并采取有效措施解决，组织开展部门2021年整体支出绩效自评。</w:t>
      </w:r>
    </w:p>
    <w:p>
      <w:pPr>
        <w:spacing w:line="596" w:lineRule="exact"/>
        <w:ind w:firstLine="640" w:firstLineChars="200"/>
        <w:outlineLvl w:val="1"/>
        <w:rPr>
          <w:rFonts w:eastAsia="方正仿宋_GBK"/>
          <w:color w:val="auto"/>
          <w:sz w:val="32"/>
          <w:szCs w:val="32"/>
          <w:highlight w:val="none"/>
        </w:rPr>
      </w:pPr>
      <w:bookmarkStart w:id="12" w:name="_Toc18067"/>
      <w:bookmarkStart w:id="13" w:name="_Toc26199"/>
      <w:r>
        <w:rPr>
          <w:rFonts w:eastAsia="方正仿宋_GBK"/>
          <w:color w:val="auto"/>
          <w:sz w:val="32"/>
          <w:szCs w:val="32"/>
          <w:highlight w:val="none"/>
        </w:rPr>
        <w:t>（二）绩效评价原则</w:t>
      </w:r>
      <w:bookmarkEnd w:id="12"/>
      <w:bookmarkEnd w:id="13"/>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绩效评价原则包括科学规范原则、公开公正原则、分级分类原则、绩效相关原则。</w:t>
      </w:r>
    </w:p>
    <w:p>
      <w:pPr>
        <w:spacing w:line="596" w:lineRule="exact"/>
        <w:ind w:firstLine="640" w:firstLineChars="200"/>
        <w:outlineLvl w:val="1"/>
        <w:rPr>
          <w:rFonts w:eastAsia="方正仿宋_GBK"/>
          <w:color w:val="auto"/>
          <w:sz w:val="32"/>
          <w:szCs w:val="32"/>
          <w:highlight w:val="none"/>
        </w:rPr>
      </w:pPr>
      <w:bookmarkStart w:id="14" w:name="_Toc28857"/>
      <w:bookmarkStart w:id="15" w:name="_Toc26109"/>
      <w:r>
        <w:rPr>
          <w:rFonts w:hint="eastAsia" w:eastAsia="方正仿宋_GBK"/>
          <w:color w:val="auto"/>
          <w:sz w:val="32"/>
          <w:szCs w:val="32"/>
          <w:highlight w:val="none"/>
          <w:lang w:eastAsia="zh-CN"/>
        </w:rPr>
        <w:t>（三）</w:t>
      </w:r>
      <w:r>
        <w:rPr>
          <w:rFonts w:eastAsia="方正仿宋_GBK"/>
          <w:color w:val="auto"/>
          <w:sz w:val="32"/>
          <w:szCs w:val="32"/>
          <w:highlight w:val="none"/>
        </w:rPr>
        <w:t>绩效评价工作过程</w:t>
      </w:r>
      <w:bookmarkEnd w:id="14"/>
      <w:bookmarkEnd w:id="15"/>
    </w:p>
    <w:p>
      <w:pPr>
        <w:spacing w:line="596" w:lineRule="exact"/>
        <w:ind w:firstLine="640" w:firstLineChars="200"/>
        <w:outlineLvl w:val="2"/>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前期准备</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根据</w:t>
      </w:r>
      <w:r>
        <w:rPr>
          <w:rFonts w:hint="eastAsia" w:ascii="方正仿宋_GBK" w:hAnsi="方正仿宋_GBK" w:eastAsia="方正仿宋_GBK" w:cs="方正仿宋_GBK"/>
          <w:sz w:val="32"/>
          <w:szCs w:val="32"/>
        </w:rPr>
        <w:t>《重庆市璧山区财政局关于开展2021年度预算绩效自评工作的通知》（璧财绩〔2022〕2号）</w:t>
      </w:r>
      <w:bookmarkStart w:id="41" w:name="_GoBack"/>
      <w:bookmarkEnd w:id="41"/>
      <w:r>
        <w:rPr>
          <w:rFonts w:hint="eastAsia" w:ascii="方正仿宋_GBK" w:hAnsi="方正仿宋_GBK" w:eastAsia="方正仿宋_GBK" w:cs="方正仿宋_GBK"/>
          <w:color w:val="auto"/>
          <w:sz w:val="32"/>
          <w:szCs w:val="32"/>
          <w:highlight w:val="none"/>
        </w:rPr>
        <w:t>文件要求，我</w:t>
      </w:r>
      <w:r>
        <w:rPr>
          <w:rFonts w:hint="eastAsia" w:ascii="方正仿宋_GBK" w:hAnsi="方正仿宋_GBK" w:eastAsia="方正仿宋_GBK" w:cs="方正仿宋_GBK"/>
          <w:color w:val="auto"/>
          <w:sz w:val="32"/>
          <w:szCs w:val="32"/>
          <w:highlight w:val="none"/>
          <w:lang w:eastAsia="zh-CN"/>
        </w:rPr>
        <w:t>单位</w:t>
      </w:r>
      <w:r>
        <w:rPr>
          <w:rFonts w:hint="eastAsia" w:ascii="方正仿宋_GBK" w:hAnsi="方正仿宋_GBK" w:eastAsia="方正仿宋_GBK" w:cs="方正仿宋_GBK"/>
          <w:color w:val="auto"/>
          <w:sz w:val="32"/>
          <w:szCs w:val="32"/>
          <w:highlight w:val="none"/>
        </w:rPr>
        <w:t>高度重视绩效评价，组成由</w:t>
      </w:r>
      <w:r>
        <w:rPr>
          <w:rFonts w:hint="eastAsia" w:ascii="方正仿宋_GBK" w:hAnsi="方正仿宋_GBK" w:eastAsia="方正仿宋_GBK" w:cs="方正仿宋_GBK"/>
          <w:color w:val="auto"/>
          <w:sz w:val="32"/>
          <w:szCs w:val="32"/>
          <w:highlight w:val="none"/>
          <w:lang w:eastAsia="zh-CN"/>
        </w:rPr>
        <w:t>单位</w:t>
      </w:r>
      <w:r>
        <w:rPr>
          <w:rFonts w:hint="eastAsia" w:ascii="方正仿宋_GBK" w:hAnsi="方正仿宋_GBK" w:eastAsia="方正仿宋_GBK" w:cs="方正仿宋_GBK"/>
          <w:color w:val="auto"/>
          <w:sz w:val="32"/>
          <w:szCs w:val="32"/>
          <w:highlight w:val="none"/>
        </w:rPr>
        <w:t>领导、财务</w:t>
      </w:r>
      <w:r>
        <w:rPr>
          <w:rFonts w:hint="eastAsia" w:ascii="方正仿宋_GBK" w:hAnsi="方正仿宋_GBK" w:eastAsia="方正仿宋_GBK" w:cs="方正仿宋_GBK"/>
          <w:color w:val="auto"/>
          <w:sz w:val="32"/>
          <w:szCs w:val="32"/>
          <w:highlight w:val="none"/>
          <w:lang w:eastAsia="zh-CN"/>
        </w:rPr>
        <w:t>部</w:t>
      </w:r>
      <w:r>
        <w:rPr>
          <w:rFonts w:hint="eastAsia" w:ascii="方正仿宋_GBK" w:hAnsi="方正仿宋_GBK" w:eastAsia="方正仿宋_GBK" w:cs="方正仿宋_GBK"/>
          <w:color w:val="auto"/>
          <w:sz w:val="32"/>
          <w:szCs w:val="32"/>
          <w:highlight w:val="none"/>
        </w:rPr>
        <w:t>、各业务</w:t>
      </w:r>
      <w:r>
        <w:rPr>
          <w:rFonts w:hint="eastAsia" w:ascii="方正仿宋_GBK" w:hAnsi="方正仿宋_GBK" w:eastAsia="方正仿宋_GBK" w:cs="方正仿宋_GBK"/>
          <w:color w:val="auto"/>
          <w:sz w:val="32"/>
          <w:szCs w:val="32"/>
          <w:highlight w:val="none"/>
          <w:lang w:eastAsia="zh-CN"/>
        </w:rPr>
        <w:t>科</w:t>
      </w:r>
      <w:r>
        <w:rPr>
          <w:rFonts w:hint="eastAsia" w:ascii="方正仿宋_GBK" w:hAnsi="方正仿宋_GBK" w:eastAsia="方正仿宋_GBK" w:cs="方正仿宋_GBK"/>
          <w:color w:val="auto"/>
          <w:sz w:val="32"/>
          <w:szCs w:val="32"/>
          <w:highlight w:val="none"/>
        </w:rPr>
        <w:t>室负责人和项目负责人组成的自评小组，制定自评方案，明确自评程序和方法，通知要求资金使用</w:t>
      </w:r>
      <w:r>
        <w:rPr>
          <w:rFonts w:hint="eastAsia" w:ascii="方正仿宋_GBK" w:hAnsi="方正仿宋_GBK" w:eastAsia="方正仿宋_GBK" w:cs="方正仿宋_GBK"/>
          <w:color w:val="auto"/>
          <w:sz w:val="32"/>
          <w:szCs w:val="32"/>
          <w:highlight w:val="none"/>
          <w:lang w:eastAsia="zh-CN"/>
        </w:rPr>
        <w:t>科室</w:t>
      </w:r>
      <w:r>
        <w:rPr>
          <w:rFonts w:hint="eastAsia" w:ascii="方正仿宋_GBK" w:hAnsi="方正仿宋_GBK" w:eastAsia="方正仿宋_GBK" w:cs="方正仿宋_GBK"/>
          <w:color w:val="auto"/>
          <w:sz w:val="32"/>
          <w:szCs w:val="32"/>
          <w:highlight w:val="none"/>
        </w:rPr>
        <w:t>上报资金使用情况、项目实施情况及计划绩效目标完成情况。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组织实施</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本次绩效评价工作分为</w:t>
      </w:r>
      <w:r>
        <w:rPr>
          <w:rFonts w:hint="eastAsia" w:ascii="方正仿宋_GBK" w:hAnsi="方正仿宋_GBK" w:eastAsia="方正仿宋_GBK" w:cs="方正仿宋_GBK"/>
          <w:color w:val="auto"/>
          <w:sz w:val="32"/>
          <w:szCs w:val="32"/>
          <w:highlight w:val="none"/>
          <w:lang w:eastAsia="zh-CN"/>
        </w:rPr>
        <w:t>两</w:t>
      </w:r>
      <w:r>
        <w:rPr>
          <w:rFonts w:hint="eastAsia" w:ascii="方正仿宋_GBK" w:hAnsi="方正仿宋_GBK" w:eastAsia="方正仿宋_GBK" w:cs="方正仿宋_GBK"/>
          <w:color w:val="auto"/>
          <w:sz w:val="32"/>
          <w:szCs w:val="32"/>
          <w:highlight w:val="none"/>
        </w:rPr>
        <w:t>个阶段：</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第一个阶段为评价准备阶段，</w:t>
      </w:r>
      <w:r>
        <w:rPr>
          <w:rFonts w:hint="eastAsia" w:ascii="方正仿宋_GBK" w:hAnsi="方正仿宋_GBK" w:eastAsia="方正仿宋_GBK" w:cs="方正仿宋_GBK"/>
          <w:color w:val="auto"/>
          <w:sz w:val="32"/>
          <w:szCs w:val="32"/>
          <w:highlight w:val="none"/>
          <w:lang w:eastAsia="zh-CN"/>
        </w:rPr>
        <w:t>自评</w:t>
      </w:r>
      <w:r>
        <w:rPr>
          <w:rFonts w:hint="eastAsia" w:ascii="方正仿宋_GBK" w:hAnsi="方正仿宋_GBK" w:eastAsia="方正仿宋_GBK" w:cs="方正仿宋_GBK"/>
          <w:color w:val="auto"/>
          <w:sz w:val="32"/>
          <w:szCs w:val="32"/>
          <w:highlight w:val="none"/>
        </w:rPr>
        <w:t>工作组梳理和研读了国家层面、市级层面、区级层面与本次评价项目有关的政策文件，获得项目资料。</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第二个阶段为实施评价阶段，</w:t>
      </w:r>
      <w:r>
        <w:rPr>
          <w:rFonts w:hint="eastAsia" w:ascii="方正仿宋_GBK" w:hAnsi="方正仿宋_GBK" w:eastAsia="方正仿宋_GBK" w:cs="方正仿宋_GBK"/>
          <w:color w:val="auto"/>
          <w:sz w:val="32"/>
          <w:szCs w:val="32"/>
          <w:highlight w:val="none"/>
          <w:lang w:eastAsia="zh-CN"/>
        </w:rPr>
        <w:t>自评</w:t>
      </w:r>
      <w:r>
        <w:rPr>
          <w:rFonts w:hint="eastAsia" w:ascii="方正仿宋_GBK" w:hAnsi="方正仿宋_GBK" w:eastAsia="方正仿宋_GBK" w:cs="方正仿宋_GBK"/>
          <w:color w:val="auto"/>
          <w:sz w:val="32"/>
          <w:szCs w:val="32"/>
          <w:highlight w:val="none"/>
        </w:rPr>
        <w:t>工作组在202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年</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月</w:t>
      </w:r>
      <w:r>
        <w:rPr>
          <w:rFonts w:hint="eastAsia" w:ascii="方正仿宋_GBK" w:hAnsi="方正仿宋_GBK" w:eastAsia="方正仿宋_GBK" w:cs="方正仿宋_GBK"/>
          <w:color w:val="auto"/>
          <w:sz w:val="32"/>
          <w:szCs w:val="32"/>
          <w:highlight w:val="none"/>
          <w:lang w:val="en-US" w:eastAsia="zh-CN"/>
        </w:rPr>
        <w:t>25</w:t>
      </w:r>
      <w:r>
        <w:rPr>
          <w:rFonts w:hint="eastAsia" w:ascii="方正仿宋_GBK" w:hAnsi="方正仿宋_GBK" w:eastAsia="方正仿宋_GBK" w:cs="方正仿宋_GBK"/>
          <w:color w:val="auto"/>
          <w:sz w:val="32"/>
          <w:szCs w:val="32"/>
          <w:highlight w:val="none"/>
        </w:rPr>
        <w:t>日至</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月</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rPr>
        <w:t>日开展评价实施。取得评价项目的进度和资金筹集支出情况等资料，通过研读搭建指标体系</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填写《</w:t>
      </w:r>
      <w:r>
        <w:rPr>
          <w:rFonts w:hint="eastAsia" w:ascii="方正仿宋_GBK" w:hAnsi="方正仿宋_GBK" w:eastAsia="方正仿宋_GBK" w:cs="方正仿宋_GBK"/>
          <w:color w:val="auto"/>
          <w:sz w:val="32"/>
          <w:szCs w:val="32"/>
          <w:highlight w:val="none"/>
        </w:rPr>
        <w:t>重庆市璧山区</w:t>
      </w:r>
      <w:r>
        <w:rPr>
          <w:rFonts w:hint="eastAsia" w:ascii="方正仿宋_GBK" w:hAnsi="方正仿宋_GBK" w:eastAsia="方正仿宋_GBK" w:cs="方正仿宋_GBK"/>
          <w:color w:val="auto"/>
          <w:sz w:val="32"/>
          <w:szCs w:val="32"/>
          <w:highlight w:val="none"/>
          <w:lang w:eastAsia="zh-CN"/>
        </w:rPr>
        <w:t>融媒体中心</w:t>
      </w:r>
      <w:r>
        <w:rPr>
          <w:rFonts w:hint="eastAsia" w:ascii="方正仿宋_GBK" w:hAnsi="方正仿宋_GBK" w:eastAsia="方正仿宋_GBK" w:cs="方正仿宋_GBK"/>
          <w:color w:val="auto"/>
          <w:sz w:val="32"/>
          <w:szCs w:val="32"/>
          <w:highlight w:val="none"/>
          <w:lang w:val="en-US" w:eastAsia="zh-CN"/>
        </w:rPr>
        <w:t>2021年度部门整体支出绩效自评表》并撰写自评报告</w:t>
      </w:r>
      <w:r>
        <w:rPr>
          <w:rFonts w:hint="eastAsia" w:ascii="方正仿宋_GBK" w:hAnsi="方正仿宋_GBK" w:eastAsia="方正仿宋_GBK" w:cs="方正仿宋_GBK"/>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3、分析评价</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2022年3月11日至3月</w:t>
      </w:r>
      <w:r>
        <w:rPr>
          <w:rFonts w:hint="eastAsia" w:ascii="方正仿宋_GBK" w:hAnsi="方正仿宋_GBK" w:eastAsia="方正仿宋_GBK" w:cs="方正仿宋_GBK"/>
          <w:color w:val="auto"/>
          <w:sz w:val="32"/>
          <w:szCs w:val="32"/>
          <w:highlight w:val="none"/>
          <w:lang w:val="en-US" w:eastAsia="zh-CN"/>
        </w:rPr>
        <w:t>18</w:t>
      </w:r>
      <w:r>
        <w:rPr>
          <w:rFonts w:hint="eastAsia" w:ascii="方正仿宋_GBK" w:hAnsi="方正仿宋_GBK" w:eastAsia="方正仿宋_GBK" w:cs="方正仿宋_GBK"/>
          <w:color w:val="auto"/>
          <w:sz w:val="32"/>
          <w:szCs w:val="32"/>
          <w:highlight w:val="none"/>
        </w:rPr>
        <w:t>日，自评工作组根据《重庆市璧山区</w:t>
      </w:r>
      <w:r>
        <w:rPr>
          <w:rFonts w:hint="eastAsia" w:ascii="方正仿宋_GBK" w:hAnsi="方正仿宋_GBK" w:eastAsia="方正仿宋_GBK" w:cs="方正仿宋_GBK"/>
          <w:color w:val="auto"/>
          <w:sz w:val="32"/>
          <w:szCs w:val="32"/>
          <w:highlight w:val="none"/>
          <w:lang w:eastAsia="zh-CN"/>
        </w:rPr>
        <w:t>融媒体中心</w:t>
      </w:r>
      <w:r>
        <w:rPr>
          <w:rFonts w:hint="eastAsia" w:ascii="方正仿宋_GBK" w:hAnsi="方正仿宋_GBK" w:eastAsia="方正仿宋_GBK" w:cs="方正仿宋_GBK"/>
          <w:color w:val="auto"/>
          <w:sz w:val="32"/>
          <w:szCs w:val="32"/>
          <w:highlight w:val="none"/>
        </w:rPr>
        <w:t>2021年度部门整体支出绩效自评表》中的指标体系</w:t>
      </w:r>
      <w:r>
        <w:rPr>
          <w:rFonts w:hint="eastAsia" w:ascii="方正仿宋_GBK" w:hAnsi="方正仿宋_GBK" w:eastAsia="方正仿宋_GBK" w:cs="方正仿宋_GBK"/>
          <w:color w:val="auto"/>
          <w:sz w:val="32"/>
          <w:szCs w:val="32"/>
          <w:highlight w:val="none"/>
          <w:lang w:val="en-US" w:eastAsia="zh-CN"/>
        </w:rPr>
        <w:t>以及自评报告的</w:t>
      </w:r>
      <w:r>
        <w:rPr>
          <w:rFonts w:hint="eastAsia" w:ascii="方正仿宋_GBK" w:hAnsi="方正仿宋_GBK" w:eastAsia="方正仿宋_GBK" w:cs="方正仿宋_GBK"/>
          <w:color w:val="auto"/>
          <w:sz w:val="32"/>
          <w:szCs w:val="32"/>
          <w:highlight w:val="none"/>
        </w:rPr>
        <w:t>分析情况，</w:t>
      </w:r>
      <w:r>
        <w:rPr>
          <w:rFonts w:hint="eastAsia" w:ascii="方正仿宋_GBK" w:hAnsi="方正仿宋_GBK" w:eastAsia="方正仿宋_GBK" w:cs="方正仿宋_GBK"/>
          <w:color w:val="auto"/>
          <w:sz w:val="32"/>
          <w:szCs w:val="32"/>
          <w:highlight w:val="none"/>
          <w:lang w:val="en-US" w:eastAsia="zh-CN"/>
        </w:rPr>
        <w:t>对</w:t>
      </w:r>
      <w:r>
        <w:rPr>
          <w:rFonts w:hint="eastAsia" w:ascii="方正仿宋_GBK" w:hAnsi="方正仿宋_GBK" w:eastAsia="方正仿宋_GBK" w:cs="方正仿宋_GBK"/>
          <w:color w:val="auto"/>
          <w:sz w:val="32"/>
          <w:szCs w:val="32"/>
          <w:highlight w:val="none"/>
        </w:rPr>
        <w:t>初稿进行审核，按照相关文件、资金拨付资料，开展自评检查工作，对部门整体实施情况和质量进行评定。提出修改意见，形成部门整体绩效评价报告</w:t>
      </w:r>
      <w:r>
        <w:rPr>
          <w:rFonts w:hint="eastAsia" w:ascii="方正仿宋_GBK" w:hAnsi="方正仿宋_GBK" w:eastAsia="方正仿宋_GBK" w:cs="方正仿宋_GBK"/>
          <w:color w:val="auto"/>
          <w:sz w:val="32"/>
          <w:szCs w:val="32"/>
          <w:highlight w:val="none"/>
          <w:lang w:val="en-US" w:eastAsia="zh-CN"/>
        </w:rPr>
        <w:t>。</w:t>
      </w:r>
    </w:p>
    <w:p>
      <w:pPr>
        <w:spacing w:line="596" w:lineRule="exact"/>
        <w:ind w:firstLine="640" w:firstLineChars="200"/>
        <w:outlineLvl w:val="0"/>
        <w:rPr>
          <w:rFonts w:eastAsia="FZHei-B01"/>
          <w:color w:val="auto"/>
          <w:sz w:val="32"/>
          <w:szCs w:val="32"/>
          <w:highlight w:val="none"/>
        </w:rPr>
      </w:pPr>
      <w:bookmarkStart w:id="16" w:name="_Toc10610"/>
      <w:bookmarkStart w:id="17" w:name="_Toc3495"/>
      <w:bookmarkStart w:id="18" w:name="_Toc30085"/>
      <w:r>
        <w:rPr>
          <w:rFonts w:eastAsia="FZHei-B01"/>
          <w:color w:val="auto"/>
          <w:sz w:val="32"/>
          <w:szCs w:val="32"/>
          <w:highlight w:val="none"/>
        </w:rPr>
        <w:t>三、</w:t>
      </w:r>
      <w:r>
        <w:rPr>
          <w:rFonts w:hint="eastAsia" w:eastAsia="FZHei-B01"/>
          <w:color w:val="auto"/>
          <w:sz w:val="32"/>
          <w:szCs w:val="32"/>
          <w:highlight w:val="none"/>
        </w:rPr>
        <w:t>绩效</w:t>
      </w:r>
      <w:r>
        <w:rPr>
          <w:rFonts w:eastAsia="FZHei-B01"/>
          <w:color w:val="auto"/>
          <w:sz w:val="32"/>
          <w:szCs w:val="32"/>
          <w:highlight w:val="none"/>
        </w:rPr>
        <w:t>评价情况及结论</w:t>
      </w:r>
      <w:bookmarkEnd w:id="16"/>
      <w:bookmarkEnd w:id="17"/>
      <w:bookmarkEnd w:id="18"/>
    </w:p>
    <w:p>
      <w:pPr>
        <w:spacing w:line="596"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根据《重庆市璧山区融媒体中心2021年度部门整体支出绩效自评表》中的指标体系分析情况，重庆市璧山区融媒体中心2021年度部门整体支出绩效自评总得分98.95分，等级为“优”。具体得分情况如表1所示。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560" w:firstLineChars="200"/>
        <w:jc w:val="center"/>
        <w:textAlignment w:val="auto"/>
        <w:rPr>
          <w:rFonts w:hint="eastAsia"/>
          <w:lang w:val="en-US" w:eastAsia="zh-CN"/>
        </w:rPr>
      </w:pPr>
      <w:r>
        <w:rPr>
          <w:rFonts w:hint="eastAsia" w:ascii="方正仿宋_GBK" w:hAnsi="方正仿宋_GBK" w:eastAsia="方正仿宋_GBK" w:cs="方正仿宋_GBK"/>
          <w:color w:val="auto"/>
          <w:kern w:val="0"/>
          <w:sz w:val="28"/>
          <w:szCs w:val="28"/>
          <w:shd w:val="clear" w:color="auto" w:fill="FFFFFF"/>
          <w:lang w:val="en-US" w:eastAsia="zh-CN"/>
        </w:rPr>
        <w:t>表 1：指标得分情况</w:t>
      </w:r>
    </w:p>
    <w:tbl>
      <w:tblPr>
        <w:tblStyle w:val="9"/>
        <w:tblW w:w="82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68"/>
        <w:gridCol w:w="1677"/>
        <w:gridCol w:w="1676"/>
        <w:gridCol w:w="1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shd w:val="clear" w:color="auto" w:fill="FFFFFF"/>
                <w:lang w:val="en-US" w:eastAsia="zh-CN"/>
              </w:rPr>
            </w:pPr>
            <w:r>
              <w:rPr>
                <w:rFonts w:hint="eastAsia" w:ascii="方正仿宋_GBK" w:hAnsi="方正仿宋_GBK" w:eastAsia="方正仿宋_GBK" w:cs="方正仿宋_GBK"/>
                <w:color w:val="auto"/>
                <w:kern w:val="0"/>
                <w:sz w:val="21"/>
                <w:szCs w:val="21"/>
                <w:shd w:val="clear" w:color="auto" w:fill="FFFFFF"/>
                <w:lang w:val="en-US" w:eastAsia="zh-CN"/>
              </w:rPr>
              <w:t>指标名称</w:t>
            </w:r>
          </w:p>
        </w:tc>
        <w:tc>
          <w:tcPr>
            <w:tcW w:w="1677"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shd w:val="clear" w:color="auto" w:fill="FFFFFF"/>
                <w:lang w:val="en-US" w:eastAsia="zh-CN"/>
              </w:rPr>
            </w:pPr>
            <w:r>
              <w:rPr>
                <w:rFonts w:hint="eastAsia" w:ascii="方正仿宋_GBK" w:hAnsi="方正仿宋_GBK" w:eastAsia="方正仿宋_GBK" w:cs="方正仿宋_GBK"/>
                <w:color w:val="auto"/>
                <w:kern w:val="0"/>
                <w:sz w:val="21"/>
                <w:szCs w:val="21"/>
                <w:shd w:val="clear" w:color="auto" w:fill="FFFFFF"/>
                <w:lang w:val="en-US" w:eastAsia="zh-CN"/>
              </w:rPr>
              <w:t>权重</w:t>
            </w:r>
          </w:p>
        </w:tc>
        <w:tc>
          <w:tcPr>
            <w:tcW w:w="1676"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shd w:val="clear" w:color="auto" w:fill="FFFFFF"/>
                <w:lang w:val="en-US" w:eastAsia="zh-CN"/>
              </w:rPr>
            </w:pPr>
            <w:r>
              <w:rPr>
                <w:rFonts w:hint="eastAsia" w:ascii="方正仿宋_GBK" w:hAnsi="方正仿宋_GBK" w:eastAsia="方正仿宋_GBK" w:cs="方正仿宋_GBK"/>
                <w:color w:val="auto"/>
                <w:kern w:val="0"/>
                <w:sz w:val="21"/>
                <w:szCs w:val="21"/>
                <w:shd w:val="clear" w:color="auto" w:fill="FFFFFF"/>
                <w:lang w:val="en-US" w:eastAsia="zh-CN"/>
              </w:rPr>
              <w:t>得分</w:t>
            </w:r>
          </w:p>
        </w:tc>
        <w:tc>
          <w:tcPr>
            <w:tcW w:w="167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shd w:val="clear" w:color="auto" w:fill="FFFFFF"/>
                <w:lang w:val="en-US" w:eastAsia="zh-CN"/>
              </w:rPr>
            </w:pPr>
            <w:r>
              <w:rPr>
                <w:rFonts w:hint="eastAsia" w:ascii="方正仿宋_GBK" w:hAnsi="方正仿宋_GBK" w:eastAsia="方正仿宋_GBK" w:cs="方正仿宋_GBK"/>
                <w:color w:val="auto"/>
                <w:kern w:val="0"/>
                <w:sz w:val="21"/>
                <w:szCs w:val="21"/>
                <w:shd w:val="clear" w:color="auto" w:fill="FFFFFF"/>
                <w:lang w:val="en-US" w:eastAsia="zh-CN"/>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预算执行率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u w:val="none"/>
                <w:lang w:val="en-US" w:eastAsia="zh-CN" w:bidi="ar"/>
              </w:rPr>
              <w:t>对内宣传报道</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对外宣传报道</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新闻宣传报道覆盖率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媒体融合度</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舆论影响力</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676" w:type="dxa"/>
            <w:vAlign w:val="center"/>
          </w:tcPr>
          <w:p>
            <w:pPr>
              <w:keepNext w:val="0"/>
              <w:keepLines w:val="0"/>
              <w:pageBreakBefore w:val="0"/>
              <w:widowControl/>
              <w:shd w:val="clear" w:color="auto" w:fill="FFFFFF"/>
              <w:tabs>
                <w:tab w:val="center" w:pos="893"/>
                <w:tab w:val="right" w:pos="1666"/>
              </w:tabs>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8.95</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89.47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预决算公开率（涉秘信息除外）</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项目绩效管理率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广大群众满意度</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本单位职工满意度</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100</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bookmarkStart w:id="19" w:name="_Toc5739"/>
      <w:r>
        <w:rPr>
          <w:rFonts w:hint="eastAsia" w:ascii="方正仿宋_GBK" w:eastAsia="方正仿宋_GBK"/>
          <w:color w:val="auto"/>
          <w:sz w:val="32"/>
          <w:szCs w:val="32"/>
          <w:highlight w:val="none"/>
          <w:lang w:val="en-US" w:eastAsia="zh-CN"/>
        </w:rPr>
        <w:t>1、预算执行率分析</w:t>
      </w:r>
      <w:bookmarkEnd w:id="19"/>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eastAsia="方正仿宋_GBK"/>
          <w:lang w:val="en-US" w:eastAsia="zh-CN"/>
        </w:rPr>
      </w:pPr>
      <w:r>
        <w:rPr>
          <w:rFonts w:hint="eastAsia" w:ascii="方正仿宋_GBK" w:eastAsia="方正仿宋_GBK"/>
          <w:color w:val="auto"/>
          <w:sz w:val="32"/>
          <w:szCs w:val="32"/>
          <w:highlight w:val="none"/>
          <w:lang w:eastAsia="zh-CN"/>
        </w:rPr>
        <w:t>随着财政管理体制的完善、改革，已逐步形成了基础性的预算管理模式。预算执行作为事业单位财政预算管理中的主要环节，预算执行率直接影响着财政资金的使用效果。</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bookmarkStart w:id="20" w:name="_Toc2151"/>
      <w:r>
        <w:rPr>
          <w:rFonts w:hint="eastAsia" w:ascii="方正仿宋_GBK" w:eastAsia="方正仿宋_GBK"/>
          <w:color w:val="auto"/>
          <w:sz w:val="32"/>
          <w:szCs w:val="32"/>
          <w:highlight w:val="none"/>
          <w:lang w:val="en-US" w:eastAsia="zh-CN"/>
        </w:rPr>
        <w:t>2、对内宣传报道分析</w:t>
      </w:r>
      <w:bookmarkEnd w:id="20"/>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FF0000"/>
          <w:kern w:val="0"/>
          <w:sz w:val="32"/>
          <w:szCs w:val="32"/>
          <w:highlight w:val="yellow"/>
          <w:shd w:val="clear" w:color="auto" w:fill="FFFFFF"/>
          <w:lang w:val="en-US" w:eastAsia="zh-CN"/>
        </w:rPr>
      </w:pPr>
      <w:r>
        <w:rPr>
          <w:rFonts w:hint="eastAsia" w:ascii="方正仿宋_GBK" w:eastAsia="方正仿宋_GBK"/>
          <w:color w:val="auto"/>
          <w:sz w:val="32"/>
          <w:szCs w:val="32"/>
          <w:highlight w:val="none"/>
        </w:rPr>
        <w:t>一年来，区融媒体中心搭建起璧山电视台、《璧山报》、爱璧山</w:t>
      </w:r>
      <w:r>
        <w:rPr>
          <w:rFonts w:hint="default" w:ascii="方正仿宋_GBK" w:eastAsia="方正仿宋_GBK"/>
          <w:color w:val="auto"/>
          <w:sz w:val="32"/>
          <w:szCs w:val="32"/>
          <w:highlight w:val="none"/>
        </w:rPr>
        <w:t>APP</w:t>
      </w:r>
      <w:r>
        <w:rPr>
          <w:rFonts w:hint="eastAsia" w:ascii="方正仿宋_GBK" w:eastAsia="方正仿宋_GBK"/>
          <w:color w:val="auto"/>
          <w:sz w:val="32"/>
          <w:szCs w:val="32"/>
          <w:highlight w:val="none"/>
        </w:rPr>
        <w:t>、</w:t>
      </w:r>
      <w:r>
        <w:rPr>
          <w:rFonts w:hint="eastAsia" w:ascii="方正仿宋_GBK" w:eastAsia="方正仿宋_GBK"/>
          <w:color w:val="auto"/>
          <w:sz w:val="32"/>
          <w:szCs w:val="32"/>
          <w:highlight w:val="none"/>
          <w:lang w:val="en-US" w:eastAsia="zh-CN"/>
        </w:rPr>
        <w:t>微璧山微信</w:t>
      </w:r>
      <w:r>
        <w:rPr>
          <w:rFonts w:hint="eastAsia" w:ascii="方正仿宋_GBK" w:eastAsia="方正仿宋_GBK"/>
          <w:color w:val="auto"/>
          <w:sz w:val="32"/>
          <w:szCs w:val="32"/>
          <w:highlight w:val="none"/>
        </w:rPr>
        <w:t>公众号、璧山融媒微信公众号、璧山发布视频号、爱璧山抖音号等</w:t>
      </w:r>
      <w:r>
        <w:rPr>
          <w:rFonts w:hint="default" w:ascii="方正仿宋_GBK" w:eastAsia="方正仿宋_GBK"/>
          <w:color w:val="auto"/>
          <w:sz w:val="32"/>
          <w:szCs w:val="32"/>
          <w:highlight w:val="none"/>
        </w:rPr>
        <w:t>17</w:t>
      </w:r>
      <w:r>
        <w:rPr>
          <w:rFonts w:hint="eastAsia" w:ascii="方正仿宋_GBK" w:eastAsia="方正仿宋_GBK"/>
          <w:color w:val="auto"/>
          <w:sz w:val="32"/>
          <w:szCs w:val="32"/>
          <w:highlight w:val="none"/>
        </w:rPr>
        <w:t>个新闻宣传发布平台，点击量</w:t>
      </w:r>
      <w:r>
        <w:rPr>
          <w:rFonts w:hint="default" w:ascii="方正仿宋_GBK" w:eastAsia="方正仿宋_GBK"/>
          <w:color w:val="auto"/>
          <w:sz w:val="32"/>
          <w:szCs w:val="32"/>
          <w:highlight w:val="none"/>
        </w:rPr>
        <w:t>10</w:t>
      </w:r>
      <w:r>
        <w:rPr>
          <w:rFonts w:hint="eastAsia" w:ascii="方正仿宋_GBK" w:eastAsia="方正仿宋_GBK"/>
          <w:color w:val="auto"/>
          <w:sz w:val="32"/>
          <w:szCs w:val="32"/>
          <w:highlight w:val="none"/>
        </w:rPr>
        <w:t>万+、</w:t>
      </w:r>
      <w:r>
        <w:rPr>
          <w:rFonts w:hint="default" w:ascii="方正仿宋_GBK" w:eastAsia="方正仿宋_GBK"/>
          <w:color w:val="auto"/>
          <w:sz w:val="32"/>
          <w:szCs w:val="32"/>
          <w:highlight w:val="none"/>
        </w:rPr>
        <w:t>100</w:t>
      </w:r>
      <w:r>
        <w:rPr>
          <w:rFonts w:hint="eastAsia" w:ascii="方正仿宋_GBK" w:eastAsia="方正仿宋_GBK"/>
          <w:color w:val="auto"/>
          <w:sz w:val="32"/>
          <w:szCs w:val="32"/>
          <w:highlight w:val="none"/>
        </w:rPr>
        <w:t>万+的融媒体作品不断涌现，充分展示了璧山在成渝地区双城经济圈建设中的创新做法和生动实践。</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bookmarkStart w:id="21" w:name="_Toc19665"/>
      <w:r>
        <w:rPr>
          <w:rFonts w:hint="eastAsia" w:ascii="方正仿宋_GBK" w:eastAsia="方正仿宋_GBK"/>
          <w:color w:val="auto"/>
          <w:sz w:val="32"/>
          <w:szCs w:val="32"/>
          <w:highlight w:val="none"/>
          <w:lang w:val="en-US" w:eastAsia="zh-CN"/>
        </w:rPr>
        <w:t>3、对外宣传报道分析</w:t>
      </w:r>
      <w:bookmarkEnd w:id="21"/>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lang w:val="en-US" w:eastAsia="zh-CN"/>
        </w:rPr>
      </w:pPr>
      <w:r>
        <w:rPr>
          <w:rFonts w:hint="eastAsia" w:ascii="方正仿宋_GBK" w:eastAsia="方正仿宋_GBK"/>
          <w:color w:val="auto"/>
          <w:sz w:val="32"/>
          <w:szCs w:val="32"/>
          <w:highlight w:val="none"/>
        </w:rPr>
        <w:t>外宣方面，</w:t>
      </w:r>
      <w:r>
        <w:rPr>
          <w:rFonts w:hint="default" w:ascii="方正仿宋_GBK" w:eastAsia="方正仿宋_GBK"/>
          <w:color w:val="auto"/>
          <w:sz w:val="32"/>
          <w:szCs w:val="32"/>
          <w:highlight w:val="none"/>
          <w:lang w:val="en-US" w:eastAsia="zh-CN"/>
        </w:rPr>
        <w:t>2021</w:t>
      </w:r>
      <w:r>
        <w:rPr>
          <w:rFonts w:hint="eastAsia" w:ascii="方正仿宋_GBK" w:eastAsia="方正仿宋_GBK"/>
          <w:color w:val="auto"/>
          <w:sz w:val="32"/>
          <w:szCs w:val="32"/>
          <w:highlight w:val="none"/>
          <w:lang w:val="en-US" w:eastAsia="zh-CN"/>
        </w:rPr>
        <w:t>年</w:t>
      </w:r>
      <w:r>
        <w:rPr>
          <w:rFonts w:hint="eastAsia" w:ascii="方正仿宋_GBK" w:eastAsia="方正仿宋_GBK"/>
          <w:color w:val="auto"/>
          <w:sz w:val="32"/>
          <w:szCs w:val="32"/>
          <w:highlight w:val="none"/>
        </w:rPr>
        <w:t>，</w:t>
      </w:r>
      <w:r>
        <w:rPr>
          <w:rFonts w:hint="eastAsia" w:ascii="方正仿宋_GBK" w:eastAsia="方正仿宋_GBK"/>
          <w:color w:val="auto"/>
          <w:sz w:val="32"/>
          <w:szCs w:val="32"/>
          <w:highlight w:val="none"/>
          <w:lang w:eastAsia="zh-CN"/>
        </w:rPr>
        <w:t>区</w:t>
      </w:r>
      <w:r>
        <w:rPr>
          <w:rFonts w:hint="eastAsia" w:ascii="方正仿宋_GBK" w:eastAsia="方正仿宋_GBK"/>
          <w:color w:val="auto"/>
          <w:sz w:val="32"/>
          <w:szCs w:val="32"/>
          <w:highlight w:val="none"/>
        </w:rPr>
        <w:t>融媒体中心在央视平台用稿和央视直播节目</w:t>
      </w:r>
      <w:r>
        <w:rPr>
          <w:rFonts w:hint="eastAsia" w:ascii="方正仿宋_GBK" w:eastAsia="方正仿宋_GBK"/>
          <w:color w:val="auto"/>
          <w:sz w:val="32"/>
          <w:szCs w:val="32"/>
          <w:highlight w:val="none"/>
          <w:lang w:eastAsia="zh-CN"/>
        </w:rPr>
        <w:t>用稿</w:t>
      </w:r>
      <w:r>
        <w:rPr>
          <w:rFonts w:hint="eastAsia" w:ascii="方正仿宋_GBK" w:eastAsia="方正仿宋_GBK"/>
          <w:color w:val="auto"/>
          <w:sz w:val="32"/>
          <w:szCs w:val="32"/>
          <w:highlight w:val="none"/>
        </w:rPr>
        <w:t>总计</w:t>
      </w:r>
      <w:r>
        <w:rPr>
          <w:rFonts w:hint="default" w:ascii="方正仿宋_GBK" w:eastAsia="方正仿宋_GBK"/>
          <w:color w:val="auto"/>
          <w:sz w:val="32"/>
          <w:szCs w:val="32"/>
          <w:highlight w:val="none"/>
        </w:rPr>
        <w:t>4</w:t>
      </w:r>
      <w:r>
        <w:rPr>
          <w:rFonts w:hint="default" w:ascii="方正仿宋_GBK" w:eastAsia="方正仿宋_GBK"/>
          <w:color w:val="auto"/>
          <w:sz w:val="32"/>
          <w:szCs w:val="32"/>
          <w:highlight w:val="none"/>
          <w:lang w:val="en-US" w:eastAsia="zh-CN"/>
        </w:rPr>
        <w:t>6</w:t>
      </w:r>
      <w:r>
        <w:rPr>
          <w:rFonts w:hint="eastAsia" w:ascii="方正仿宋_GBK" w:eastAsia="方正仿宋_GBK"/>
          <w:color w:val="auto"/>
          <w:sz w:val="32"/>
          <w:szCs w:val="32"/>
          <w:highlight w:val="none"/>
        </w:rPr>
        <w:t>条</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lang w:val="en-US" w:eastAsia="zh-CN"/>
        </w:rPr>
        <w:t>居全市各区县第一。</w:t>
      </w:r>
      <w:r>
        <w:rPr>
          <w:rFonts w:hint="eastAsia" w:ascii="方正仿宋_GBK" w:eastAsia="方正仿宋_GBK"/>
          <w:color w:val="auto"/>
          <w:sz w:val="32"/>
          <w:szCs w:val="32"/>
          <w:highlight w:val="none"/>
          <w:lang w:eastAsia="zh-CN"/>
        </w:rPr>
        <w:t>在</w:t>
      </w:r>
      <w:r>
        <w:rPr>
          <w:rFonts w:hint="eastAsia" w:ascii="方正仿宋_GBK" w:eastAsia="方正仿宋_GBK"/>
          <w:color w:val="auto"/>
          <w:sz w:val="32"/>
          <w:szCs w:val="32"/>
          <w:highlight w:val="none"/>
        </w:rPr>
        <w:t>重庆电视台用稿</w:t>
      </w:r>
      <w:r>
        <w:rPr>
          <w:rFonts w:hint="default" w:ascii="方正仿宋_GBK" w:eastAsia="方正仿宋_GBK"/>
          <w:color w:val="auto"/>
          <w:sz w:val="32"/>
          <w:szCs w:val="32"/>
          <w:highlight w:val="none"/>
          <w:lang w:val="en-US" w:eastAsia="zh-CN"/>
        </w:rPr>
        <w:t>278</w:t>
      </w:r>
      <w:r>
        <w:rPr>
          <w:rFonts w:hint="eastAsia" w:ascii="方正仿宋_GBK" w:eastAsia="方正仿宋_GBK"/>
          <w:color w:val="auto"/>
          <w:sz w:val="32"/>
          <w:szCs w:val="32"/>
          <w:highlight w:val="none"/>
        </w:rPr>
        <w:t>条，其中《重庆新闻联播》</w:t>
      </w:r>
      <w:r>
        <w:rPr>
          <w:rFonts w:hint="default" w:ascii="方正仿宋_GBK" w:eastAsia="方正仿宋_GBK"/>
          <w:color w:val="auto"/>
          <w:sz w:val="32"/>
          <w:szCs w:val="32"/>
          <w:highlight w:val="none"/>
          <w:lang w:val="en-US" w:eastAsia="zh-CN"/>
        </w:rPr>
        <w:t>211</w:t>
      </w:r>
      <w:r>
        <w:rPr>
          <w:rFonts w:hint="eastAsia" w:ascii="方正仿宋_GBK" w:eastAsia="方正仿宋_GBK"/>
          <w:color w:val="auto"/>
          <w:sz w:val="32"/>
          <w:szCs w:val="32"/>
          <w:highlight w:val="none"/>
        </w:rPr>
        <w:t>条、《午间新闻》《第</w:t>
      </w:r>
      <w:r>
        <w:rPr>
          <w:rFonts w:hint="default" w:ascii="方正仿宋_GBK" w:eastAsia="方正仿宋_GBK"/>
          <w:color w:val="auto"/>
          <w:sz w:val="32"/>
          <w:szCs w:val="32"/>
          <w:highlight w:val="none"/>
        </w:rPr>
        <w:t>1</w:t>
      </w:r>
      <w:r>
        <w:rPr>
          <w:rFonts w:hint="eastAsia" w:ascii="方正仿宋_GBK" w:eastAsia="方正仿宋_GBK"/>
          <w:color w:val="auto"/>
          <w:sz w:val="32"/>
          <w:szCs w:val="32"/>
          <w:highlight w:val="none"/>
        </w:rPr>
        <w:t>眼》</w:t>
      </w:r>
      <w:r>
        <w:rPr>
          <w:rFonts w:hint="default" w:ascii="方正仿宋_GBK" w:eastAsia="方正仿宋_GBK"/>
          <w:color w:val="auto"/>
          <w:sz w:val="32"/>
          <w:szCs w:val="32"/>
          <w:highlight w:val="none"/>
          <w:lang w:val="en-US" w:eastAsia="zh-CN"/>
        </w:rPr>
        <w:t>67</w:t>
      </w:r>
      <w:r>
        <w:rPr>
          <w:rFonts w:hint="eastAsia" w:ascii="方正仿宋_GBK" w:eastAsia="方正仿宋_GBK"/>
          <w:color w:val="auto"/>
          <w:sz w:val="32"/>
          <w:szCs w:val="32"/>
          <w:highlight w:val="none"/>
        </w:rPr>
        <w:t>条</w:t>
      </w:r>
      <w:r>
        <w:rPr>
          <w:rFonts w:hint="eastAsia" w:ascii="方正仿宋_GBK" w:eastAsia="方正仿宋_GBK"/>
          <w:color w:val="auto"/>
          <w:sz w:val="32"/>
          <w:szCs w:val="32"/>
          <w:highlight w:val="none"/>
          <w:lang w:eastAsia="zh-CN"/>
        </w:rPr>
        <w:t>，在《</w:t>
      </w:r>
      <w:r>
        <w:rPr>
          <w:rFonts w:hint="eastAsia" w:ascii="方正仿宋_GBK" w:eastAsia="方正仿宋_GBK"/>
          <w:color w:val="auto"/>
          <w:sz w:val="32"/>
          <w:szCs w:val="32"/>
          <w:highlight w:val="none"/>
        </w:rPr>
        <w:t>重庆日报》总计用稿</w:t>
      </w:r>
      <w:r>
        <w:rPr>
          <w:rFonts w:hint="default" w:ascii="方正仿宋_GBK" w:eastAsia="方正仿宋_GBK"/>
          <w:color w:val="auto"/>
          <w:sz w:val="32"/>
          <w:szCs w:val="32"/>
          <w:highlight w:val="none"/>
          <w:lang w:val="en-US" w:eastAsia="zh-CN"/>
        </w:rPr>
        <w:t>230</w:t>
      </w:r>
      <w:r>
        <w:rPr>
          <w:rFonts w:hint="eastAsia" w:ascii="方正仿宋_GBK" w:eastAsia="方正仿宋_GBK"/>
          <w:color w:val="auto"/>
          <w:sz w:val="32"/>
          <w:szCs w:val="32"/>
          <w:highlight w:val="none"/>
        </w:rPr>
        <w:t>条</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rPr>
        <w:t>媒体粘性进一步增强，</w:t>
      </w:r>
      <w:r>
        <w:rPr>
          <w:rFonts w:hint="eastAsia" w:ascii="方正仿宋_GBK" w:eastAsia="方正仿宋_GBK"/>
          <w:color w:val="auto"/>
          <w:sz w:val="32"/>
          <w:szCs w:val="32"/>
          <w:highlight w:val="none"/>
          <w:lang w:eastAsia="zh-CN"/>
        </w:rPr>
        <w:t>极大地展示了璧山良好城市形象，</w:t>
      </w:r>
      <w:r>
        <w:rPr>
          <w:rFonts w:hint="eastAsia" w:ascii="方正仿宋_GBK" w:eastAsia="方正仿宋_GBK"/>
          <w:color w:val="auto"/>
          <w:sz w:val="32"/>
          <w:szCs w:val="32"/>
          <w:highlight w:val="none"/>
        </w:rPr>
        <w:t>有效</w:t>
      </w:r>
      <w:r>
        <w:rPr>
          <w:rFonts w:hint="eastAsia" w:ascii="方正仿宋_GBK" w:eastAsia="方正仿宋_GBK"/>
          <w:color w:val="auto"/>
          <w:sz w:val="32"/>
          <w:szCs w:val="32"/>
          <w:highlight w:val="none"/>
          <w:lang w:eastAsia="zh-CN"/>
        </w:rPr>
        <w:t>扩大</w:t>
      </w:r>
      <w:r>
        <w:rPr>
          <w:rFonts w:hint="eastAsia" w:ascii="方正仿宋_GBK" w:eastAsia="方正仿宋_GBK"/>
          <w:color w:val="auto"/>
          <w:sz w:val="32"/>
          <w:szCs w:val="32"/>
          <w:highlight w:val="none"/>
        </w:rPr>
        <w:t>了璧山的对外影响力和美誉度。</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bookmarkStart w:id="22" w:name="_Toc13033"/>
      <w:r>
        <w:rPr>
          <w:rFonts w:hint="eastAsia" w:ascii="方正仿宋_GBK" w:eastAsia="方正仿宋_GBK"/>
          <w:color w:val="auto"/>
          <w:sz w:val="32"/>
          <w:szCs w:val="32"/>
          <w:highlight w:val="none"/>
          <w:lang w:val="en-US" w:eastAsia="zh-CN"/>
        </w:rPr>
        <w:t>4、新闻宣传报道覆盖率分析</w:t>
      </w:r>
      <w:bookmarkEnd w:id="22"/>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lang w:val="en-US" w:eastAsia="zh-CN"/>
        </w:rPr>
      </w:pPr>
      <w:r>
        <w:rPr>
          <w:rFonts w:hint="eastAsia" w:ascii="方正仿宋_GBK" w:eastAsia="方正仿宋_GBK"/>
          <w:color w:val="auto"/>
          <w:sz w:val="32"/>
          <w:szCs w:val="32"/>
          <w:highlight w:val="none"/>
          <w:lang w:val="en-US" w:eastAsia="zh-CN"/>
        </w:rPr>
        <w:t>区融媒体中心搭建起璧山电视台、《手机报》、直录播宣传、《爱璧山》APP、重庆日报官方网站璧山专页制作等在不同的平台进行新闻宣传，点击量10万＋，100万＋的融媒体作品不断涌现，其新闻宣传大面积地覆盖到了人民群众。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bookmarkStart w:id="23" w:name="_Toc8014"/>
      <w:r>
        <w:rPr>
          <w:rFonts w:hint="eastAsia" w:ascii="方正仿宋_GBK" w:eastAsia="方正仿宋_GBK"/>
          <w:color w:val="auto"/>
          <w:sz w:val="32"/>
          <w:szCs w:val="32"/>
          <w:highlight w:val="none"/>
          <w:lang w:val="en-US" w:eastAsia="zh-CN"/>
        </w:rPr>
        <w:t>5、媒体融合度分析</w:t>
      </w:r>
      <w:bookmarkEnd w:id="23"/>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一年来，区融媒体中心按照流程再造要求，在现有</w:t>
      </w:r>
      <w:r>
        <w:rPr>
          <w:rFonts w:hint="default" w:ascii="方正仿宋_GBK" w:hAnsi="方正仿宋_GBK" w:eastAsia="方正仿宋_GBK" w:cs="方正仿宋_GBK"/>
          <w:color w:val="auto"/>
          <w:kern w:val="0"/>
          <w:sz w:val="32"/>
          <w:szCs w:val="32"/>
          <w:highlight w:val="none"/>
          <w:shd w:val="clear" w:color="auto" w:fill="FFFFFF"/>
          <w:lang w:val="en-US" w:eastAsia="zh-CN"/>
        </w:rPr>
        <w:t>12</w:t>
      </w:r>
      <w:r>
        <w:rPr>
          <w:rFonts w:hint="eastAsia" w:ascii="方正仿宋_GBK" w:hAnsi="方正仿宋_GBK" w:eastAsia="方正仿宋_GBK" w:cs="方正仿宋_GBK"/>
          <w:color w:val="auto"/>
          <w:kern w:val="0"/>
          <w:sz w:val="32"/>
          <w:szCs w:val="32"/>
          <w:highlight w:val="none"/>
          <w:shd w:val="clear" w:color="auto" w:fill="FFFFFF"/>
          <w:lang w:val="en-US" w:eastAsia="zh-CN"/>
        </w:rPr>
        <w:t>个部室的基础上，实施大部制管理模式。根据职能职责，将中心原</w:t>
      </w:r>
      <w:r>
        <w:rPr>
          <w:rFonts w:hint="default" w:ascii="方正仿宋_GBK" w:hAnsi="方正仿宋_GBK" w:eastAsia="方正仿宋_GBK" w:cs="方正仿宋_GBK"/>
          <w:color w:val="auto"/>
          <w:kern w:val="0"/>
          <w:sz w:val="32"/>
          <w:szCs w:val="32"/>
          <w:highlight w:val="none"/>
          <w:shd w:val="clear" w:color="auto" w:fill="FFFFFF"/>
          <w:lang w:val="en-US" w:eastAsia="zh-CN"/>
        </w:rPr>
        <w:t>12</w:t>
      </w:r>
      <w:r>
        <w:rPr>
          <w:rFonts w:hint="eastAsia" w:ascii="方正仿宋_GBK" w:hAnsi="方正仿宋_GBK" w:eastAsia="方正仿宋_GBK" w:cs="方正仿宋_GBK"/>
          <w:color w:val="auto"/>
          <w:kern w:val="0"/>
          <w:sz w:val="32"/>
          <w:szCs w:val="32"/>
          <w:highlight w:val="none"/>
          <w:shd w:val="clear" w:color="auto" w:fill="FFFFFF"/>
          <w:lang w:val="en-US" w:eastAsia="zh-CN"/>
        </w:rPr>
        <w:t>个部室划为采编中心、行管中心和经营中心。三大中心互相支撑配合，进一步打破部门壁垒，实现了垂直管理，提高了指挥效能。基于“中央厨房”，实施采编流程再造。通过编前会、策划会等例会制度，将上游与下游、网上与网下、内容与运营充分融合，让新闻宣传有序管控、实现从“相加”到“相融”。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24" w:name="_Toc5128"/>
      <w:r>
        <w:rPr>
          <w:rFonts w:hint="eastAsia" w:ascii="方正仿宋_GBK" w:hAnsi="方正仿宋_GBK" w:eastAsia="方正仿宋_GBK" w:cs="方正仿宋_GBK"/>
          <w:color w:val="auto"/>
          <w:kern w:val="0"/>
          <w:sz w:val="32"/>
          <w:szCs w:val="32"/>
          <w:highlight w:val="none"/>
          <w:shd w:val="clear" w:color="auto" w:fill="FFFFFF"/>
          <w:lang w:val="en-US" w:eastAsia="zh-CN"/>
        </w:rPr>
        <w:t>6、舆论影响力分析</w:t>
      </w:r>
      <w:bookmarkEnd w:id="24"/>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影响力是新闻媒介存在价值的最重要的体现方式。作为特殊的精神产品的提供者，尽管新闻媒介一样要适应市场经济条件，但依然不能错失衡量标准。好的新闻报道当散发强烈的感受性，当新闻内容与表现形式构成巨大的感染力，那么舆论的影响力就会扩大。根据评价标准，该指标得89.74%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25" w:name="_Toc1610"/>
      <w:r>
        <w:rPr>
          <w:rFonts w:hint="eastAsia" w:ascii="方正仿宋_GBK" w:hAnsi="方正仿宋_GBK" w:eastAsia="方正仿宋_GBK" w:cs="方正仿宋_GBK"/>
          <w:color w:val="auto"/>
          <w:kern w:val="0"/>
          <w:sz w:val="32"/>
          <w:szCs w:val="32"/>
          <w:highlight w:val="none"/>
          <w:shd w:val="clear" w:color="auto" w:fill="FFFFFF"/>
          <w:lang w:val="en-US" w:eastAsia="zh-CN"/>
        </w:rPr>
        <w:t>7、预决算公开率（涉密信息除外）分析</w:t>
      </w:r>
      <w:bookmarkEnd w:id="25"/>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政府部门只是预算决算信息公开的主体之一，除了政府部门，还有相当一些单位和部门也是预算公开的主体。这些部门由公共财政供养，从国库拿钱，属于预算执行部门。按照预算法的规定，这些部门和政府部门一样，都应该向社会公众公开预算决算信息。目前璧山区融媒体中心预算公开的广度已经相当可观。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26" w:name="_Toc925"/>
      <w:r>
        <w:rPr>
          <w:rFonts w:hint="eastAsia" w:ascii="方正仿宋_GBK" w:hAnsi="方正仿宋_GBK" w:eastAsia="方正仿宋_GBK" w:cs="方正仿宋_GBK"/>
          <w:color w:val="auto"/>
          <w:kern w:val="0"/>
          <w:sz w:val="32"/>
          <w:szCs w:val="32"/>
          <w:highlight w:val="none"/>
          <w:shd w:val="clear" w:color="auto" w:fill="FFFFFF"/>
          <w:lang w:val="en-US" w:eastAsia="zh-CN"/>
        </w:rPr>
        <w:t>8、项目绩效管理率分析</w:t>
      </w:r>
      <w:bookmarkEnd w:id="26"/>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通过项目绩效管理，达成了融媒体中心的战略规划和远景目标，项目绩效管理是为企业战略规划和远景目标的实现服务的，这是企业管理的大局，也是绩效管理努力的方向；提高了项目成员的绩效水平这也是绩效管理的主要内容，目标之一。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27" w:name="_Toc32525"/>
      <w:r>
        <w:rPr>
          <w:rFonts w:hint="eastAsia" w:ascii="方正仿宋_GBK" w:hAnsi="方正仿宋_GBK" w:eastAsia="方正仿宋_GBK" w:cs="方正仿宋_GBK"/>
          <w:color w:val="auto"/>
          <w:kern w:val="0"/>
          <w:sz w:val="32"/>
          <w:szCs w:val="32"/>
          <w:highlight w:val="none"/>
          <w:shd w:val="clear" w:color="auto" w:fill="FFFFFF"/>
          <w:lang w:val="en-US" w:eastAsia="zh-CN"/>
        </w:rPr>
        <w:t>9、广大群众满意度分析</w:t>
      </w:r>
      <w:bookmarkEnd w:id="27"/>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这一年，中心聚集区委、区政府重点工作，开设“奋斗百年路，启航新征程·小康圆梦”“走向我们的小康生活”栏目，对脱贫攻坚成就、党建引领小区治理成果、农村人居环境整治成果等进行了系统宣传；营造了全区党史学习教育的浓厚氛围，丰富了群众的业余生活，对各种节目、报刊、服务的满意度都较好。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28" w:name="_Toc9077"/>
      <w:r>
        <w:rPr>
          <w:rFonts w:hint="eastAsia" w:ascii="方正仿宋_GBK" w:hAnsi="方正仿宋_GBK" w:eastAsia="方正仿宋_GBK" w:cs="方正仿宋_GBK"/>
          <w:color w:val="auto"/>
          <w:kern w:val="0"/>
          <w:sz w:val="32"/>
          <w:szCs w:val="32"/>
          <w:highlight w:val="none"/>
          <w:shd w:val="clear" w:color="auto" w:fill="FFFFFF"/>
          <w:lang w:val="en-US" w:eastAsia="zh-CN"/>
        </w:rPr>
        <w:t>10、本单位职工满意度分析</w:t>
      </w:r>
      <w:bookmarkEnd w:id="28"/>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在第十届重庆市区县报新闻奖和首届重庆市区县新媒体（网络）好新闻获奖名单中，中心16件新闻作品获奖，其中斩获5个新闻一等奖，数量居全市区县融媒体前列。此外，中心还荣获2021优秀区域融媒综合创新力TOP10，“璧山发布”微信公众号荣获2021优秀区域融媒综合传播力微信TOP10。在第二十四届重庆新闻奖中，区融媒体中心获6个市级奖项。根据评价标准，该指标得100%权重分。</w:t>
      </w:r>
    </w:p>
    <w:p>
      <w:pPr>
        <w:spacing w:line="596" w:lineRule="exact"/>
        <w:ind w:firstLine="640" w:firstLineChars="200"/>
        <w:outlineLvl w:val="0"/>
        <w:rPr>
          <w:rFonts w:eastAsia="FZHei-B01"/>
          <w:color w:val="auto"/>
          <w:sz w:val="32"/>
          <w:szCs w:val="32"/>
          <w:highlight w:val="none"/>
        </w:rPr>
      </w:pPr>
      <w:bookmarkStart w:id="29" w:name="_Toc9021"/>
      <w:bookmarkStart w:id="30" w:name="_Toc24384"/>
      <w:bookmarkStart w:id="31" w:name="_Toc14258"/>
      <w:r>
        <w:rPr>
          <w:rFonts w:hint="eastAsia" w:eastAsia="FZHei-B01"/>
          <w:color w:val="auto"/>
          <w:sz w:val="32"/>
          <w:szCs w:val="32"/>
          <w:highlight w:val="none"/>
          <w:lang w:eastAsia="zh-CN"/>
        </w:rPr>
        <w:t>四、</w:t>
      </w:r>
      <w:r>
        <w:rPr>
          <w:rFonts w:eastAsia="FZHei-B01"/>
          <w:color w:val="auto"/>
          <w:sz w:val="32"/>
          <w:szCs w:val="32"/>
          <w:highlight w:val="none"/>
        </w:rPr>
        <w:t>主要经验及做法</w:t>
      </w:r>
      <w:bookmarkEnd w:id="29"/>
      <w:bookmarkEnd w:id="30"/>
      <w:bookmarkEnd w:id="31"/>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1、制定项目绩效管理制度明确项目绩效目标编制及审批流程，规范绩效指标设置。</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2、强化预算绩效双监控，从项目期中已实现的产出成果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3、融媒体中心聚焦区委、区政府重点工作，做好新闻策、采、编、发、工作，先后策划推出“深入学习宣传贯彻党的十九届六中全会精神”栏目，努力掀起全区学习宣传贯彻党的十九届六中全会精神热潮。</w:t>
      </w:r>
    </w:p>
    <w:p>
      <w:pPr>
        <w:spacing w:line="596" w:lineRule="exact"/>
        <w:ind w:firstLine="640" w:firstLineChars="200"/>
        <w:outlineLvl w:val="0"/>
        <w:rPr>
          <w:rFonts w:eastAsia="FZHei-B01"/>
          <w:sz w:val="32"/>
          <w:szCs w:val="32"/>
        </w:rPr>
      </w:pPr>
      <w:bookmarkStart w:id="32" w:name="_Toc17798"/>
      <w:bookmarkStart w:id="33" w:name="_Toc10567"/>
      <w:bookmarkStart w:id="34" w:name="_Toc2639"/>
      <w:r>
        <w:rPr>
          <w:rFonts w:hint="eastAsia" w:eastAsia="FZHei-B01"/>
          <w:sz w:val="32"/>
          <w:szCs w:val="32"/>
        </w:rPr>
        <w:t>五、</w:t>
      </w:r>
      <w:r>
        <w:rPr>
          <w:rFonts w:eastAsia="FZHei-B01"/>
          <w:sz w:val="32"/>
          <w:szCs w:val="32"/>
        </w:rPr>
        <w:t>存在的问题和建议</w:t>
      </w:r>
      <w:bookmarkEnd w:id="32"/>
      <w:bookmarkEnd w:id="33"/>
      <w:bookmarkEnd w:id="3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eastAsia="方正仿宋_GBK"/>
          <w:color w:val="auto"/>
          <w:sz w:val="32"/>
          <w:szCs w:val="32"/>
          <w:lang w:eastAsia="zh-CN"/>
        </w:rPr>
      </w:pPr>
      <w:bookmarkStart w:id="35" w:name="_Toc10673"/>
      <w:bookmarkStart w:id="36" w:name="_Toc17714"/>
      <w:bookmarkStart w:id="37" w:name="_Toc17596"/>
      <w:r>
        <w:rPr>
          <w:rFonts w:eastAsia="方正仿宋_GBK"/>
          <w:color w:val="auto"/>
          <w:sz w:val="32"/>
          <w:szCs w:val="32"/>
        </w:rPr>
        <w:t>（一）</w:t>
      </w:r>
      <w:r>
        <w:rPr>
          <w:rFonts w:hint="eastAsia" w:eastAsia="方正仿宋_GBK"/>
          <w:color w:val="auto"/>
          <w:sz w:val="32"/>
          <w:szCs w:val="32"/>
          <w:lang w:eastAsia="zh-CN"/>
        </w:rPr>
        <w:t>存在的问题</w:t>
      </w:r>
      <w:bookmarkEnd w:id="35"/>
      <w:bookmarkEnd w:id="36"/>
      <w:bookmarkEnd w:id="37"/>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舆论影响力还有待提高</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融媒体中心在舆论宣传方面，无论是外宣还是内宣都做了大量的工作，不仅搭建了璧山电视台、《璧山报》等17个新闻宣传发布平台，而且还取得了一定的成就。点击量</w:t>
      </w:r>
      <w:r>
        <w:rPr>
          <w:rFonts w:hint="default" w:ascii="方正仿宋_GBK" w:hAnsi="方正仿宋_GBK" w:eastAsia="方正仿宋_GBK" w:cs="方正仿宋_GBK"/>
          <w:color w:val="auto"/>
          <w:kern w:val="0"/>
          <w:sz w:val="32"/>
          <w:szCs w:val="32"/>
          <w:highlight w:val="none"/>
          <w:shd w:val="clear" w:color="auto" w:fill="FFFFFF"/>
          <w:lang w:val="en-US" w:eastAsia="zh-CN"/>
        </w:rPr>
        <w:t>10</w:t>
      </w:r>
      <w:r>
        <w:rPr>
          <w:rFonts w:hint="eastAsia" w:ascii="方正仿宋_GBK" w:hAnsi="方正仿宋_GBK" w:eastAsia="方正仿宋_GBK" w:cs="方正仿宋_GBK"/>
          <w:color w:val="auto"/>
          <w:kern w:val="0"/>
          <w:sz w:val="32"/>
          <w:szCs w:val="32"/>
          <w:highlight w:val="none"/>
          <w:shd w:val="clear" w:color="auto" w:fill="FFFFFF"/>
          <w:lang w:val="en-US" w:eastAsia="zh-CN"/>
        </w:rPr>
        <w:t xml:space="preserve">万+、 </w:t>
      </w:r>
      <w:r>
        <w:rPr>
          <w:rFonts w:hint="default" w:ascii="方正仿宋_GBK" w:hAnsi="方正仿宋_GBK" w:eastAsia="方正仿宋_GBK" w:cs="方正仿宋_GBK"/>
          <w:color w:val="auto"/>
          <w:kern w:val="0"/>
          <w:sz w:val="32"/>
          <w:szCs w:val="32"/>
          <w:highlight w:val="none"/>
          <w:shd w:val="clear" w:color="auto" w:fill="FFFFFF"/>
          <w:lang w:val="en-US" w:eastAsia="zh-CN"/>
        </w:rPr>
        <w:t>100</w:t>
      </w:r>
      <w:r>
        <w:rPr>
          <w:rFonts w:hint="eastAsia" w:ascii="方正仿宋_GBK" w:hAnsi="方正仿宋_GBK" w:eastAsia="方正仿宋_GBK" w:cs="方正仿宋_GBK"/>
          <w:color w:val="auto"/>
          <w:kern w:val="0"/>
          <w:sz w:val="32"/>
          <w:szCs w:val="32"/>
          <w:highlight w:val="none"/>
          <w:shd w:val="clear" w:color="auto" w:fill="FFFFFF"/>
          <w:lang w:val="en-US" w:eastAsia="zh-CN"/>
        </w:rPr>
        <w:t xml:space="preserve">万+的融媒体作品不断涌现，区融媒体中心在央视平台用稿和央视直播节目用稿总计 </w:t>
      </w:r>
      <w:r>
        <w:rPr>
          <w:rFonts w:hint="default" w:ascii="方正仿宋_GBK" w:hAnsi="方正仿宋_GBK" w:eastAsia="方正仿宋_GBK" w:cs="方正仿宋_GBK"/>
          <w:color w:val="auto"/>
          <w:kern w:val="0"/>
          <w:sz w:val="32"/>
          <w:szCs w:val="32"/>
          <w:highlight w:val="none"/>
          <w:shd w:val="clear" w:color="auto" w:fill="FFFFFF"/>
          <w:lang w:val="en-US" w:eastAsia="zh-CN"/>
        </w:rPr>
        <w:t>46</w:t>
      </w:r>
      <w:r>
        <w:rPr>
          <w:rFonts w:hint="eastAsia" w:ascii="方正仿宋_GBK" w:hAnsi="方正仿宋_GBK" w:eastAsia="方正仿宋_GBK" w:cs="方正仿宋_GBK"/>
          <w:color w:val="auto"/>
          <w:kern w:val="0"/>
          <w:sz w:val="32"/>
          <w:szCs w:val="32"/>
          <w:highlight w:val="none"/>
          <w:shd w:val="clear" w:color="auto" w:fill="FFFFFF"/>
          <w:lang w:val="en-US" w:eastAsia="zh-CN"/>
        </w:rPr>
        <w:t>条，居全市各区县第一。但是目前新闻宣传工作没有抓住核心重点，形式较为单一，虽然宣传扩大了知晓度，但是舆论影响力还有待提高。</w:t>
      </w:r>
    </w:p>
    <w:p>
      <w:pPr>
        <w:keepNext w:val="0"/>
        <w:keepLines w:val="0"/>
        <w:pageBreakBefore w:val="0"/>
        <w:kinsoku/>
        <w:wordWrap/>
        <w:overflowPunct/>
        <w:topLinePunct w:val="0"/>
        <w:bidi w:val="0"/>
        <w:adjustRightInd/>
        <w:snapToGrid/>
        <w:spacing w:line="560" w:lineRule="exact"/>
        <w:ind w:firstLine="640" w:firstLineChars="200"/>
        <w:textAlignment w:val="auto"/>
        <w:outlineLvl w:val="1"/>
        <w:rPr>
          <w:rFonts w:hint="eastAsia" w:eastAsia="方正仿宋_GBK"/>
          <w:color w:val="auto"/>
          <w:sz w:val="32"/>
          <w:szCs w:val="32"/>
          <w:lang w:eastAsia="zh-CN"/>
        </w:rPr>
      </w:pPr>
      <w:bookmarkStart w:id="38" w:name="_Toc10918"/>
      <w:bookmarkStart w:id="39" w:name="_Toc18664"/>
      <w:bookmarkStart w:id="40" w:name="_Toc17815"/>
      <w:r>
        <w:rPr>
          <w:rFonts w:eastAsia="方正仿宋_GBK"/>
          <w:color w:val="auto"/>
          <w:sz w:val="32"/>
          <w:szCs w:val="32"/>
        </w:rPr>
        <w:t>（</w:t>
      </w:r>
      <w:r>
        <w:rPr>
          <w:rFonts w:hint="eastAsia" w:eastAsia="方正仿宋_GBK"/>
          <w:color w:val="auto"/>
          <w:sz w:val="32"/>
          <w:szCs w:val="32"/>
          <w:lang w:eastAsia="zh-CN"/>
        </w:rPr>
        <w:t>二</w:t>
      </w:r>
      <w:r>
        <w:rPr>
          <w:rFonts w:eastAsia="方正仿宋_GBK"/>
          <w:color w:val="auto"/>
          <w:sz w:val="32"/>
          <w:szCs w:val="32"/>
        </w:rPr>
        <w:t>）</w:t>
      </w:r>
      <w:r>
        <w:rPr>
          <w:rFonts w:hint="eastAsia" w:eastAsia="方正仿宋_GBK"/>
          <w:color w:val="auto"/>
          <w:sz w:val="32"/>
          <w:szCs w:val="32"/>
          <w:lang w:eastAsia="zh-CN"/>
        </w:rPr>
        <w:t>建议</w:t>
      </w:r>
      <w:bookmarkEnd w:id="38"/>
      <w:bookmarkEnd w:id="39"/>
      <w:bookmarkEnd w:id="40"/>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一是融媒体中心在开展新闻宣传工作的时候，一定要注意核心内容，不要千篇一律描述，也不要大题概括的汇总，从而失去了宣传工作的根本价值。二是加大培养新闻宣传工作人员综合素质，对人员感知舆论变化的能力、处理舆论新闻的能力，使用网络化技术进行宣传的能力进行多方面的考核与审查。</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p>
    <w:sectPr>
      <w:footerReference r:id="rId3" w:type="default"/>
      <w:pgSz w:w="11906" w:h="16838"/>
      <w:pgMar w:top="1588" w:right="1474" w:bottom="1588"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FZHei-B01">
    <w:altName w:val="宋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fldChar w:fldCharType="begin"/>
                          </w:r>
                          <w:r>
                            <w:instrText xml:space="preserve"> PAGE  \* MERGEFORMAT </w:instrText>
                          </w:r>
                          <w:r>
                            <w:fldChar w:fldCharType="separate"/>
                          </w:r>
                          <w:r>
                            <w:t>5</w:t>
                          </w:r>
                          <w: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AzqkHTmAQAAxwMA&#10;AA4AAAAAAAAAAQAgAAAAHgEAAGRycy9lMm9Eb2MueG1sUEsFBgAAAAAGAAYAWQEAAHY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A5F86"/>
    <w:rsid w:val="004C051C"/>
    <w:rsid w:val="004F189B"/>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D3C8D"/>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3863E70"/>
    <w:rsid w:val="0572192E"/>
    <w:rsid w:val="06EC66E0"/>
    <w:rsid w:val="081D7AE0"/>
    <w:rsid w:val="089332B7"/>
    <w:rsid w:val="09FA11E0"/>
    <w:rsid w:val="0B924F3C"/>
    <w:rsid w:val="0C1C7A68"/>
    <w:rsid w:val="0CE47124"/>
    <w:rsid w:val="11E92A7D"/>
    <w:rsid w:val="123771B9"/>
    <w:rsid w:val="13041393"/>
    <w:rsid w:val="13C14191"/>
    <w:rsid w:val="16683FED"/>
    <w:rsid w:val="16CD0A04"/>
    <w:rsid w:val="17B40B54"/>
    <w:rsid w:val="17C73B8D"/>
    <w:rsid w:val="19033B41"/>
    <w:rsid w:val="190E2B30"/>
    <w:rsid w:val="1B9C545C"/>
    <w:rsid w:val="1C073948"/>
    <w:rsid w:val="1D953CF2"/>
    <w:rsid w:val="1E820077"/>
    <w:rsid w:val="1EBB288A"/>
    <w:rsid w:val="1F897A12"/>
    <w:rsid w:val="22644610"/>
    <w:rsid w:val="22EA36DF"/>
    <w:rsid w:val="23082899"/>
    <w:rsid w:val="24855D52"/>
    <w:rsid w:val="26A67592"/>
    <w:rsid w:val="277061AF"/>
    <w:rsid w:val="27EB5D07"/>
    <w:rsid w:val="281C69CE"/>
    <w:rsid w:val="284D3120"/>
    <w:rsid w:val="2A144355"/>
    <w:rsid w:val="2EC12838"/>
    <w:rsid w:val="2FCB3993"/>
    <w:rsid w:val="2FDD1B7F"/>
    <w:rsid w:val="31C37EBA"/>
    <w:rsid w:val="324A3FB8"/>
    <w:rsid w:val="324F79A0"/>
    <w:rsid w:val="32891103"/>
    <w:rsid w:val="32DB1E15"/>
    <w:rsid w:val="34DB15D1"/>
    <w:rsid w:val="35531555"/>
    <w:rsid w:val="35DF4A23"/>
    <w:rsid w:val="3772660A"/>
    <w:rsid w:val="37CE1367"/>
    <w:rsid w:val="38606463"/>
    <w:rsid w:val="39D62CD1"/>
    <w:rsid w:val="3AD46C94"/>
    <w:rsid w:val="3C0269D0"/>
    <w:rsid w:val="3CB669F0"/>
    <w:rsid w:val="3CC64D02"/>
    <w:rsid w:val="3D764477"/>
    <w:rsid w:val="3E2671E9"/>
    <w:rsid w:val="3F2521B4"/>
    <w:rsid w:val="41EF3CC7"/>
    <w:rsid w:val="41FE4420"/>
    <w:rsid w:val="46EA7EDB"/>
    <w:rsid w:val="487D6BBD"/>
    <w:rsid w:val="48A57EC2"/>
    <w:rsid w:val="48F84495"/>
    <w:rsid w:val="4A72164F"/>
    <w:rsid w:val="4AE63E96"/>
    <w:rsid w:val="4B416C8E"/>
    <w:rsid w:val="4BC863A1"/>
    <w:rsid w:val="4C717508"/>
    <w:rsid w:val="4C7D6B0F"/>
    <w:rsid w:val="4D8D0E92"/>
    <w:rsid w:val="4DB210B7"/>
    <w:rsid w:val="4E465EC0"/>
    <w:rsid w:val="4F5B7D09"/>
    <w:rsid w:val="50B60EBE"/>
    <w:rsid w:val="51196B7F"/>
    <w:rsid w:val="511B3686"/>
    <w:rsid w:val="51DB1DFE"/>
    <w:rsid w:val="528154FB"/>
    <w:rsid w:val="56120C9B"/>
    <w:rsid w:val="56E20D30"/>
    <w:rsid w:val="57EC1669"/>
    <w:rsid w:val="59387870"/>
    <w:rsid w:val="59F12F67"/>
    <w:rsid w:val="5A7D0C9E"/>
    <w:rsid w:val="5C401F83"/>
    <w:rsid w:val="61DA0784"/>
    <w:rsid w:val="62BB0009"/>
    <w:rsid w:val="646F6B02"/>
    <w:rsid w:val="64B625E5"/>
    <w:rsid w:val="65FC7E82"/>
    <w:rsid w:val="68917B67"/>
    <w:rsid w:val="6A150CDB"/>
    <w:rsid w:val="6AA30543"/>
    <w:rsid w:val="6DB35909"/>
    <w:rsid w:val="6E514E37"/>
    <w:rsid w:val="6E8421A4"/>
    <w:rsid w:val="6F9C0BD2"/>
    <w:rsid w:val="733A72D5"/>
    <w:rsid w:val="74CE7AAB"/>
    <w:rsid w:val="74F311C2"/>
    <w:rsid w:val="76C33D5F"/>
    <w:rsid w:val="76F65C09"/>
    <w:rsid w:val="77063A92"/>
    <w:rsid w:val="78173E5E"/>
    <w:rsid w:val="796465E7"/>
    <w:rsid w:val="79C73803"/>
    <w:rsid w:val="7A341A8C"/>
    <w:rsid w:val="7AA250E0"/>
    <w:rsid w:val="7AB34C3E"/>
    <w:rsid w:val="7B491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5642</Words>
  <Characters>5908</Characters>
  <Lines>1</Lines>
  <Paragraphs>1</Paragraphs>
  <TotalTime>0</TotalTime>
  <ScaleCrop>false</ScaleCrop>
  <LinksUpToDate>false</LinksUpToDate>
  <CharactersWithSpaces>5927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飞如内控咨询</cp:lastModifiedBy>
  <cp:lastPrinted>2020-04-20T08:58:00Z</cp:lastPrinted>
  <dcterms:modified xsi:type="dcterms:W3CDTF">2022-03-29T04:16:21Z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7D485462918544F289E03066EA38125B</vt:lpwstr>
  </property>
</Properties>
</file>