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359" w:leftChars="171" w:firstLine="1101" w:firstLineChars="250"/>
        <w:textAlignment w:val="auto"/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  <w:lang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  <w:lang w:eastAsia="zh-CN"/>
        </w:rPr>
        <w:t>中共重庆市璧山区委研究室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</w:rPr>
      </w:pPr>
      <w:r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</w:rPr>
        <w:t>202</w:t>
      </w:r>
      <w:r>
        <w:rPr>
          <w:rFonts w:hint="eastAsia" w:eastAsia="方正小标宋_GBK" w:cs="方正小标宋_GBK"/>
          <w:b/>
          <w:bCs/>
          <w:color w:val="auto"/>
          <w:sz w:val="44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_GBK" w:cs="方正小标宋_GBK"/>
          <w:b/>
          <w:bCs/>
          <w:color w:val="auto"/>
          <w:sz w:val="44"/>
          <w:szCs w:val="32"/>
        </w:rPr>
        <w:t>年整体支出绩效自评报告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357" w:firstLine="64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ascii="Times New Roman" w:hAnsi="Times New Roman" w:eastAsia="方正黑体_GBK"/>
          <w:color w:val="auto"/>
          <w:sz w:val="32"/>
          <w:szCs w:val="32"/>
        </w:rPr>
        <w:t>一、基本</w:t>
      </w:r>
      <w:r>
        <w:rPr>
          <w:rFonts w:hint="eastAsia" w:ascii="Times New Roman" w:hAnsi="Times New Roman" w:eastAsia="方正黑体_GBK"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组织系统性调查研究，了解宏观经济社会发展动态和趋势，为区委贯彻执行中央方针政策和市委决策部署，决策关系全区经济社会发展等重大问题提供依据。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根据全区经济社会发展和区委工作部署，作出当年或一段时间调研工作指导性的安排意见。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根据区委安排，围绕全区各个时期的中心工作和重大部署，就带全局性和当前迫切需要解决的重要问题，研究拟定重要政策措施文件，并对拟以区委名义出台的重要文件组织论证。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根据区委的工作部署和重大政策，对涉及全区综合性的问题，进行调查研究，主持或参与拟订切实可行的贯彻落实意见建议，供区委决策时参考。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跟踪调查区委出台的政策落实情况，向区委反馈实施情况，并提出进一步完善有关政策的意见或建议。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6.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根据区委安排，牵头或参与区委重要文件、重大报告和其他重要文稿的起草工作，把调查研究成果转化为区委的决策。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7.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负责组织或参与完成区委重点调研课题，并做好相应的协调服务工作。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8.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指导和协调全区各部门、各单位的调研工作，组织和参与重大调查研究活动及其成果的论证。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9.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收集、整理和编辑有关经济社会发展等方面的重要信息资料，为区委领导提供信息服务。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6" w:firstLineChars="200"/>
        <w:textAlignment w:val="auto"/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  <w:t xml:space="preserve">10. 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负责与区外研究部门的联系，进行有关业务的合作与交流。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11.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完成区委交办的其他任务。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eastAsia="方正楷体_GBK" w:cs="方正楷体_GBK"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</w:t>
      </w:r>
      <w:r>
        <w:rPr>
          <w:rFonts w:hint="eastAsia" w:eastAsia="方正楷体_GBK" w:cs="方正楷体_GBK"/>
          <w:color w:val="auto"/>
          <w:sz w:val="32"/>
          <w:szCs w:val="32"/>
          <w:lang w:eastAsia="zh-CN"/>
        </w:rPr>
        <w:t>机构设置与人员情况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6" w:firstLineChars="200"/>
        <w:textAlignment w:val="auto"/>
        <w:rPr>
          <w:rFonts w:hint="default" w:ascii="Times New Roman" w:hAnsi="Times New Roman" w:eastAsia="方正仿宋_GBK" w:cs="方正仿宋_GBK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中共重庆市璧山区委研究室是区委政策研究的职能部门，为正处级，列区委工作机关序列。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  <w:lang w:eastAsia="zh-CN"/>
        </w:rPr>
        <w:t>内设两个科室为综合科、信息调研科。</w:t>
      </w:r>
      <w:r>
        <w:rPr>
          <w:rFonts w:hint="eastAsia" w:eastAsia="方正仿宋_GBK" w:cs="方正仿宋_GBK"/>
          <w:color w:val="auto"/>
          <w:spacing w:val="-6"/>
          <w:sz w:val="32"/>
          <w:szCs w:val="32"/>
          <w:lang w:eastAsia="zh-CN"/>
        </w:rPr>
        <w:t>核定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行政编制5名</w:t>
      </w:r>
      <w:r>
        <w:rPr>
          <w:rFonts w:hint="eastAsia" w:eastAsia="方正仿宋_GBK" w:cs="方正仿宋_GBK"/>
          <w:color w:val="auto"/>
          <w:spacing w:val="-6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pacing w:val="-6"/>
          <w:sz w:val="32"/>
          <w:szCs w:val="32"/>
        </w:rPr>
        <w:t>设主任1名，副主任1名，科级领导职数2名。</w:t>
      </w:r>
      <w:r>
        <w:rPr>
          <w:rFonts w:hint="eastAsia" w:eastAsia="方正仿宋_GBK" w:cs="方正仿宋_GBK"/>
          <w:color w:val="auto"/>
          <w:spacing w:val="-6"/>
          <w:sz w:val="32"/>
          <w:szCs w:val="32"/>
          <w:lang w:val="en-US" w:eastAsia="zh-CN"/>
        </w:rPr>
        <w:t>2021年底实有</w:t>
      </w:r>
      <w:r>
        <w:rPr>
          <w:rFonts w:hint="eastAsia" w:eastAsia="方正仿宋_GBK" w:cs="方正仿宋_GBK"/>
          <w:color w:val="auto"/>
          <w:spacing w:val="-6"/>
          <w:sz w:val="32"/>
          <w:szCs w:val="32"/>
          <w:lang w:eastAsia="zh-CN"/>
        </w:rPr>
        <w:t>在编在岗</w:t>
      </w:r>
      <w:r>
        <w:rPr>
          <w:rFonts w:hint="eastAsia" w:eastAsia="方正仿宋_GBK" w:cs="方正仿宋_GBK"/>
          <w:color w:val="auto"/>
          <w:spacing w:val="-6"/>
          <w:sz w:val="32"/>
          <w:szCs w:val="32"/>
          <w:lang w:val="en-US" w:eastAsia="zh-CN"/>
        </w:rPr>
        <w:t>4名，临聘人员1名。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eastAsia="方正楷体_GBK" w:cs="方正楷体_GBK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</w:t>
      </w:r>
      <w:r>
        <w:rPr>
          <w:rFonts w:hint="eastAsia" w:eastAsia="方正楷体_GBK" w:cs="方正楷体_GBK"/>
          <w:color w:val="auto"/>
          <w:sz w:val="32"/>
          <w:szCs w:val="32"/>
          <w:lang w:eastAsia="zh-CN"/>
        </w:rPr>
        <w:t>预算及支出情况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6" w:firstLineChars="200"/>
        <w:textAlignment w:val="auto"/>
        <w:rPr>
          <w:rFonts w:hint="eastAsia" w:eastAsia="方正仿宋_GBK" w:cs="方正仿宋_GBK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auto"/>
          <w:spacing w:val="-6"/>
          <w:sz w:val="32"/>
          <w:szCs w:val="32"/>
          <w:lang w:eastAsia="zh-CN"/>
        </w:rPr>
        <w:t>收入预算：</w:t>
      </w:r>
      <w:r>
        <w:rPr>
          <w:rFonts w:hint="eastAsia" w:eastAsia="方正仿宋_GBK" w:cs="方正仿宋_GBK"/>
          <w:color w:val="auto"/>
          <w:spacing w:val="-6"/>
          <w:sz w:val="32"/>
          <w:szCs w:val="32"/>
          <w:lang w:val="en-US" w:eastAsia="zh-CN"/>
        </w:rPr>
        <w:t>2021年年初预算数147.71万元，其中：一般公共预算拨款147.71万元，政府性基金预算拨款0万元，国有资本经营预算收入0万元，事业收入0万元，事业单位经营收入0万元，其他收入0万元。收入较去年增加7.66万元，主要是人员经费拨款增加减少15.47万元，公用经费减少3.57万元，项目支出增加26.7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16" w:firstLineChars="200"/>
        <w:textAlignment w:val="auto"/>
        <w:rPr>
          <w:rFonts w:hint="default" w:eastAsia="方正仿宋_GBK" w:cs="方正仿宋_GBK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auto"/>
          <w:spacing w:val="-6"/>
          <w:sz w:val="32"/>
          <w:szCs w:val="32"/>
          <w:lang w:val="en-US" w:eastAsia="zh-CN"/>
        </w:rPr>
        <w:t>支出预算：2021年年初预算数147.71万元，其中：一般公共服务147.71万元，教育0万元，社会保障和就业8.9万元，卫生健康支出5.09万元，住房保障7.01万元。支出较去年增加7.66万元，主要是基本支出减少19.04万元，项目支出增加26.7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黑体_GBK"/>
          <w:color w:val="auto"/>
          <w:sz w:val="32"/>
          <w:szCs w:val="32"/>
        </w:rPr>
        <w:t>二、绩效评价</w:t>
      </w:r>
      <w:r>
        <w:rPr>
          <w:rFonts w:hint="eastAsia" w:ascii="Times New Roman" w:hAnsi="Times New Roman" w:eastAsia="方正黑体_GBK"/>
          <w:color w:val="auto"/>
          <w:sz w:val="32"/>
          <w:szCs w:val="32"/>
        </w:rPr>
        <w:t>基本</w:t>
      </w:r>
      <w:r>
        <w:rPr>
          <w:rFonts w:ascii="Times New Roman" w:hAnsi="Times New Roman" w:eastAsia="方正黑体_GBK"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（一）绩效评价目的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对照年初确定的绩效目标各项任务，加强项目和资金管理，确保资金使用合规合法，进一步提升资金使用效率。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（二）绩效评价原则、评价指标体系、评价方法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绩效评价原则包括</w:t>
      </w:r>
      <w:r>
        <w:rPr>
          <w:rFonts w:ascii="Times New Roman" w:hAnsi="Times New Roman" w:eastAsia="仿宋_GB2312"/>
          <w:bCs/>
          <w:color w:val="auto"/>
          <w:sz w:val="32"/>
          <w:szCs w:val="32"/>
        </w:rPr>
        <w:t>科学规范原则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bCs/>
          <w:color w:val="auto"/>
          <w:sz w:val="32"/>
          <w:szCs w:val="32"/>
        </w:rPr>
        <w:t>公开公正原则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bCs/>
          <w:color w:val="auto"/>
          <w:sz w:val="32"/>
          <w:szCs w:val="32"/>
        </w:rPr>
        <w:t>分级分类原则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bCs/>
          <w:color w:val="auto"/>
          <w:sz w:val="32"/>
          <w:szCs w:val="32"/>
        </w:rPr>
        <w:t>绩效相关原则。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整个指标体系分为投入（7分），过程（24分），产出（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分），效益（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分），共设置了4个一级指标，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个二级指标，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个三级指标。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评价的方法主要包括成本效益分析法、比较法、因素分析法、最低成本法、公众评判法、标杆管理法等。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（三）绩效评价工作过程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包括前期准备、组织实施、分析评价等。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黑体_GBK"/>
          <w:color w:val="auto"/>
          <w:sz w:val="32"/>
          <w:szCs w:val="32"/>
        </w:rPr>
        <w:t>三、</w:t>
      </w:r>
      <w:r>
        <w:rPr>
          <w:rFonts w:hint="eastAsia" w:ascii="Times New Roman" w:hAnsi="Times New Roman" w:eastAsia="方正黑体_GBK"/>
          <w:color w:val="auto"/>
          <w:sz w:val="32"/>
          <w:szCs w:val="32"/>
        </w:rPr>
        <w:t>绩效</w:t>
      </w:r>
      <w:r>
        <w:rPr>
          <w:rFonts w:ascii="Times New Roman" w:hAnsi="Times New Roman" w:eastAsia="方正黑体_GBK"/>
          <w:color w:val="auto"/>
          <w:sz w:val="32"/>
          <w:szCs w:val="32"/>
        </w:rPr>
        <w:t>评价情况及结论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投入评价情况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重点课题调研经费项目资金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22.77万元，其中：区本级财政资金22.77万元，投入资金22.77万元，资金到位率100%。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（二）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过程评价情况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重点课题调研经费列入区委研究室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2021年度经费收入预算，对该笔资金的使用进行了充分、详细的使用计划预算，在资金使用过程中，对经费的管理、制度的建设等方面进行了全方面的管控，确保了重点课题调研顺利开展，并为区委决策提供了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（三）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产出评价情况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按照年初的预期目标，全年开展重点课题调研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20余次，形成高质量调研报告20余篇，为区委决策提供了重要参考，助推了全区改革发展。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（四）效益评价情况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坚持紧扣区委中心工作，精心谋划、深入研究，充分发挥了以文辅政的作用，全面提升了服务区委决策水平，为区委决策提供了重要参考，助推了全区改革发展，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保障了财政资金的使用绩效，群众满意度不断提升。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ascii="Times New Roman" w:hAnsi="Times New Roman" w:eastAsia="方正黑体_GBK"/>
          <w:color w:val="auto"/>
          <w:sz w:val="32"/>
          <w:szCs w:val="32"/>
        </w:rPr>
        <w:t>主要经验及做法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我室项目资金全额用于开展调研，为区委决策提供重要参考相关工作，在具体实施过程中，我们坚持做到：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专项管理。在实施过程中，坚持专款专用，资金使用规范，财务清晰，原始票据齐全。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全程接受监督和检查。资金使用规范，能自觉接受纪检、财政、审计等部门的监督和检查。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color w:val="auto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</w:rPr>
        <w:t>五、</w:t>
      </w:r>
      <w:r>
        <w:rPr>
          <w:rFonts w:ascii="Times New Roman" w:hAnsi="Times New Roman" w:eastAsia="方正黑体_GBK"/>
          <w:color w:val="auto"/>
          <w:sz w:val="32"/>
          <w:szCs w:val="32"/>
        </w:rPr>
        <w:t>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（一）存在的问题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系统培训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欠缺，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业务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人员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业务能力有待进一步提高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，经办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人员对工作的熟悉程度还不够。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（二）建议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加强绩效管理制度的建设，进一步增强支出责任和效率意识，全面加强预算管理，优化资源配置，提高财政资金使用绩效和科学精细化管理水平。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加强财务相关业务培训，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fill="FFFFFF"/>
        </w:rPr>
        <w:t>增强预算绩效管理工作人员业务素质，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提高财务工作人员的工作水平，促进财政绩效评价工作更加科学客观合理。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 xml:space="preserve">                             中共重庆市璧山区委研究室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 xml:space="preserve">                                  2022年3月18日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  <w:r>
      <w:rPr>
        <w:rFonts w:hint="eastAsia"/>
        <w:sz w:val="18"/>
        <w:lang w:val="en-US" w:eastAsia="zh-CN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91D6D"/>
    <w:multiLevelType w:val="singleLevel"/>
    <w:tmpl w:val="21691D6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2MWJjNjgwNTE4YzE0ZGVmMzFiOGFjYjc1NWEyODk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76A04"/>
    <w:rsid w:val="00381982"/>
    <w:rsid w:val="00381F5B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4D620E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93C"/>
    <w:rsid w:val="006D100A"/>
    <w:rsid w:val="006E6E29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77086"/>
    <w:rsid w:val="00C858DD"/>
    <w:rsid w:val="00CD33CE"/>
    <w:rsid w:val="00CF26C3"/>
    <w:rsid w:val="00D610B4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1031B11"/>
    <w:rsid w:val="0106292C"/>
    <w:rsid w:val="0254208B"/>
    <w:rsid w:val="02DC4F07"/>
    <w:rsid w:val="03031542"/>
    <w:rsid w:val="04A645FF"/>
    <w:rsid w:val="04BB3B8D"/>
    <w:rsid w:val="051A3396"/>
    <w:rsid w:val="05AA7445"/>
    <w:rsid w:val="062461B9"/>
    <w:rsid w:val="06CF6BB6"/>
    <w:rsid w:val="06E47D7A"/>
    <w:rsid w:val="074129EE"/>
    <w:rsid w:val="07D56C3E"/>
    <w:rsid w:val="09D92A4C"/>
    <w:rsid w:val="0A1E4D09"/>
    <w:rsid w:val="0A294888"/>
    <w:rsid w:val="0A6313D5"/>
    <w:rsid w:val="0AC24DBB"/>
    <w:rsid w:val="0B3738EC"/>
    <w:rsid w:val="0BCD2BCD"/>
    <w:rsid w:val="0C257A1F"/>
    <w:rsid w:val="0D95469A"/>
    <w:rsid w:val="0DC50A3A"/>
    <w:rsid w:val="0E0A147F"/>
    <w:rsid w:val="0E6D7B99"/>
    <w:rsid w:val="0E756915"/>
    <w:rsid w:val="0FAF4ABF"/>
    <w:rsid w:val="10105341"/>
    <w:rsid w:val="106A2B50"/>
    <w:rsid w:val="136A0FDF"/>
    <w:rsid w:val="13E611C7"/>
    <w:rsid w:val="146C2093"/>
    <w:rsid w:val="176E0FF1"/>
    <w:rsid w:val="17DA5D1A"/>
    <w:rsid w:val="18C63235"/>
    <w:rsid w:val="194E0B0C"/>
    <w:rsid w:val="19A85D2F"/>
    <w:rsid w:val="19A911A8"/>
    <w:rsid w:val="1A781EE3"/>
    <w:rsid w:val="1A955F15"/>
    <w:rsid w:val="1C083F06"/>
    <w:rsid w:val="1C08427B"/>
    <w:rsid w:val="1C6379F5"/>
    <w:rsid w:val="1C8E4EEF"/>
    <w:rsid w:val="1D054E9B"/>
    <w:rsid w:val="1D1B7BF3"/>
    <w:rsid w:val="1D9E297D"/>
    <w:rsid w:val="1DA43ED5"/>
    <w:rsid w:val="1E0C3498"/>
    <w:rsid w:val="1E142821"/>
    <w:rsid w:val="1EF44273"/>
    <w:rsid w:val="1F3C0670"/>
    <w:rsid w:val="1FB929C9"/>
    <w:rsid w:val="206D3F96"/>
    <w:rsid w:val="20857532"/>
    <w:rsid w:val="21032F06"/>
    <w:rsid w:val="210F7B82"/>
    <w:rsid w:val="212F29E7"/>
    <w:rsid w:val="213E662E"/>
    <w:rsid w:val="217A768B"/>
    <w:rsid w:val="21CB3E84"/>
    <w:rsid w:val="22997438"/>
    <w:rsid w:val="22B17D7D"/>
    <w:rsid w:val="235E777A"/>
    <w:rsid w:val="23B82897"/>
    <w:rsid w:val="23FA2624"/>
    <w:rsid w:val="248371A8"/>
    <w:rsid w:val="24C24F2E"/>
    <w:rsid w:val="25324341"/>
    <w:rsid w:val="26125BFE"/>
    <w:rsid w:val="27194129"/>
    <w:rsid w:val="27862BF8"/>
    <w:rsid w:val="27AE569A"/>
    <w:rsid w:val="27E84634"/>
    <w:rsid w:val="292F3628"/>
    <w:rsid w:val="294B40B5"/>
    <w:rsid w:val="2A4D5059"/>
    <w:rsid w:val="2A520077"/>
    <w:rsid w:val="2C197F2F"/>
    <w:rsid w:val="2C517600"/>
    <w:rsid w:val="2C866D70"/>
    <w:rsid w:val="2CB30C88"/>
    <w:rsid w:val="2DFA6C6A"/>
    <w:rsid w:val="2E2C4C65"/>
    <w:rsid w:val="2F253B6E"/>
    <w:rsid w:val="2FB51A97"/>
    <w:rsid w:val="308634E9"/>
    <w:rsid w:val="31256325"/>
    <w:rsid w:val="313A7EC4"/>
    <w:rsid w:val="325159D7"/>
    <w:rsid w:val="331F33E4"/>
    <w:rsid w:val="33B4291B"/>
    <w:rsid w:val="341A4DB3"/>
    <w:rsid w:val="35446241"/>
    <w:rsid w:val="35A900EA"/>
    <w:rsid w:val="361D5250"/>
    <w:rsid w:val="367113F3"/>
    <w:rsid w:val="370C4EF6"/>
    <w:rsid w:val="37685881"/>
    <w:rsid w:val="38360325"/>
    <w:rsid w:val="38564771"/>
    <w:rsid w:val="38BF4CB0"/>
    <w:rsid w:val="39D64C4A"/>
    <w:rsid w:val="3A3D69B1"/>
    <w:rsid w:val="3AD35DC2"/>
    <w:rsid w:val="3BC0242E"/>
    <w:rsid w:val="3BDE5E85"/>
    <w:rsid w:val="3CC00B54"/>
    <w:rsid w:val="3D0F0457"/>
    <w:rsid w:val="3D1A4C12"/>
    <w:rsid w:val="3D3042AB"/>
    <w:rsid w:val="3D5F34D1"/>
    <w:rsid w:val="3DA562ED"/>
    <w:rsid w:val="3DDD19BB"/>
    <w:rsid w:val="3EE020AB"/>
    <w:rsid w:val="3F531148"/>
    <w:rsid w:val="3F944142"/>
    <w:rsid w:val="40514344"/>
    <w:rsid w:val="40AE3735"/>
    <w:rsid w:val="414219E5"/>
    <w:rsid w:val="41FD73F4"/>
    <w:rsid w:val="430D6696"/>
    <w:rsid w:val="4338341E"/>
    <w:rsid w:val="43415C24"/>
    <w:rsid w:val="436954B9"/>
    <w:rsid w:val="43ED5E42"/>
    <w:rsid w:val="43FF56D8"/>
    <w:rsid w:val="44EA66F6"/>
    <w:rsid w:val="45452294"/>
    <w:rsid w:val="475A78A0"/>
    <w:rsid w:val="47713EA4"/>
    <w:rsid w:val="48641D3B"/>
    <w:rsid w:val="48B123DB"/>
    <w:rsid w:val="48B34190"/>
    <w:rsid w:val="48EF70BC"/>
    <w:rsid w:val="49685E2C"/>
    <w:rsid w:val="49F14158"/>
    <w:rsid w:val="4A3B0460"/>
    <w:rsid w:val="4A697924"/>
    <w:rsid w:val="4A983D4D"/>
    <w:rsid w:val="4B006B94"/>
    <w:rsid w:val="4B061F11"/>
    <w:rsid w:val="4C3E60F9"/>
    <w:rsid w:val="4C864D2F"/>
    <w:rsid w:val="4CCA6F81"/>
    <w:rsid w:val="4DBC4C80"/>
    <w:rsid w:val="4DD201FF"/>
    <w:rsid w:val="4EBF7CB3"/>
    <w:rsid w:val="4EF878E8"/>
    <w:rsid w:val="4F8E16AF"/>
    <w:rsid w:val="506E7085"/>
    <w:rsid w:val="50B40AFF"/>
    <w:rsid w:val="5121723E"/>
    <w:rsid w:val="51A334A9"/>
    <w:rsid w:val="52F86048"/>
    <w:rsid w:val="55266595"/>
    <w:rsid w:val="564B7DF6"/>
    <w:rsid w:val="56E72107"/>
    <w:rsid w:val="57396FBE"/>
    <w:rsid w:val="57850E7C"/>
    <w:rsid w:val="57AD5E8B"/>
    <w:rsid w:val="57CF5C19"/>
    <w:rsid w:val="57DD6F50"/>
    <w:rsid w:val="57F85C34"/>
    <w:rsid w:val="58046851"/>
    <w:rsid w:val="58402D82"/>
    <w:rsid w:val="58DC4F9E"/>
    <w:rsid w:val="592C1637"/>
    <w:rsid w:val="5B627381"/>
    <w:rsid w:val="5BAE6084"/>
    <w:rsid w:val="5BC25DA0"/>
    <w:rsid w:val="5BFA1C6C"/>
    <w:rsid w:val="5C917FEA"/>
    <w:rsid w:val="5C9971FE"/>
    <w:rsid w:val="60024E13"/>
    <w:rsid w:val="60036958"/>
    <w:rsid w:val="60122FAF"/>
    <w:rsid w:val="602120CC"/>
    <w:rsid w:val="606A77CF"/>
    <w:rsid w:val="60CD339A"/>
    <w:rsid w:val="60F96C4C"/>
    <w:rsid w:val="613870EA"/>
    <w:rsid w:val="620A3307"/>
    <w:rsid w:val="6350563C"/>
    <w:rsid w:val="63506902"/>
    <w:rsid w:val="63AA3BF0"/>
    <w:rsid w:val="63F01CC9"/>
    <w:rsid w:val="64405247"/>
    <w:rsid w:val="64CC13FC"/>
    <w:rsid w:val="65734403"/>
    <w:rsid w:val="66E6336F"/>
    <w:rsid w:val="69551972"/>
    <w:rsid w:val="69845D75"/>
    <w:rsid w:val="6992619C"/>
    <w:rsid w:val="69BE49B9"/>
    <w:rsid w:val="69EA0722"/>
    <w:rsid w:val="6A566E6D"/>
    <w:rsid w:val="6AEA7168"/>
    <w:rsid w:val="6BC536C6"/>
    <w:rsid w:val="6D397803"/>
    <w:rsid w:val="6DC769D0"/>
    <w:rsid w:val="6E690BEF"/>
    <w:rsid w:val="6E735DFC"/>
    <w:rsid w:val="6E956B82"/>
    <w:rsid w:val="6F4E1BAC"/>
    <w:rsid w:val="6F6E6311"/>
    <w:rsid w:val="6FB30471"/>
    <w:rsid w:val="71A66442"/>
    <w:rsid w:val="720C2BDC"/>
    <w:rsid w:val="72B177C0"/>
    <w:rsid w:val="72EC14F3"/>
    <w:rsid w:val="73327C0F"/>
    <w:rsid w:val="7333008A"/>
    <w:rsid w:val="74261772"/>
    <w:rsid w:val="74CF282C"/>
    <w:rsid w:val="74E50461"/>
    <w:rsid w:val="76290E21"/>
    <w:rsid w:val="7698402F"/>
    <w:rsid w:val="78746DE5"/>
    <w:rsid w:val="789A5742"/>
    <w:rsid w:val="78A32DFC"/>
    <w:rsid w:val="79161855"/>
    <w:rsid w:val="79AF53D5"/>
    <w:rsid w:val="79B8073B"/>
    <w:rsid w:val="79C4535C"/>
    <w:rsid w:val="7B1A6202"/>
    <w:rsid w:val="7B962758"/>
    <w:rsid w:val="7C9821A5"/>
    <w:rsid w:val="7CCB09FE"/>
    <w:rsid w:val="7CF2530B"/>
    <w:rsid w:val="7D682FEB"/>
    <w:rsid w:val="7E2107A2"/>
    <w:rsid w:val="7E477F3C"/>
    <w:rsid w:val="7F136823"/>
    <w:rsid w:val="7F9F4A9A"/>
    <w:rsid w:val="7FB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1864</Words>
  <Characters>1982</Characters>
  <Lines>3</Lines>
  <Paragraphs>1</Paragraphs>
  <TotalTime>274</TotalTime>
  <ScaleCrop>false</ScaleCrop>
  <LinksUpToDate>false</LinksUpToDate>
  <CharactersWithSpaces>2060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泰康人寿~静静</cp:lastModifiedBy>
  <cp:lastPrinted>2020-04-20T08:58:00Z</cp:lastPrinted>
  <dcterms:modified xsi:type="dcterms:W3CDTF">2022-10-10T07:20:40Z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644225780_btnclosed</vt:lpwstr>
  </property>
  <property fmtid="{D5CDD505-2E9C-101B-9397-08002B2CF9AE}" pid="3" name="KSOProductBuildVer">
    <vt:lpwstr>2052-11.1.0.12358</vt:lpwstr>
  </property>
  <property fmtid="{D5CDD505-2E9C-101B-9397-08002B2CF9AE}" pid="4" name="ICV">
    <vt:lpwstr>B0848F98FEA5474B87012B6F17BD9F9D</vt:lpwstr>
  </property>
</Properties>
</file>