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附件4</w:t>
      </w:r>
      <w:bookmarkStart w:id="0" w:name="_GoBack"/>
      <w:bookmarkEnd w:id="0"/>
    </w:p>
    <w:p>
      <w:pPr>
        <w:pStyle w:val="14"/>
        <w:spacing w:line="596" w:lineRule="exact"/>
        <w:ind w:firstLine="0" w:firstLineChars="0"/>
        <w:jc w:val="center"/>
        <w:rPr>
          <w:rFonts w:eastAsia="方正小标宋_GBK"/>
          <w:sz w:val="44"/>
          <w:szCs w:val="32"/>
        </w:rPr>
      </w:pPr>
      <w:r>
        <w:rPr>
          <w:rFonts w:hint="eastAsia" w:eastAsia="方正小标宋_GBK"/>
          <w:sz w:val="44"/>
          <w:szCs w:val="32"/>
        </w:rPr>
        <w:t>重庆璧山国家农业科技园区管理委员会</w:t>
      </w:r>
    </w:p>
    <w:p>
      <w:pPr>
        <w:pStyle w:val="14"/>
        <w:spacing w:line="596" w:lineRule="exact"/>
        <w:ind w:firstLine="0" w:firstLineChars="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spacing w:before="312" w:beforeLines="100" w:line="596" w:lineRule="exact"/>
        <w:ind w:firstLine="640" w:firstLineChars="200"/>
        <w:rPr>
          <w:rFonts w:eastAsia="方正仿宋_GBK"/>
          <w:sz w:val="32"/>
          <w:szCs w:val="32"/>
        </w:rPr>
      </w:pPr>
      <w:r>
        <w:rPr>
          <w:rFonts w:hint="eastAsia" w:eastAsia="方正仿宋_GBK"/>
          <w:sz w:val="32"/>
          <w:szCs w:val="32"/>
        </w:rPr>
        <w:t>根据《重庆市璧山区财政局关于开展2021年度绩效自评工作的通知》（璧财绩〔2022〕2号）文件要求，我单位对财政资金整体支出绩效进行了自评，具体情况如下：</w:t>
      </w: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hint="eastAsia" w:eastAsia="方正仿宋_GBK"/>
          <w:sz w:val="32"/>
          <w:szCs w:val="32"/>
        </w:rPr>
        <w:t>（一）单位基本情况</w:t>
      </w:r>
    </w:p>
    <w:p>
      <w:pPr>
        <w:spacing w:line="596" w:lineRule="exact"/>
        <w:ind w:firstLine="640" w:firstLineChars="200"/>
        <w:rPr>
          <w:rFonts w:eastAsia="方正仿宋_GBK"/>
          <w:sz w:val="32"/>
          <w:szCs w:val="32"/>
        </w:rPr>
      </w:pPr>
      <w:r>
        <w:rPr>
          <w:rFonts w:hint="eastAsia" w:eastAsia="方正仿宋_GBK"/>
          <w:sz w:val="32"/>
          <w:szCs w:val="32"/>
        </w:rPr>
        <w:t>1. 职能职责</w:t>
      </w:r>
    </w:p>
    <w:p>
      <w:pPr>
        <w:spacing w:line="596"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负责国家农业科技园区现代农业、涉农工业、中小企业、商贸物流、休闲农业等相关产业发展，推进一、二、三产业融合发展；</w:t>
      </w:r>
    </w:p>
    <w:p>
      <w:pPr>
        <w:spacing w:line="596"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负责国家农业科技园区规划建设；</w:t>
      </w:r>
    </w:p>
    <w:p>
      <w:pPr>
        <w:spacing w:line="596"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负责组织实施国家农业科技园区农田水利设施和市政设施建设，协助有关部门开展土地利用工作；</w:t>
      </w:r>
    </w:p>
    <w:p>
      <w:pPr>
        <w:spacing w:line="596"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按规定负责国家农业科技园区经济板块招商工作，初步审查项目的准入；</w:t>
      </w:r>
    </w:p>
    <w:p>
      <w:pPr>
        <w:spacing w:line="596"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负责国家农业科技园区建设资金的筹集、使用和偿还；</w:t>
      </w:r>
    </w:p>
    <w:p>
      <w:pPr>
        <w:spacing w:line="596"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承办区委、区政府交办的其他工作。</w:t>
      </w:r>
    </w:p>
    <w:p>
      <w:pPr>
        <w:spacing w:line="596" w:lineRule="exact"/>
        <w:ind w:firstLine="640" w:firstLineChars="200"/>
        <w:rPr>
          <w:rFonts w:eastAsia="方正仿宋_GBK"/>
          <w:sz w:val="32"/>
          <w:szCs w:val="32"/>
        </w:rPr>
      </w:pPr>
      <w:r>
        <w:rPr>
          <w:rFonts w:hint="eastAsia" w:eastAsia="方正仿宋_GBK"/>
          <w:sz w:val="32"/>
          <w:szCs w:val="32"/>
        </w:rPr>
        <w:t>重庆市璧山区农业科技创新中心为我部门管理的财政全额补助公益一类事业单位主要职责如下：</w:t>
      </w:r>
    </w:p>
    <w:p>
      <w:pPr>
        <w:spacing w:line="596" w:lineRule="exact"/>
        <w:ind w:firstLine="640" w:firstLineChars="200"/>
        <w:rPr>
          <w:rFonts w:eastAsia="方正仿宋_GBK"/>
          <w:sz w:val="32"/>
          <w:szCs w:val="32"/>
        </w:rPr>
      </w:pPr>
      <w:r>
        <w:rPr>
          <w:rFonts w:hint="eastAsia" w:eastAsia="方正仿宋_GBK"/>
          <w:sz w:val="32"/>
          <w:szCs w:val="32"/>
        </w:rPr>
        <w:t>（1）协助主管部门做好农业科技园区现代农业、休闲农业、农业科技发展工作；</w:t>
      </w:r>
    </w:p>
    <w:p>
      <w:pPr>
        <w:spacing w:line="596" w:lineRule="exact"/>
        <w:ind w:firstLine="640" w:firstLineChars="200"/>
        <w:rPr>
          <w:rFonts w:eastAsia="方正仿宋_GBK"/>
          <w:sz w:val="32"/>
          <w:szCs w:val="32"/>
        </w:rPr>
      </w:pPr>
      <w:r>
        <w:rPr>
          <w:rFonts w:hint="eastAsia" w:eastAsia="方正仿宋_GBK"/>
          <w:sz w:val="32"/>
          <w:szCs w:val="32"/>
        </w:rPr>
        <w:t>（2）负责国家农业科技园区农业新技术、新产品的研发、试验、引进、科普、示范、推广、培训、成果转化等工作；</w:t>
      </w:r>
    </w:p>
    <w:p>
      <w:pPr>
        <w:spacing w:line="596" w:lineRule="exact"/>
        <w:ind w:firstLine="640" w:firstLineChars="200"/>
        <w:rPr>
          <w:rFonts w:eastAsia="方正仿宋_GBK"/>
          <w:sz w:val="32"/>
          <w:szCs w:val="32"/>
        </w:rPr>
      </w:pPr>
      <w:r>
        <w:rPr>
          <w:rFonts w:hint="eastAsia" w:eastAsia="方正仿宋_GBK"/>
          <w:sz w:val="32"/>
          <w:szCs w:val="32"/>
        </w:rPr>
        <w:t>（3）协助主管部门做好农业科技园区农业项目申报、实施、农产品质量安全工作；</w:t>
      </w:r>
    </w:p>
    <w:p>
      <w:pPr>
        <w:spacing w:line="596" w:lineRule="exact"/>
        <w:ind w:firstLine="640" w:firstLineChars="200"/>
        <w:rPr>
          <w:rFonts w:eastAsia="方正仿宋_GBK"/>
          <w:sz w:val="32"/>
          <w:szCs w:val="32"/>
        </w:rPr>
      </w:pPr>
      <w:r>
        <w:rPr>
          <w:rFonts w:hint="eastAsia" w:eastAsia="方正仿宋_GBK"/>
          <w:sz w:val="32"/>
          <w:szCs w:val="32"/>
        </w:rPr>
        <w:t>（4）协助主管部门做好农业经济统计与分析工作；</w:t>
      </w:r>
    </w:p>
    <w:p>
      <w:pPr>
        <w:spacing w:line="596" w:lineRule="exact"/>
        <w:ind w:firstLine="640" w:firstLineChars="200"/>
        <w:rPr>
          <w:rFonts w:eastAsia="方正仿宋_GBK"/>
          <w:sz w:val="32"/>
          <w:szCs w:val="32"/>
        </w:rPr>
      </w:pPr>
      <w:r>
        <w:rPr>
          <w:rFonts w:hint="eastAsia" w:eastAsia="方正仿宋_GBK"/>
          <w:sz w:val="32"/>
          <w:szCs w:val="32"/>
        </w:rPr>
        <w:t>（5）承办国家农业科技园区党工委、管委会交办的其他事项。</w:t>
      </w:r>
    </w:p>
    <w:p>
      <w:pPr>
        <w:spacing w:line="596" w:lineRule="exact"/>
        <w:ind w:firstLine="640" w:firstLineChars="200"/>
        <w:rPr>
          <w:rFonts w:eastAsia="方正仿宋_GBK"/>
          <w:sz w:val="32"/>
          <w:szCs w:val="32"/>
        </w:rPr>
      </w:pPr>
      <w:r>
        <w:rPr>
          <w:rFonts w:hint="eastAsia" w:eastAsia="方正仿宋_GBK"/>
          <w:sz w:val="32"/>
          <w:szCs w:val="32"/>
        </w:rPr>
        <w:t>2. 单位构成</w:t>
      </w:r>
    </w:p>
    <w:p>
      <w:pPr>
        <w:spacing w:line="596" w:lineRule="exact"/>
        <w:ind w:firstLine="640" w:firstLineChars="200"/>
        <w:rPr>
          <w:rFonts w:eastAsia="方正仿宋_GBK"/>
          <w:sz w:val="32"/>
          <w:szCs w:val="32"/>
        </w:rPr>
      </w:pPr>
      <w:r>
        <w:rPr>
          <w:rFonts w:eastAsia="方正仿宋_GBK"/>
          <w:sz w:val="32"/>
          <w:szCs w:val="32"/>
        </w:rPr>
        <w:t>根据上述职责，中共重庆市璧山区委国家农业科技园区工作委员会和重庆璧山国家农业科技园区管理委员会设内设机构5个：综合部、规划建设部（挂安全办公室牌子）、土地利用部、招商服务部、财务部，内设机构为正科级。</w:t>
      </w:r>
    </w:p>
    <w:p>
      <w:pPr>
        <w:numPr>
          <w:ilvl w:val="0"/>
          <w:numId w:val="1"/>
        </w:numPr>
        <w:spacing w:line="596" w:lineRule="exact"/>
        <w:ind w:firstLine="640" w:firstLineChars="200"/>
        <w:rPr>
          <w:rFonts w:eastAsia="方正仿宋_GBK"/>
          <w:sz w:val="32"/>
          <w:szCs w:val="32"/>
        </w:rPr>
      </w:pPr>
      <w:r>
        <w:rPr>
          <w:rFonts w:hint="eastAsia" w:eastAsia="方正仿宋_GBK"/>
          <w:sz w:val="32"/>
          <w:szCs w:val="32"/>
        </w:rPr>
        <w:t>人员编制情况</w:t>
      </w:r>
    </w:p>
    <w:p>
      <w:pPr>
        <w:spacing w:line="596" w:lineRule="exact"/>
        <w:ind w:firstLine="640" w:firstLineChars="200"/>
        <w:rPr>
          <w:rFonts w:eastAsia="方正仿宋_GBK"/>
          <w:sz w:val="32"/>
          <w:szCs w:val="32"/>
        </w:rPr>
      </w:pPr>
      <w:r>
        <w:rPr>
          <w:rFonts w:hint="eastAsia" w:eastAsia="方正仿宋_GBK"/>
          <w:sz w:val="32"/>
          <w:szCs w:val="32"/>
        </w:rPr>
        <w:t>中共重庆市璧山区委国家农业科技园区工作委员会和重庆璧山国家农业科技园区管理委员会核定事业编制20名（干部）。核定党工委书记1名，管委会主任1名，党政正职由区领导兼任；核定党工委专职副书记1名，管委会专职副主任3名（其中常务副主任1名），党工委专职副书记、管委会常务副主任按正处级配备；管委会主任和常务副主任兼任党工委副书记，党工委专职副书记兼任管委会副主任。核定内设机构负责人职数10名（正职5名，副职5名）。纪工委书记按区委有关规定配备。</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p>
    <w:p>
      <w:pPr>
        <w:spacing w:line="596" w:lineRule="exact"/>
        <w:ind w:firstLine="640" w:firstLineChars="200"/>
        <w:rPr>
          <w:rFonts w:eastAsia="方正仿宋_GBK"/>
          <w:sz w:val="32"/>
          <w:szCs w:val="32"/>
        </w:rPr>
      </w:pPr>
      <w:r>
        <w:rPr>
          <w:rFonts w:hint="eastAsia" w:eastAsia="方正仿宋_GBK"/>
          <w:sz w:val="32"/>
          <w:szCs w:val="32"/>
        </w:rPr>
        <w:t>我单位2021年财政拨款收入共计30,730,097.71元，其中，一般公共预算财政拨款收入19,152,550.32元，政府性基金预算财政拨款收入9,189,509.89元，国有资本经营预算财政拨款收入2,163,000元，上年结转收入225,037.50元；截止2021年12月31日，我单位共计支出30,730,097.71元，其中：基本支出6,451,217.34元，项目支出24,278,880.37元。</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（一）绩效评价目的</w:t>
      </w:r>
    </w:p>
    <w:p>
      <w:pPr>
        <w:spacing w:line="596" w:lineRule="exact"/>
        <w:ind w:firstLine="640" w:firstLineChars="200"/>
        <w:rPr>
          <w:rFonts w:eastAsia="方正仿宋_GBK"/>
          <w:sz w:val="32"/>
          <w:szCs w:val="32"/>
        </w:rPr>
      </w:pPr>
      <w:r>
        <w:rPr>
          <w:rFonts w:hint="eastAsia" w:eastAsia="方正仿宋_GBK"/>
          <w:sz w:val="32"/>
          <w:szCs w:val="32"/>
        </w:rPr>
        <w:t>通过开展整体支出绩效自评，促进我单位从整体上提升预算绩效管理工作水平，强化支出责任，规范资金管理行为，提高财政资金使用效益，保障我单位更好的履行职能。</w:t>
      </w:r>
    </w:p>
    <w:p>
      <w:pPr>
        <w:spacing w:line="596" w:lineRule="exact"/>
        <w:ind w:firstLine="640" w:firstLineChars="200"/>
        <w:rPr>
          <w:rFonts w:eastAsia="方正仿宋_GBK"/>
          <w:sz w:val="32"/>
          <w:szCs w:val="32"/>
        </w:rPr>
      </w:pPr>
      <w:r>
        <w:rPr>
          <w:rFonts w:eastAsia="方正仿宋_GBK"/>
          <w:sz w:val="32"/>
          <w:szCs w:val="32"/>
        </w:rPr>
        <w:t>（二）绩效评价原则</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1. 科学规范原则。绩效评价应当严格执行规定的程序，按照科学可行的要求，采用定量与定性分析相结合的方法。</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2. 公正公开原则。绩效评价应当符合真实、客观、公正的要求，依法公开并接受监督。</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3. 绩效相关原则。绩效评价应当针对具体支出及其产出绩效进行，评价结果应当清晰反映支出和产出绩效之间的紧密对应关系。</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6" w:lineRule="exact"/>
        <w:ind w:firstLine="640" w:firstLineChars="200"/>
        <w:rPr>
          <w:rFonts w:eastAsia="方正仿宋_GBK"/>
          <w:sz w:val="32"/>
          <w:szCs w:val="32"/>
        </w:rPr>
      </w:pPr>
      <w:r>
        <w:rPr>
          <w:rFonts w:hint="eastAsia" w:eastAsia="方正仿宋_GBK"/>
          <w:sz w:val="32"/>
          <w:szCs w:val="32"/>
        </w:rPr>
        <w:t>1. 前期准备</w:t>
      </w:r>
    </w:p>
    <w:p>
      <w:pPr>
        <w:spacing w:line="596" w:lineRule="exact"/>
        <w:ind w:firstLine="640" w:firstLineChars="200"/>
        <w:rPr>
          <w:rFonts w:eastAsia="方正仿宋_GBK"/>
          <w:sz w:val="32"/>
          <w:szCs w:val="32"/>
        </w:rPr>
      </w:pPr>
      <w:r>
        <w:rPr>
          <w:rFonts w:hint="eastAsia" w:eastAsia="方正仿宋_GBK"/>
          <w:sz w:val="32"/>
          <w:szCs w:val="32"/>
        </w:rPr>
        <w:t>为更好开展绩效自评工作，我单位接收到区财政局发布的文件后，迅速了解2021年绩效自评工作要求，了解相关项目支出绩效自评表、部门整体绩效自评表及部门整体绩效自评报告填写规范。</w:t>
      </w:r>
    </w:p>
    <w:p>
      <w:pPr>
        <w:numPr>
          <w:ilvl w:val="0"/>
          <w:numId w:val="2"/>
        </w:numPr>
        <w:spacing w:line="596" w:lineRule="exact"/>
        <w:ind w:firstLine="640" w:firstLineChars="200"/>
        <w:rPr>
          <w:rFonts w:eastAsia="方正仿宋_GBK"/>
          <w:sz w:val="32"/>
          <w:szCs w:val="32"/>
        </w:rPr>
      </w:pPr>
      <w:r>
        <w:rPr>
          <w:rFonts w:hint="eastAsia" w:eastAsia="方正仿宋_GBK"/>
          <w:sz w:val="32"/>
          <w:szCs w:val="32"/>
        </w:rPr>
        <w:t>组织实施</w:t>
      </w:r>
    </w:p>
    <w:p>
      <w:pPr>
        <w:spacing w:line="596" w:lineRule="exact"/>
        <w:ind w:firstLine="640" w:firstLineChars="200"/>
        <w:rPr>
          <w:rFonts w:eastAsia="方正仿宋_GBK"/>
          <w:sz w:val="32"/>
          <w:szCs w:val="32"/>
        </w:rPr>
      </w:pPr>
      <w:r>
        <w:rPr>
          <w:rFonts w:hint="eastAsia" w:eastAsia="方正仿宋_GBK"/>
          <w:sz w:val="32"/>
          <w:szCs w:val="32"/>
        </w:rPr>
        <w:t>我单位财务部负责牵头完成2021年绩效自评工作，出具相关表单、报告并提交至领导审核，各业务科室项目负责人整理项目实施相关资料，包括但不限于工作计划、工作总结、合同、验收资料等。</w:t>
      </w:r>
    </w:p>
    <w:p>
      <w:pPr>
        <w:numPr>
          <w:ilvl w:val="0"/>
          <w:numId w:val="2"/>
        </w:numPr>
        <w:spacing w:line="596" w:lineRule="exact"/>
        <w:ind w:firstLine="640" w:firstLineChars="200"/>
        <w:rPr>
          <w:rFonts w:eastAsia="方正仿宋_GBK"/>
          <w:sz w:val="32"/>
          <w:szCs w:val="32"/>
        </w:rPr>
      </w:pPr>
      <w:r>
        <w:rPr>
          <w:rFonts w:hint="eastAsia" w:eastAsia="方正仿宋_GBK"/>
          <w:sz w:val="32"/>
          <w:szCs w:val="32"/>
        </w:rPr>
        <w:t>分析评价</w:t>
      </w:r>
    </w:p>
    <w:p>
      <w:pPr>
        <w:spacing w:line="596" w:lineRule="exact"/>
        <w:ind w:firstLine="640" w:firstLineChars="200"/>
        <w:rPr>
          <w:rFonts w:eastAsia="方正仿宋_GBK"/>
          <w:sz w:val="32"/>
          <w:szCs w:val="32"/>
        </w:rPr>
      </w:pPr>
      <w:r>
        <w:rPr>
          <w:rFonts w:hint="eastAsia" w:eastAsia="方正仿宋_GBK"/>
          <w:sz w:val="32"/>
          <w:szCs w:val="32"/>
        </w:rPr>
        <w:t>填表人整理、分析、汇总相关信息，撰写报告初稿，绩效自评报告初稿形成之后，经项目负责人、单位领导审核确认，填表人反馈的意见和建议进行分析判断后再行修改，形成最终报告成果。</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hint="eastAsia" w:eastAsia="方正仿宋_GBK"/>
          <w:sz w:val="32"/>
          <w:szCs w:val="32"/>
        </w:rPr>
        <w:t>（一）绩效评价情况</w:t>
      </w:r>
    </w:p>
    <w:p>
      <w:pPr>
        <w:spacing w:line="596" w:lineRule="exact"/>
        <w:ind w:firstLine="640" w:firstLineChars="200"/>
        <w:rPr>
          <w:rFonts w:eastAsia="方正仿宋_GBK"/>
          <w:sz w:val="32"/>
          <w:szCs w:val="32"/>
        </w:rPr>
      </w:pPr>
      <w:r>
        <w:rPr>
          <w:rFonts w:hint="eastAsia" w:eastAsia="方正仿宋_GBK"/>
          <w:sz w:val="32"/>
          <w:szCs w:val="32"/>
        </w:rPr>
        <w:t>1. 预算执行率（10分）</w:t>
      </w:r>
    </w:p>
    <w:p>
      <w:pPr>
        <w:spacing w:line="594" w:lineRule="exact"/>
        <w:ind w:firstLine="640" w:firstLineChars="200"/>
        <w:rPr>
          <w:rFonts w:eastAsia="方正仿宋_GBK"/>
          <w:sz w:val="32"/>
          <w:szCs w:val="32"/>
        </w:rPr>
      </w:pPr>
      <w:r>
        <w:rPr>
          <w:rFonts w:hint="eastAsia" w:eastAsia="方正仿宋_GBK"/>
          <w:sz w:val="32"/>
          <w:szCs w:val="32"/>
        </w:rPr>
        <w:t>2021年度，我单位年初预算15,817,450.84元，全年（调整）预30,730,097.71元，全年执行30,730,097.71元，预算执行率达100%，</w:t>
      </w:r>
      <w:r>
        <w:rPr>
          <w:rFonts w:eastAsia="方正仿宋_GBK"/>
          <w:sz w:val="32"/>
          <w:szCs w:val="32"/>
        </w:rPr>
        <w:t>该指标绩效评价得分为</w:t>
      </w:r>
      <w:r>
        <w:rPr>
          <w:rFonts w:hint="eastAsia" w:eastAsia="方正仿宋_GBK"/>
          <w:sz w:val="32"/>
          <w:szCs w:val="32"/>
        </w:rPr>
        <w:t>10</w:t>
      </w:r>
      <w:r>
        <w:rPr>
          <w:rFonts w:eastAsia="方正仿宋_GBK"/>
          <w:sz w:val="32"/>
          <w:szCs w:val="32"/>
        </w:rPr>
        <w:t>分。</w:t>
      </w:r>
    </w:p>
    <w:p>
      <w:pPr>
        <w:numPr>
          <w:ilvl w:val="0"/>
          <w:numId w:val="3"/>
        </w:numPr>
        <w:spacing w:line="596" w:lineRule="exact"/>
        <w:ind w:firstLine="640" w:firstLineChars="200"/>
        <w:rPr>
          <w:rFonts w:eastAsia="方正仿宋_GBK"/>
          <w:sz w:val="32"/>
          <w:szCs w:val="32"/>
        </w:rPr>
      </w:pPr>
      <w:r>
        <w:rPr>
          <w:rFonts w:hint="eastAsia" w:eastAsia="方正仿宋_GBK"/>
          <w:sz w:val="32"/>
          <w:szCs w:val="32"/>
        </w:rPr>
        <w:t>预决算公开率（15分）</w:t>
      </w:r>
    </w:p>
    <w:p>
      <w:pPr>
        <w:spacing w:line="594" w:lineRule="exact"/>
        <w:ind w:firstLine="640" w:firstLineChars="200"/>
        <w:rPr>
          <w:rFonts w:eastAsia="方正仿宋_GBK"/>
          <w:sz w:val="32"/>
          <w:szCs w:val="32"/>
        </w:rPr>
      </w:pPr>
      <w:r>
        <w:rPr>
          <w:rFonts w:hint="eastAsia" w:eastAsia="方正仿宋_GBK"/>
          <w:sz w:val="32"/>
          <w:szCs w:val="32"/>
        </w:rPr>
        <w:t>我单位严格按照重庆市璧山区财政局（以下简称“区财政局”）的要求，在规定时间内完成了2021年度的预算、决算编制、公开工作，对要求应公开的信息予以公开，预决算公开率达100%，</w:t>
      </w:r>
      <w:r>
        <w:rPr>
          <w:rFonts w:eastAsia="方正仿宋_GBK"/>
          <w:sz w:val="32"/>
          <w:szCs w:val="32"/>
        </w:rPr>
        <w:t>该指标绩效评价得分为</w:t>
      </w:r>
      <w:r>
        <w:rPr>
          <w:rFonts w:hint="eastAsia" w:eastAsia="方正仿宋_GBK"/>
          <w:sz w:val="32"/>
          <w:szCs w:val="32"/>
        </w:rPr>
        <w:t>15</w:t>
      </w:r>
      <w:r>
        <w:rPr>
          <w:rFonts w:eastAsia="方正仿宋_GBK"/>
          <w:sz w:val="32"/>
          <w:szCs w:val="32"/>
        </w:rPr>
        <w:t>分。</w:t>
      </w:r>
    </w:p>
    <w:p>
      <w:pPr>
        <w:numPr>
          <w:ilvl w:val="0"/>
          <w:numId w:val="3"/>
        </w:numPr>
        <w:spacing w:line="596" w:lineRule="exact"/>
        <w:ind w:firstLine="640" w:firstLineChars="200"/>
        <w:rPr>
          <w:rFonts w:eastAsia="方正仿宋_GBK"/>
          <w:sz w:val="32"/>
          <w:szCs w:val="32"/>
        </w:rPr>
      </w:pPr>
      <w:r>
        <w:rPr>
          <w:rFonts w:hint="eastAsia" w:eastAsia="方正仿宋_GBK"/>
          <w:sz w:val="32"/>
          <w:szCs w:val="32"/>
        </w:rPr>
        <w:t>引进优质企业数量（15分）</w:t>
      </w:r>
    </w:p>
    <w:p>
      <w:pPr>
        <w:spacing w:line="594" w:lineRule="exact"/>
        <w:ind w:firstLine="640" w:firstLineChars="200"/>
        <w:rPr>
          <w:rFonts w:eastAsia="方正仿宋_GBK"/>
          <w:sz w:val="32"/>
          <w:szCs w:val="32"/>
        </w:rPr>
      </w:pPr>
      <w:r>
        <w:rPr>
          <w:rFonts w:hint="eastAsia" w:eastAsia="方正仿宋_GBK"/>
          <w:sz w:val="32"/>
          <w:szCs w:val="32"/>
        </w:rPr>
        <w:t>2021年度，我单位积极开展招商引资工作，制作招商引资资料，收集龙头企业信息，</w:t>
      </w:r>
      <w:r>
        <w:rPr>
          <w:rFonts w:hint="eastAsia" w:ascii="方正仿宋_GBK" w:hAnsi="方正仿宋_GBK" w:eastAsia="方正仿宋_GBK" w:cs="方正仿宋_GBK"/>
          <w:sz w:val="32"/>
          <w:szCs w:val="32"/>
        </w:rPr>
        <w:t>并向品牌农业企业全国前</w:t>
      </w:r>
      <w:r>
        <w:rPr>
          <w:rFonts w:hint="eastAsia" w:eastAsia="方正仿宋_GBK"/>
          <w:sz w:val="32"/>
          <w:szCs w:val="32"/>
        </w:rPr>
        <w:t>10强、</w:t>
      </w:r>
      <w:r>
        <w:rPr>
          <w:rFonts w:hint="eastAsia" w:ascii="方正仿宋_GBK" w:hAnsi="方正仿宋_GBK" w:eastAsia="方正仿宋_GBK" w:cs="方正仿宋_GBK"/>
          <w:sz w:val="32"/>
          <w:szCs w:val="32"/>
        </w:rPr>
        <w:t>创新农业企业全国前</w:t>
      </w:r>
      <w:r>
        <w:rPr>
          <w:rFonts w:hint="eastAsia" w:eastAsia="方正仿宋_GBK"/>
          <w:sz w:val="32"/>
          <w:szCs w:val="32"/>
        </w:rPr>
        <w:t>10强</w:t>
      </w:r>
      <w:r>
        <w:rPr>
          <w:rFonts w:hint="eastAsia" w:ascii="方正仿宋_GBK" w:hAnsi="方正仿宋_GBK" w:eastAsia="方正仿宋_GBK" w:cs="方正仿宋_GBK"/>
          <w:sz w:val="32"/>
          <w:szCs w:val="32"/>
        </w:rPr>
        <w:t>、出口农业企业全国</w:t>
      </w:r>
      <w:r>
        <w:rPr>
          <w:rFonts w:hint="eastAsia" w:eastAsia="方正仿宋_GBK"/>
          <w:sz w:val="32"/>
          <w:szCs w:val="32"/>
        </w:rPr>
        <w:t>前10强</w:t>
      </w:r>
      <w:r>
        <w:rPr>
          <w:rFonts w:hint="eastAsia" w:ascii="方正仿宋_GBK" w:hAnsi="方正仿宋_GBK" w:eastAsia="方正仿宋_GBK" w:cs="方正仿宋_GBK"/>
          <w:sz w:val="32"/>
          <w:szCs w:val="32"/>
        </w:rPr>
        <w:t>等企业推送了璧山区区位优势和农业产业发展定位等信息，还向这些企业发出邀请函邀请来璧实地考察。共对接联系考察客</w:t>
      </w:r>
      <w:r>
        <w:rPr>
          <w:rFonts w:hint="eastAsia" w:eastAsia="方正仿宋_GBK"/>
          <w:sz w:val="32"/>
          <w:szCs w:val="32"/>
        </w:rPr>
        <w:t>商160余</w:t>
      </w:r>
      <w:r>
        <w:rPr>
          <w:rFonts w:hint="eastAsia" w:ascii="方正仿宋_GBK" w:hAnsi="方正仿宋_GBK" w:eastAsia="方正仿宋_GBK" w:cs="方正仿宋_GBK"/>
          <w:sz w:val="32"/>
          <w:szCs w:val="32"/>
        </w:rPr>
        <w:t>人次，对接企</w:t>
      </w:r>
      <w:r>
        <w:rPr>
          <w:rFonts w:hint="eastAsia" w:eastAsia="方正仿宋_GBK"/>
          <w:sz w:val="32"/>
          <w:szCs w:val="32"/>
        </w:rPr>
        <w:t>业60余</w:t>
      </w:r>
      <w:r>
        <w:rPr>
          <w:rFonts w:hint="eastAsia" w:ascii="方正仿宋_GBK" w:hAnsi="方正仿宋_GBK" w:eastAsia="方正仿宋_GBK" w:cs="方正仿宋_GBK"/>
          <w:sz w:val="32"/>
          <w:szCs w:val="32"/>
        </w:rPr>
        <w:t>家，有</w:t>
      </w:r>
      <w:r>
        <w:rPr>
          <w:rFonts w:hint="eastAsia" w:eastAsia="方正仿宋_GBK"/>
          <w:sz w:val="32"/>
          <w:szCs w:val="32"/>
        </w:rPr>
        <w:t>35家企业</w:t>
      </w:r>
      <w:r>
        <w:rPr>
          <w:rFonts w:hint="eastAsia" w:ascii="方正仿宋_GBK" w:hAnsi="方正仿宋_GBK" w:eastAsia="方正仿宋_GBK" w:cs="方正仿宋_GBK"/>
          <w:sz w:val="32"/>
          <w:szCs w:val="32"/>
        </w:rPr>
        <w:t>已到璧山进行实地考察。截止目前已签约</w:t>
      </w:r>
      <w:r>
        <w:rPr>
          <w:rFonts w:hint="eastAsia" w:eastAsia="方正仿宋_GBK"/>
          <w:sz w:val="32"/>
          <w:szCs w:val="32"/>
        </w:rPr>
        <w:t>8个</w:t>
      </w:r>
      <w:r>
        <w:rPr>
          <w:rFonts w:hint="eastAsia" w:ascii="方正仿宋_GBK" w:hAnsi="方正仿宋_GBK" w:eastAsia="方正仿宋_GBK" w:cs="方正仿宋_GBK"/>
          <w:sz w:val="32"/>
          <w:szCs w:val="32"/>
        </w:rPr>
        <w:t>项目，</w:t>
      </w:r>
      <w:r>
        <w:rPr>
          <w:rFonts w:hint="eastAsia" w:eastAsia="方正仿宋_GBK"/>
          <w:sz w:val="32"/>
          <w:szCs w:val="32"/>
        </w:rPr>
        <w:t>实际引进优质企业数大于目标设定值，该指标绩效评价得分为15分。</w:t>
      </w:r>
    </w:p>
    <w:p>
      <w:pPr>
        <w:numPr>
          <w:ilvl w:val="0"/>
          <w:numId w:val="3"/>
        </w:numPr>
        <w:spacing w:line="594" w:lineRule="exact"/>
        <w:ind w:firstLine="640" w:firstLineChars="200"/>
        <w:rPr>
          <w:rFonts w:eastAsia="方正仿宋_GBK"/>
          <w:sz w:val="32"/>
          <w:szCs w:val="32"/>
        </w:rPr>
      </w:pPr>
      <w:r>
        <w:rPr>
          <w:rFonts w:eastAsia="方正仿宋_GBK"/>
          <w:sz w:val="32"/>
          <w:szCs w:val="32"/>
        </w:rPr>
        <w:t>项目绩效管理率</w:t>
      </w:r>
      <w:r>
        <w:rPr>
          <w:rFonts w:hint="eastAsia" w:eastAsia="方正仿宋_GBK"/>
          <w:sz w:val="32"/>
          <w:szCs w:val="32"/>
        </w:rPr>
        <w:t>（15分）</w:t>
      </w:r>
    </w:p>
    <w:p>
      <w:pPr>
        <w:spacing w:line="594" w:lineRule="exact"/>
        <w:ind w:firstLine="640" w:firstLineChars="200"/>
        <w:rPr>
          <w:rFonts w:eastAsia="方正仿宋_GBK"/>
          <w:sz w:val="32"/>
          <w:szCs w:val="32"/>
        </w:rPr>
      </w:pPr>
      <w:r>
        <w:rPr>
          <w:rFonts w:hint="eastAsia" w:eastAsia="方正仿宋_GBK"/>
          <w:sz w:val="32"/>
          <w:szCs w:val="32"/>
        </w:rPr>
        <w:t>2021年度，我单位预算绩效管理工作贯穿预算绩效目标编制、绩效评估、绩效监控及绩效评价全过程，预算目标编制及绩效评估方面，我单位按时按规定编制2</w:t>
      </w:r>
      <w:r>
        <w:rPr>
          <w:rFonts w:eastAsia="方正仿宋_GBK"/>
          <w:sz w:val="32"/>
          <w:szCs w:val="32"/>
        </w:rPr>
        <w:t>022年预算绩效，对</w:t>
      </w:r>
      <w:r>
        <w:rPr>
          <w:rFonts w:hint="eastAsia" w:eastAsia="方正仿宋_GBK"/>
          <w:sz w:val="32"/>
          <w:szCs w:val="32"/>
        </w:rPr>
        <w:t>2</w:t>
      </w:r>
      <w:r>
        <w:rPr>
          <w:rFonts w:eastAsia="方正仿宋_GBK"/>
          <w:sz w:val="32"/>
          <w:szCs w:val="32"/>
        </w:rPr>
        <w:t>022年度新增项目开展事前绩效评估；绩效运行监控方面，</w:t>
      </w:r>
      <w:r>
        <w:rPr>
          <w:rFonts w:hint="eastAsia" w:eastAsia="方正仿宋_GBK"/>
          <w:sz w:val="32"/>
          <w:szCs w:val="32"/>
        </w:rPr>
        <w:t>2</w:t>
      </w:r>
      <w:r>
        <w:rPr>
          <w:rFonts w:eastAsia="方正仿宋_GBK"/>
          <w:sz w:val="32"/>
          <w:szCs w:val="32"/>
        </w:rPr>
        <w:t>021年</w:t>
      </w:r>
      <w:r>
        <w:rPr>
          <w:rFonts w:hint="eastAsia" w:eastAsia="方正仿宋_GBK"/>
          <w:sz w:val="32"/>
          <w:szCs w:val="32"/>
        </w:rPr>
        <w:t>我单位对部门整体和项目绩效目标从项目实现进度及预算执行率两方面进行追踪监控；绩效评价方面，2</w:t>
      </w:r>
      <w:r>
        <w:rPr>
          <w:rFonts w:eastAsia="方正仿宋_GBK"/>
          <w:sz w:val="32"/>
          <w:szCs w:val="32"/>
        </w:rPr>
        <w:t>021年度，我</w:t>
      </w:r>
      <w:r>
        <w:rPr>
          <w:rFonts w:hint="eastAsia" w:eastAsia="方正仿宋_GBK"/>
          <w:sz w:val="32"/>
          <w:szCs w:val="32"/>
        </w:rPr>
        <w:t>单位对2</w:t>
      </w:r>
      <w:r>
        <w:rPr>
          <w:rFonts w:eastAsia="方正仿宋_GBK"/>
          <w:sz w:val="32"/>
          <w:szCs w:val="32"/>
        </w:rPr>
        <w:t>020年实施的</w:t>
      </w:r>
      <w:r>
        <w:rPr>
          <w:rFonts w:hint="eastAsia" w:eastAsia="方正仿宋_GBK"/>
          <w:sz w:val="32"/>
          <w:szCs w:val="32"/>
        </w:rPr>
        <w:t>1</w:t>
      </w:r>
      <w:r>
        <w:rPr>
          <w:rFonts w:eastAsia="方正仿宋_GBK"/>
          <w:sz w:val="32"/>
          <w:szCs w:val="32"/>
        </w:rPr>
        <w:t>6个</w:t>
      </w:r>
      <w:r>
        <w:rPr>
          <w:rFonts w:hint="eastAsia" w:eastAsia="方正仿宋_GBK"/>
          <w:sz w:val="32"/>
          <w:szCs w:val="32"/>
        </w:rPr>
        <w:t>预算项目展开了绩效自评并形成项目支出绩效自评表，对部门整体工作进行自评，并形成部门整体自评报告，项目绩效管理率达1</w:t>
      </w:r>
      <w:r>
        <w:rPr>
          <w:rFonts w:eastAsia="方正仿宋_GBK"/>
          <w:sz w:val="32"/>
          <w:szCs w:val="32"/>
        </w:rPr>
        <w:t>00%</w:t>
      </w:r>
      <w:r>
        <w:rPr>
          <w:rFonts w:hint="eastAsia" w:eastAsia="方正仿宋_GBK"/>
          <w:sz w:val="32"/>
          <w:szCs w:val="32"/>
        </w:rPr>
        <w:t>，该指标绩效评价综合得分15分。</w:t>
      </w:r>
    </w:p>
    <w:p>
      <w:pPr>
        <w:numPr>
          <w:ilvl w:val="0"/>
          <w:numId w:val="3"/>
        </w:numPr>
        <w:spacing w:line="594" w:lineRule="exact"/>
        <w:ind w:firstLine="640" w:firstLineChars="200"/>
        <w:rPr>
          <w:rFonts w:eastAsia="方正仿宋_GBK"/>
          <w:sz w:val="32"/>
          <w:szCs w:val="32"/>
        </w:rPr>
      </w:pPr>
      <w:r>
        <w:rPr>
          <w:rFonts w:eastAsia="方正仿宋_GBK"/>
          <w:sz w:val="32"/>
          <w:szCs w:val="32"/>
        </w:rPr>
        <w:t>蔬菜企业满意度</w:t>
      </w:r>
      <w:r>
        <w:rPr>
          <w:rFonts w:hint="eastAsia" w:eastAsia="方正仿宋_GBK"/>
          <w:sz w:val="32"/>
          <w:szCs w:val="32"/>
        </w:rPr>
        <w:t>（15分）</w:t>
      </w:r>
    </w:p>
    <w:p>
      <w:pPr>
        <w:spacing w:line="594" w:lineRule="exact"/>
        <w:ind w:firstLine="640" w:firstLineChars="200"/>
        <w:rPr>
          <w:rFonts w:eastAsia="方正仿宋_GBK"/>
          <w:sz w:val="32"/>
          <w:szCs w:val="32"/>
        </w:rPr>
      </w:pPr>
      <w:r>
        <w:rPr>
          <w:rFonts w:hint="eastAsia" w:eastAsia="方正仿宋_GBK"/>
          <w:sz w:val="32"/>
          <w:szCs w:val="32"/>
        </w:rPr>
        <w:t>2021年度，通过走访、调查等方式，对蔬菜企业进行了满意度调查，经调查，蔬菜企业对单位年度工作综合满意度达90%以上，达到年度设定目标，故该指标绩效评价综合得分15分。</w:t>
      </w:r>
    </w:p>
    <w:p>
      <w:pPr>
        <w:numPr>
          <w:ilvl w:val="0"/>
          <w:numId w:val="3"/>
        </w:numPr>
        <w:spacing w:line="594" w:lineRule="exact"/>
        <w:ind w:firstLine="640" w:firstLineChars="200"/>
        <w:rPr>
          <w:rFonts w:eastAsia="方正仿宋_GBK"/>
          <w:sz w:val="32"/>
          <w:szCs w:val="32"/>
        </w:rPr>
      </w:pPr>
      <w:r>
        <w:rPr>
          <w:rFonts w:eastAsia="方正仿宋_GBK"/>
          <w:sz w:val="32"/>
          <w:szCs w:val="32"/>
        </w:rPr>
        <w:t>蔬菜企业参保率</w:t>
      </w:r>
      <w:r>
        <w:rPr>
          <w:rFonts w:hint="eastAsia" w:eastAsia="方正仿宋_GBK"/>
          <w:sz w:val="32"/>
          <w:szCs w:val="32"/>
        </w:rPr>
        <w:t>（15分）</w:t>
      </w:r>
    </w:p>
    <w:p>
      <w:pPr>
        <w:spacing w:line="594" w:lineRule="exact"/>
        <w:ind w:firstLine="640" w:firstLineChars="200"/>
        <w:rPr>
          <w:rFonts w:hint="eastAsia" w:eastAsia="方正仿宋_GBK"/>
          <w:sz w:val="32"/>
          <w:szCs w:val="32"/>
        </w:rPr>
      </w:pPr>
      <w:r>
        <w:rPr>
          <w:rFonts w:hint="eastAsia" w:eastAsia="方正仿宋_GBK"/>
          <w:sz w:val="32"/>
          <w:szCs w:val="32"/>
        </w:rPr>
        <w:t>2021年度，蔬菜种植保险承保自然灾害补助面积达</w:t>
      </w:r>
      <w:r>
        <w:rPr>
          <w:rFonts w:eastAsia="方正仿宋_GBK"/>
          <w:sz w:val="32"/>
          <w:szCs w:val="32"/>
        </w:rPr>
        <w:t>3588.66亩，投保户数达</w:t>
      </w:r>
      <w:r>
        <w:rPr>
          <w:rFonts w:hint="eastAsia" w:eastAsia="方正仿宋_GBK"/>
          <w:sz w:val="32"/>
          <w:szCs w:val="32"/>
        </w:rPr>
        <w:t>3</w:t>
      </w:r>
      <w:r>
        <w:rPr>
          <w:rFonts w:eastAsia="方正仿宋_GBK"/>
          <w:sz w:val="32"/>
          <w:szCs w:val="32"/>
        </w:rPr>
        <w:t>5户；蔬菜价格指数保险承保</w:t>
      </w:r>
      <w:r>
        <w:rPr>
          <w:rFonts w:hint="eastAsia" w:eastAsia="方正仿宋_GBK"/>
          <w:sz w:val="32"/>
          <w:szCs w:val="32"/>
        </w:rPr>
        <w:t>5</w:t>
      </w:r>
      <w:r>
        <w:rPr>
          <w:rFonts w:eastAsia="方正仿宋_GBK"/>
          <w:sz w:val="32"/>
          <w:szCs w:val="32"/>
        </w:rPr>
        <w:t>942亩，投保户数达</w:t>
      </w:r>
      <w:r>
        <w:rPr>
          <w:rFonts w:hint="eastAsia" w:eastAsia="方正仿宋_GBK"/>
          <w:sz w:val="32"/>
          <w:szCs w:val="32"/>
        </w:rPr>
        <w:t>4</w:t>
      </w:r>
      <w:r>
        <w:rPr>
          <w:rFonts w:eastAsia="方正仿宋_GBK"/>
          <w:sz w:val="32"/>
          <w:szCs w:val="32"/>
        </w:rPr>
        <w:t>4户；农业雇主责任保险承保</w:t>
      </w:r>
      <w:r>
        <w:rPr>
          <w:rFonts w:hint="eastAsia" w:eastAsia="方正仿宋_GBK"/>
          <w:sz w:val="32"/>
          <w:szCs w:val="32"/>
        </w:rPr>
        <w:t>7</w:t>
      </w:r>
      <w:r>
        <w:rPr>
          <w:rFonts w:eastAsia="方正仿宋_GBK"/>
          <w:sz w:val="32"/>
          <w:szCs w:val="32"/>
        </w:rPr>
        <w:t>770</w:t>
      </w:r>
      <w:r>
        <w:rPr>
          <w:rFonts w:hint="eastAsia" w:eastAsia="方正仿宋_GBK"/>
          <w:sz w:val="32"/>
          <w:szCs w:val="32"/>
        </w:rPr>
        <w:t>.</w:t>
      </w:r>
      <w:r>
        <w:rPr>
          <w:rFonts w:eastAsia="方正仿宋_GBK"/>
          <w:sz w:val="32"/>
          <w:szCs w:val="32"/>
        </w:rPr>
        <w:t>85亩，投保户数达</w:t>
      </w:r>
      <w:r>
        <w:rPr>
          <w:rFonts w:hint="eastAsia" w:eastAsia="方正仿宋_GBK"/>
          <w:sz w:val="32"/>
          <w:szCs w:val="32"/>
        </w:rPr>
        <w:t>6</w:t>
      </w:r>
      <w:r>
        <w:rPr>
          <w:rFonts w:eastAsia="方正仿宋_GBK"/>
          <w:sz w:val="32"/>
          <w:szCs w:val="32"/>
        </w:rPr>
        <w:t>8户；</w:t>
      </w:r>
      <w:r>
        <w:rPr>
          <w:rFonts w:hint="eastAsia" w:eastAsia="方正仿宋_GBK"/>
          <w:sz w:val="32"/>
          <w:szCs w:val="32"/>
        </w:rPr>
        <w:t>2</w:t>
      </w:r>
      <w:r>
        <w:rPr>
          <w:rFonts w:eastAsia="方正仿宋_GBK"/>
          <w:sz w:val="32"/>
          <w:szCs w:val="32"/>
        </w:rPr>
        <w:t>021年度蔬菜种植赔款达</w:t>
      </w:r>
      <w:r>
        <w:rPr>
          <w:rFonts w:hint="eastAsia" w:eastAsia="方正仿宋_GBK"/>
          <w:sz w:val="32"/>
          <w:szCs w:val="32"/>
        </w:rPr>
        <w:t>1</w:t>
      </w:r>
      <w:r>
        <w:rPr>
          <w:rFonts w:eastAsia="方正仿宋_GBK"/>
          <w:sz w:val="32"/>
          <w:szCs w:val="32"/>
        </w:rPr>
        <w:t>2.07万元，价格指数赔款</w:t>
      </w:r>
      <w:r>
        <w:rPr>
          <w:rFonts w:hint="eastAsia" w:eastAsia="方正仿宋_GBK"/>
          <w:sz w:val="32"/>
          <w:szCs w:val="32"/>
        </w:rPr>
        <w:t>4</w:t>
      </w:r>
      <w:r>
        <w:rPr>
          <w:rFonts w:eastAsia="方正仿宋_GBK"/>
          <w:sz w:val="32"/>
          <w:szCs w:val="32"/>
        </w:rPr>
        <w:t>3.58万元，理赔率达</w:t>
      </w:r>
      <w:r>
        <w:rPr>
          <w:rFonts w:hint="eastAsia" w:eastAsia="方正仿宋_GBK"/>
          <w:sz w:val="32"/>
          <w:szCs w:val="32"/>
        </w:rPr>
        <w:t>1</w:t>
      </w:r>
      <w:r>
        <w:rPr>
          <w:rFonts w:eastAsia="方正仿宋_GBK"/>
          <w:sz w:val="32"/>
          <w:szCs w:val="32"/>
        </w:rPr>
        <w:t>00%</w:t>
      </w:r>
      <w:r>
        <w:rPr>
          <w:rFonts w:hint="eastAsia" w:eastAsia="方正仿宋_GBK"/>
          <w:sz w:val="32"/>
          <w:szCs w:val="32"/>
        </w:rPr>
        <w:t>。总体看来，蔬菜企业参保率达9</w:t>
      </w:r>
      <w:r>
        <w:rPr>
          <w:rFonts w:eastAsia="方正仿宋_GBK"/>
          <w:sz w:val="32"/>
          <w:szCs w:val="32"/>
        </w:rPr>
        <w:t>0%以上，达到年度设置的目标值，该指标绩效评价综合得分</w:t>
      </w:r>
      <w:r>
        <w:rPr>
          <w:rFonts w:hint="eastAsia" w:eastAsia="方正仿宋_GBK"/>
          <w:sz w:val="32"/>
          <w:szCs w:val="32"/>
        </w:rPr>
        <w:t>1</w:t>
      </w:r>
      <w:r>
        <w:rPr>
          <w:rFonts w:eastAsia="方正仿宋_GBK"/>
          <w:sz w:val="32"/>
          <w:szCs w:val="32"/>
        </w:rPr>
        <w:t>5分。</w:t>
      </w:r>
    </w:p>
    <w:p>
      <w:pPr>
        <w:numPr>
          <w:ilvl w:val="0"/>
          <w:numId w:val="3"/>
        </w:numPr>
        <w:spacing w:line="594" w:lineRule="exact"/>
        <w:ind w:firstLine="640" w:firstLineChars="200"/>
        <w:rPr>
          <w:rFonts w:eastAsia="方正仿宋_GBK"/>
          <w:sz w:val="32"/>
          <w:szCs w:val="32"/>
        </w:rPr>
      </w:pPr>
      <w:r>
        <w:rPr>
          <w:rFonts w:hint="eastAsia" w:eastAsia="方正仿宋_GBK"/>
          <w:sz w:val="32"/>
          <w:szCs w:val="32"/>
        </w:rPr>
        <w:t>单位职工满意度（15分）</w:t>
      </w:r>
    </w:p>
    <w:p>
      <w:pPr>
        <w:spacing w:line="596" w:lineRule="exact"/>
        <w:ind w:firstLine="640" w:firstLineChars="200"/>
        <w:rPr>
          <w:rFonts w:eastAsia="方正仿宋_GBK"/>
          <w:sz w:val="32"/>
          <w:szCs w:val="32"/>
        </w:rPr>
      </w:pPr>
      <w:r>
        <w:rPr>
          <w:rFonts w:hint="eastAsia" w:eastAsia="方正仿宋_GBK"/>
          <w:sz w:val="32"/>
          <w:szCs w:val="32"/>
        </w:rPr>
        <w:t>2021年度，单位职工对单位年度工作开展情况综合满意度高于90%，达到年初设定的绩效目标，该指标绩效评价综合得分15分。</w:t>
      </w:r>
    </w:p>
    <w:p>
      <w:pPr>
        <w:spacing w:line="596" w:lineRule="exact"/>
        <w:ind w:firstLine="640" w:firstLineChars="200"/>
        <w:rPr>
          <w:rFonts w:eastAsia="方正仿宋_GBK"/>
          <w:sz w:val="32"/>
          <w:szCs w:val="32"/>
        </w:rPr>
      </w:pPr>
      <w:r>
        <w:rPr>
          <w:rFonts w:hint="eastAsia" w:eastAsia="方正仿宋_GBK"/>
          <w:sz w:val="32"/>
          <w:szCs w:val="32"/>
        </w:rPr>
        <w:t>（二）绩效评价结论</w:t>
      </w:r>
    </w:p>
    <w:p>
      <w:pPr>
        <w:spacing w:line="596" w:lineRule="exact"/>
        <w:ind w:firstLine="640" w:firstLineChars="200"/>
        <w:rPr>
          <w:rFonts w:eastAsia="方正仿宋_GBK"/>
          <w:sz w:val="32"/>
          <w:szCs w:val="32"/>
        </w:rPr>
      </w:pPr>
      <w:r>
        <w:rPr>
          <w:rFonts w:hint="eastAsia" w:eastAsia="方正仿宋_GBK"/>
          <w:sz w:val="32"/>
          <w:szCs w:val="32"/>
        </w:rPr>
        <w:t>本次绩效评价综合得分100分，绩效评价等级为“优”。</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、主要经验及做法</w:t>
      </w:r>
    </w:p>
    <w:p>
      <w:pPr>
        <w:spacing w:line="596" w:lineRule="exact"/>
        <w:ind w:firstLine="640" w:firstLineChars="200"/>
        <w:rPr>
          <w:rFonts w:eastAsia="方正仿宋_GBK"/>
          <w:sz w:val="32"/>
          <w:szCs w:val="32"/>
        </w:rPr>
      </w:pPr>
      <w:r>
        <w:rPr>
          <w:rFonts w:hint="eastAsia" w:eastAsia="方正仿宋_GBK"/>
          <w:sz w:val="32"/>
          <w:szCs w:val="32"/>
        </w:rPr>
        <w:t>2021年，我单位严格按照相关政策文件及区政府、区财政局工作要求开展预算绩效管理相关工作，实际做到事前有评估、事中有监控、事后有评价，对单位预算项目进行全过程、全覆盖的绩效管理，且随着区政府、区财政局对预算绩效管理工作的大力推进，单位职工对预算绩效管理的认识正逐步加深，预算绩效管理相关资料填写趋于规范，单位预算绩效管理水平整不断提升。</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w:t>
      </w:r>
    </w:p>
    <w:p>
      <w:pPr>
        <w:spacing w:line="596" w:lineRule="exact"/>
        <w:ind w:firstLine="640" w:firstLineChars="200"/>
        <w:rPr>
          <w:rFonts w:eastAsia="方正仿宋_GBK"/>
          <w:sz w:val="32"/>
          <w:szCs w:val="32"/>
        </w:rPr>
      </w:pPr>
      <w:r>
        <w:rPr>
          <w:rFonts w:hint="eastAsia" w:eastAsia="方正仿宋_GBK"/>
          <w:sz w:val="32"/>
          <w:szCs w:val="32"/>
        </w:rPr>
        <w:t>虽然单位员工对预算绩效管理的了解得到一定程度的提升，但仍有不足，还需安排学习、培训，不断提高单位各科室员工对预算绩效管理的认识。</w:t>
      </w:r>
    </w:p>
    <w:p>
      <w:pPr>
        <w:spacing w:line="596" w:lineRule="exact"/>
        <w:ind w:firstLine="640" w:firstLineChars="200"/>
        <w:rPr>
          <w:rFonts w:eastAsia="方正仿宋_GBK"/>
          <w:sz w:val="32"/>
          <w:szCs w:val="32"/>
        </w:rPr>
      </w:pPr>
      <w:r>
        <w:rPr>
          <w:rFonts w:hint="eastAsia" w:eastAsia="方正黑体_GBK"/>
          <w:sz w:val="32"/>
          <w:szCs w:val="32"/>
        </w:rPr>
        <w:t>六、改进措施、建议</w:t>
      </w:r>
    </w:p>
    <w:p>
      <w:pPr>
        <w:spacing w:line="596" w:lineRule="exact"/>
        <w:ind w:firstLine="640" w:firstLineChars="200"/>
        <w:rPr>
          <w:rFonts w:eastAsia="方正仿宋_GBK"/>
          <w:sz w:val="32"/>
          <w:szCs w:val="32"/>
        </w:rPr>
      </w:pPr>
      <w:r>
        <w:rPr>
          <w:rFonts w:hint="eastAsia" w:eastAsia="方正仿宋_GBK"/>
          <w:sz w:val="32"/>
          <w:szCs w:val="32"/>
        </w:rPr>
        <w:t>组织单位工作人员认真学习预算绩效管理相关法律法规及制度，以此提高单位员工的预算绩效管理意识，提高预算绩效相关资料出具的规范性、准确性。</w:t>
      </w:r>
    </w:p>
    <w:p>
      <w:pPr>
        <w:pStyle w:val="2"/>
      </w:pPr>
    </w:p>
    <w:p>
      <w:pPr>
        <w:pStyle w:val="2"/>
      </w:pPr>
    </w:p>
    <w:p>
      <w:pPr>
        <w:pStyle w:val="2"/>
      </w:pPr>
    </w:p>
    <w:p>
      <w:pPr>
        <w:spacing w:line="596" w:lineRule="exact"/>
        <w:ind w:firstLine="640" w:firstLineChars="200"/>
        <w:jc w:val="right"/>
        <w:rPr>
          <w:rFonts w:eastAsia="方正仿宋_GBK"/>
          <w:sz w:val="32"/>
          <w:szCs w:val="32"/>
        </w:rPr>
      </w:pPr>
      <w:r>
        <w:rPr>
          <w:rFonts w:eastAsia="方正仿宋_GBK"/>
          <w:sz w:val="32"/>
          <w:szCs w:val="32"/>
        </w:rPr>
        <w:t>重庆璧山国家农业科技园区管理委员会</w:t>
      </w:r>
    </w:p>
    <w:p>
      <w:pPr>
        <w:spacing w:line="596" w:lineRule="exact"/>
        <w:ind w:firstLine="640" w:firstLineChars="200"/>
        <w:jc w:val="right"/>
        <w:rPr>
          <w:rFonts w:eastAsia="方正仿宋_GBK"/>
          <w:sz w:val="32"/>
          <w:szCs w:val="32"/>
        </w:rPr>
      </w:pPr>
      <w:r>
        <w:rPr>
          <w:rFonts w:hint="eastAsia" w:eastAsia="方正仿宋_GBK"/>
          <w:sz w:val="32"/>
          <w:szCs w:val="32"/>
        </w:rPr>
        <w:t>2022年3月21日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2246F"/>
    <w:multiLevelType w:val="singleLevel"/>
    <w:tmpl w:val="8DB2246F"/>
    <w:lvl w:ilvl="0" w:tentative="0">
      <w:start w:val="2"/>
      <w:numFmt w:val="decimal"/>
      <w:suff w:val="space"/>
      <w:lvlText w:val="%1."/>
      <w:lvlJc w:val="left"/>
    </w:lvl>
  </w:abstractNum>
  <w:abstractNum w:abstractNumId="1">
    <w:nsid w:val="F981640B"/>
    <w:multiLevelType w:val="singleLevel"/>
    <w:tmpl w:val="F981640B"/>
    <w:lvl w:ilvl="0" w:tentative="0">
      <w:start w:val="2"/>
      <w:numFmt w:val="decimal"/>
      <w:suff w:val="space"/>
      <w:lvlText w:val="%1."/>
      <w:lvlJc w:val="left"/>
    </w:lvl>
  </w:abstractNum>
  <w:abstractNum w:abstractNumId="2">
    <w:nsid w:val="2CB63054"/>
    <w:multiLevelType w:val="singleLevel"/>
    <w:tmpl w:val="2CB63054"/>
    <w:lvl w:ilvl="0" w:tentative="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RhNDIxOTc3NzQ2MjQ1ZDA4NmMwZTMzM2Q2NGI1ZDYifQ=="/>
  </w:docVars>
  <w:rsids>
    <w:rsidRoot w:val="00806865"/>
    <w:rsid w:val="00043A15"/>
    <w:rsid w:val="00056E37"/>
    <w:rsid w:val="000575E2"/>
    <w:rsid w:val="00063B15"/>
    <w:rsid w:val="0009607E"/>
    <w:rsid w:val="000B5DB9"/>
    <w:rsid w:val="000C0972"/>
    <w:rsid w:val="00171AB3"/>
    <w:rsid w:val="001C3D64"/>
    <w:rsid w:val="001C641A"/>
    <w:rsid w:val="001C6822"/>
    <w:rsid w:val="001E256D"/>
    <w:rsid w:val="001E2D5B"/>
    <w:rsid w:val="001E4264"/>
    <w:rsid w:val="00247BB1"/>
    <w:rsid w:val="002571F7"/>
    <w:rsid w:val="002641A6"/>
    <w:rsid w:val="002834C5"/>
    <w:rsid w:val="00293914"/>
    <w:rsid w:val="002C141E"/>
    <w:rsid w:val="002F58C1"/>
    <w:rsid w:val="002F6627"/>
    <w:rsid w:val="00304656"/>
    <w:rsid w:val="00305CE7"/>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4D3234"/>
    <w:rsid w:val="00516F77"/>
    <w:rsid w:val="00547BAD"/>
    <w:rsid w:val="00550210"/>
    <w:rsid w:val="005516E1"/>
    <w:rsid w:val="00563118"/>
    <w:rsid w:val="00571609"/>
    <w:rsid w:val="005A221A"/>
    <w:rsid w:val="005B5ED1"/>
    <w:rsid w:val="00606BA5"/>
    <w:rsid w:val="006417E5"/>
    <w:rsid w:val="0064309B"/>
    <w:rsid w:val="00671BB5"/>
    <w:rsid w:val="006772C6"/>
    <w:rsid w:val="006911F9"/>
    <w:rsid w:val="0069233A"/>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0D37"/>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1635C49"/>
    <w:rsid w:val="03190CB5"/>
    <w:rsid w:val="039C3694"/>
    <w:rsid w:val="03C36E72"/>
    <w:rsid w:val="04096F7B"/>
    <w:rsid w:val="04506958"/>
    <w:rsid w:val="047F723D"/>
    <w:rsid w:val="04BF202C"/>
    <w:rsid w:val="052B2F21"/>
    <w:rsid w:val="05942874"/>
    <w:rsid w:val="05C72C4A"/>
    <w:rsid w:val="0616772D"/>
    <w:rsid w:val="066E1317"/>
    <w:rsid w:val="06EF0895"/>
    <w:rsid w:val="072916E2"/>
    <w:rsid w:val="07E31891"/>
    <w:rsid w:val="08685FA6"/>
    <w:rsid w:val="08AF74D4"/>
    <w:rsid w:val="08EB6C4F"/>
    <w:rsid w:val="091A4149"/>
    <w:rsid w:val="093A7BD7"/>
    <w:rsid w:val="09412D13"/>
    <w:rsid w:val="096B7D90"/>
    <w:rsid w:val="09CC3BD3"/>
    <w:rsid w:val="0A157CFC"/>
    <w:rsid w:val="0A516F86"/>
    <w:rsid w:val="0AB17A25"/>
    <w:rsid w:val="0AF52007"/>
    <w:rsid w:val="0B550CF8"/>
    <w:rsid w:val="0BA61553"/>
    <w:rsid w:val="0BB05F2E"/>
    <w:rsid w:val="0C2C7CAB"/>
    <w:rsid w:val="0CEF0CD8"/>
    <w:rsid w:val="0CFF18C7"/>
    <w:rsid w:val="0D5A43A4"/>
    <w:rsid w:val="0E772D33"/>
    <w:rsid w:val="0E9B2EC6"/>
    <w:rsid w:val="0ECF0DC1"/>
    <w:rsid w:val="0F877762"/>
    <w:rsid w:val="0FEF02AA"/>
    <w:rsid w:val="10833C11"/>
    <w:rsid w:val="10A73186"/>
    <w:rsid w:val="11000244"/>
    <w:rsid w:val="1142587A"/>
    <w:rsid w:val="11537A88"/>
    <w:rsid w:val="11EF56F0"/>
    <w:rsid w:val="12192A7F"/>
    <w:rsid w:val="12A643B3"/>
    <w:rsid w:val="12E12E71"/>
    <w:rsid w:val="12EF1A32"/>
    <w:rsid w:val="13ED62F9"/>
    <w:rsid w:val="14237BE5"/>
    <w:rsid w:val="145034D6"/>
    <w:rsid w:val="14531B4D"/>
    <w:rsid w:val="1497412F"/>
    <w:rsid w:val="14B46A8F"/>
    <w:rsid w:val="14E8498B"/>
    <w:rsid w:val="15C727F2"/>
    <w:rsid w:val="162572C7"/>
    <w:rsid w:val="16777D74"/>
    <w:rsid w:val="167C3E7E"/>
    <w:rsid w:val="168801D3"/>
    <w:rsid w:val="17CA0378"/>
    <w:rsid w:val="18215961"/>
    <w:rsid w:val="18D23988"/>
    <w:rsid w:val="19393A07"/>
    <w:rsid w:val="19ED659F"/>
    <w:rsid w:val="1B177D78"/>
    <w:rsid w:val="1B9969DF"/>
    <w:rsid w:val="1BEC6B0F"/>
    <w:rsid w:val="1D8B05A9"/>
    <w:rsid w:val="1E641526"/>
    <w:rsid w:val="1EE241F9"/>
    <w:rsid w:val="1EE2522B"/>
    <w:rsid w:val="1F446C62"/>
    <w:rsid w:val="1FA53BA4"/>
    <w:rsid w:val="1FD71884"/>
    <w:rsid w:val="1FDC333E"/>
    <w:rsid w:val="20482782"/>
    <w:rsid w:val="209D4AAC"/>
    <w:rsid w:val="20EC75B1"/>
    <w:rsid w:val="21090163"/>
    <w:rsid w:val="216B497A"/>
    <w:rsid w:val="21725D08"/>
    <w:rsid w:val="21894E00"/>
    <w:rsid w:val="224C47AB"/>
    <w:rsid w:val="233D2346"/>
    <w:rsid w:val="235A2EF8"/>
    <w:rsid w:val="23645B24"/>
    <w:rsid w:val="23735D67"/>
    <w:rsid w:val="237B69CA"/>
    <w:rsid w:val="23B76E36"/>
    <w:rsid w:val="23C71C0F"/>
    <w:rsid w:val="23FC3FAF"/>
    <w:rsid w:val="24AA57B9"/>
    <w:rsid w:val="24E32A79"/>
    <w:rsid w:val="252C08C4"/>
    <w:rsid w:val="254E083A"/>
    <w:rsid w:val="255D282B"/>
    <w:rsid w:val="2560231B"/>
    <w:rsid w:val="25A8619C"/>
    <w:rsid w:val="26123B38"/>
    <w:rsid w:val="26215F4F"/>
    <w:rsid w:val="26325A66"/>
    <w:rsid w:val="26996C1D"/>
    <w:rsid w:val="270E4FB2"/>
    <w:rsid w:val="27196C26"/>
    <w:rsid w:val="27257379"/>
    <w:rsid w:val="284D4DD9"/>
    <w:rsid w:val="289C7436"/>
    <w:rsid w:val="28BC1F5F"/>
    <w:rsid w:val="28F60FCD"/>
    <w:rsid w:val="2A351FC9"/>
    <w:rsid w:val="2A84085A"/>
    <w:rsid w:val="2A8455CF"/>
    <w:rsid w:val="2AEA4B61"/>
    <w:rsid w:val="2B726905"/>
    <w:rsid w:val="2BD76F8B"/>
    <w:rsid w:val="2C4464F3"/>
    <w:rsid w:val="2C8608B9"/>
    <w:rsid w:val="2D234B86"/>
    <w:rsid w:val="2D7626DC"/>
    <w:rsid w:val="2D8862A8"/>
    <w:rsid w:val="2E3F6F72"/>
    <w:rsid w:val="2E6A7D67"/>
    <w:rsid w:val="2E8E7EF9"/>
    <w:rsid w:val="2E903C71"/>
    <w:rsid w:val="2FAF6379"/>
    <w:rsid w:val="2FB50EF1"/>
    <w:rsid w:val="2FF65D56"/>
    <w:rsid w:val="2FF67B04"/>
    <w:rsid w:val="302C1778"/>
    <w:rsid w:val="304753CF"/>
    <w:rsid w:val="309A0DD7"/>
    <w:rsid w:val="30D30997"/>
    <w:rsid w:val="30E6401D"/>
    <w:rsid w:val="30FC55EE"/>
    <w:rsid w:val="316A07AA"/>
    <w:rsid w:val="326F3B9E"/>
    <w:rsid w:val="32CE6B16"/>
    <w:rsid w:val="3321133C"/>
    <w:rsid w:val="3379104B"/>
    <w:rsid w:val="33BA3F4B"/>
    <w:rsid w:val="33E83C08"/>
    <w:rsid w:val="34796F56"/>
    <w:rsid w:val="349D49F2"/>
    <w:rsid w:val="357C7A47"/>
    <w:rsid w:val="358D2CB9"/>
    <w:rsid w:val="35B50461"/>
    <w:rsid w:val="36653975"/>
    <w:rsid w:val="36E0150E"/>
    <w:rsid w:val="37D83F93"/>
    <w:rsid w:val="382F44FB"/>
    <w:rsid w:val="39AD1B7B"/>
    <w:rsid w:val="39D07618"/>
    <w:rsid w:val="39E02135"/>
    <w:rsid w:val="39FC040D"/>
    <w:rsid w:val="3A296D28"/>
    <w:rsid w:val="3AEB1E6D"/>
    <w:rsid w:val="3BE02D49"/>
    <w:rsid w:val="3C0F6D52"/>
    <w:rsid w:val="3C2123AD"/>
    <w:rsid w:val="3C634773"/>
    <w:rsid w:val="3CE60F00"/>
    <w:rsid w:val="3D0B53DD"/>
    <w:rsid w:val="3D7B789B"/>
    <w:rsid w:val="3D9F7A2D"/>
    <w:rsid w:val="3DC079A3"/>
    <w:rsid w:val="3E3A1504"/>
    <w:rsid w:val="3ED01E68"/>
    <w:rsid w:val="3ED92ACB"/>
    <w:rsid w:val="3F19380F"/>
    <w:rsid w:val="3F52287D"/>
    <w:rsid w:val="3FD31C10"/>
    <w:rsid w:val="3FDF05B5"/>
    <w:rsid w:val="40A1279E"/>
    <w:rsid w:val="40AB493B"/>
    <w:rsid w:val="414A7CB0"/>
    <w:rsid w:val="41504943"/>
    <w:rsid w:val="42F223AD"/>
    <w:rsid w:val="433F136A"/>
    <w:rsid w:val="437E5696"/>
    <w:rsid w:val="43B12268"/>
    <w:rsid w:val="43CA50D8"/>
    <w:rsid w:val="43ED0DC6"/>
    <w:rsid w:val="444E5D09"/>
    <w:rsid w:val="44FC39B7"/>
    <w:rsid w:val="452C4F46"/>
    <w:rsid w:val="45837C34"/>
    <w:rsid w:val="45BD3146"/>
    <w:rsid w:val="46674E60"/>
    <w:rsid w:val="478649EF"/>
    <w:rsid w:val="47C3256A"/>
    <w:rsid w:val="47CA56A6"/>
    <w:rsid w:val="47FA5C48"/>
    <w:rsid w:val="482E20D9"/>
    <w:rsid w:val="48FD1AAC"/>
    <w:rsid w:val="491E6E77"/>
    <w:rsid w:val="4A1C5F07"/>
    <w:rsid w:val="4A227A1C"/>
    <w:rsid w:val="4A7E6C1C"/>
    <w:rsid w:val="4A865A58"/>
    <w:rsid w:val="4A8C1339"/>
    <w:rsid w:val="4A9E6685"/>
    <w:rsid w:val="4AC61065"/>
    <w:rsid w:val="4ACA3C0F"/>
    <w:rsid w:val="4B0E7FA0"/>
    <w:rsid w:val="4B72052F"/>
    <w:rsid w:val="4BEB208F"/>
    <w:rsid w:val="4BF73B1F"/>
    <w:rsid w:val="4BFE0015"/>
    <w:rsid w:val="4C553155"/>
    <w:rsid w:val="4CD07C03"/>
    <w:rsid w:val="4D5C3245"/>
    <w:rsid w:val="4D834C75"/>
    <w:rsid w:val="4D860EA2"/>
    <w:rsid w:val="4DB52955"/>
    <w:rsid w:val="4E434405"/>
    <w:rsid w:val="4E824F2D"/>
    <w:rsid w:val="4E850579"/>
    <w:rsid w:val="4EB17D98"/>
    <w:rsid w:val="4ED240DA"/>
    <w:rsid w:val="4EF456FF"/>
    <w:rsid w:val="4F5312C8"/>
    <w:rsid w:val="4FC13833"/>
    <w:rsid w:val="5019366F"/>
    <w:rsid w:val="502F0DDF"/>
    <w:rsid w:val="51114346"/>
    <w:rsid w:val="516A3A56"/>
    <w:rsid w:val="51C15D6C"/>
    <w:rsid w:val="51DF61F2"/>
    <w:rsid w:val="520B348B"/>
    <w:rsid w:val="52466271"/>
    <w:rsid w:val="5257047F"/>
    <w:rsid w:val="528B0128"/>
    <w:rsid w:val="52F12681"/>
    <w:rsid w:val="530921EA"/>
    <w:rsid w:val="5334256E"/>
    <w:rsid w:val="538A03E0"/>
    <w:rsid w:val="53AA43C3"/>
    <w:rsid w:val="54705828"/>
    <w:rsid w:val="55603AEE"/>
    <w:rsid w:val="563F3703"/>
    <w:rsid w:val="568059A8"/>
    <w:rsid w:val="56CC3A20"/>
    <w:rsid w:val="56D305CF"/>
    <w:rsid w:val="570B7A8A"/>
    <w:rsid w:val="573249BD"/>
    <w:rsid w:val="576C677A"/>
    <w:rsid w:val="586236D9"/>
    <w:rsid w:val="58A92390"/>
    <w:rsid w:val="58F307D5"/>
    <w:rsid w:val="59777658"/>
    <w:rsid w:val="59D6437F"/>
    <w:rsid w:val="59F82547"/>
    <w:rsid w:val="5A307F33"/>
    <w:rsid w:val="5A5A6D5E"/>
    <w:rsid w:val="5A6E57B7"/>
    <w:rsid w:val="5B751975"/>
    <w:rsid w:val="5BA34735"/>
    <w:rsid w:val="5C0351D3"/>
    <w:rsid w:val="5D235B2D"/>
    <w:rsid w:val="5D296EBB"/>
    <w:rsid w:val="5D456E35"/>
    <w:rsid w:val="5D6D6D4D"/>
    <w:rsid w:val="5D755C5D"/>
    <w:rsid w:val="5DAB5B22"/>
    <w:rsid w:val="5E23390B"/>
    <w:rsid w:val="5F336C89"/>
    <w:rsid w:val="5F434264"/>
    <w:rsid w:val="5F8328B3"/>
    <w:rsid w:val="5FEA224C"/>
    <w:rsid w:val="610712C2"/>
    <w:rsid w:val="615A5895"/>
    <w:rsid w:val="61B0135C"/>
    <w:rsid w:val="61FE0917"/>
    <w:rsid w:val="6243457B"/>
    <w:rsid w:val="62AF1C11"/>
    <w:rsid w:val="63100901"/>
    <w:rsid w:val="634C7460"/>
    <w:rsid w:val="63B03E93"/>
    <w:rsid w:val="63CB65D6"/>
    <w:rsid w:val="64175CC0"/>
    <w:rsid w:val="653308D7"/>
    <w:rsid w:val="662B684D"/>
    <w:rsid w:val="66576847"/>
    <w:rsid w:val="66A03D4A"/>
    <w:rsid w:val="673B7F17"/>
    <w:rsid w:val="674C5C80"/>
    <w:rsid w:val="67BB4BB4"/>
    <w:rsid w:val="68633281"/>
    <w:rsid w:val="69771943"/>
    <w:rsid w:val="69E73067"/>
    <w:rsid w:val="6A184540"/>
    <w:rsid w:val="6A5135AE"/>
    <w:rsid w:val="6A5D1F52"/>
    <w:rsid w:val="6AC975E8"/>
    <w:rsid w:val="6B574BF4"/>
    <w:rsid w:val="6B721A2E"/>
    <w:rsid w:val="6BB40298"/>
    <w:rsid w:val="6BD66460"/>
    <w:rsid w:val="6C44161C"/>
    <w:rsid w:val="6C953C26"/>
    <w:rsid w:val="6CAD0F6F"/>
    <w:rsid w:val="6CE32BE3"/>
    <w:rsid w:val="6D5669EF"/>
    <w:rsid w:val="6D63491A"/>
    <w:rsid w:val="6D8A5754"/>
    <w:rsid w:val="6DBE53FE"/>
    <w:rsid w:val="6E153270"/>
    <w:rsid w:val="6E4E22DE"/>
    <w:rsid w:val="6E7C509D"/>
    <w:rsid w:val="6EB505AF"/>
    <w:rsid w:val="6F1E7F02"/>
    <w:rsid w:val="6F6F075E"/>
    <w:rsid w:val="6FAE12B7"/>
    <w:rsid w:val="713C4FB8"/>
    <w:rsid w:val="71A80DB9"/>
    <w:rsid w:val="71F96A05"/>
    <w:rsid w:val="72200435"/>
    <w:rsid w:val="72DF5BFA"/>
    <w:rsid w:val="72E74AAF"/>
    <w:rsid w:val="733C4DFB"/>
    <w:rsid w:val="75695C4F"/>
    <w:rsid w:val="75DC28C5"/>
    <w:rsid w:val="763B583E"/>
    <w:rsid w:val="76FF686B"/>
    <w:rsid w:val="77955421"/>
    <w:rsid w:val="78347974"/>
    <w:rsid w:val="79077C59"/>
    <w:rsid w:val="7947274B"/>
    <w:rsid w:val="79EB2A00"/>
    <w:rsid w:val="79EF5BD6"/>
    <w:rsid w:val="7A214D4A"/>
    <w:rsid w:val="7A684727"/>
    <w:rsid w:val="7AAF05A8"/>
    <w:rsid w:val="7B734078"/>
    <w:rsid w:val="7B8A691F"/>
    <w:rsid w:val="7D7635FF"/>
    <w:rsid w:val="7DC50678"/>
    <w:rsid w:val="7E1E7F1F"/>
    <w:rsid w:val="7E431733"/>
    <w:rsid w:val="7EC108AA"/>
    <w:rsid w:val="7EC92489"/>
    <w:rsid w:val="7F8E0040"/>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cs="Arial"/>
      <w:b/>
      <w:bCs/>
      <w:sz w:val="32"/>
      <w:szCs w:val="32"/>
    </w:r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character" w:styleId="10">
    <w:name w:val="annotation reference"/>
    <w:basedOn w:val="9"/>
    <w:semiHidden/>
    <w:unhideWhenUsed/>
    <w:uiPriority w:val="99"/>
    <w:rPr>
      <w:sz w:val="21"/>
      <w:szCs w:val="21"/>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9"/>
    <w:link w:val="3"/>
    <w:semiHidden/>
    <w:uiPriority w:val="99"/>
    <w:rPr>
      <w:kern w:val="2"/>
      <w:sz w:val="21"/>
      <w:szCs w:val="24"/>
    </w:rPr>
  </w:style>
  <w:style w:type="character" w:customStyle="1" w:styleId="16">
    <w:name w:val="批注主题 Char"/>
    <w:basedOn w:val="15"/>
    <w:link w:val="7"/>
    <w:semiHidden/>
    <w:uiPriority w:val="99"/>
    <w:rPr>
      <w:b/>
      <w:bCs/>
      <w:kern w:val="2"/>
      <w:sz w:val="21"/>
      <w:szCs w:val="24"/>
    </w:rPr>
  </w:style>
  <w:style w:type="character" w:customStyle="1" w:styleId="17">
    <w:name w:val="批注框文本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2851</Words>
  <Characters>3120</Characters>
  <Lines>22</Lines>
  <Paragraphs>6</Paragraphs>
  <TotalTime>65</TotalTime>
  <ScaleCrop>false</ScaleCrop>
  <LinksUpToDate>false</LinksUpToDate>
  <CharactersWithSpaces>3127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娜</cp:lastModifiedBy>
  <cp:lastPrinted>2020-04-20T08:58:00Z</cp:lastPrinted>
  <dcterms:modified xsi:type="dcterms:W3CDTF">2022-10-12T09:20:54Z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B547F06D67DB4526892C5DF5F2D61358</vt:lpwstr>
  </property>
</Properties>
</file>