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spacing w:line="596" w:lineRule="exact"/>
        <w:jc w:val="center"/>
        <w:rPr>
          <w:rFonts w:hint="eastAsia" w:eastAsia="方正小标宋_GBK"/>
          <w:sz w:val="44"/>
          <w:szCs w:val="32"/>
          <w:lang w:eastAsia="zh-CN"/>
        </w:rPr>
      </w:pPr>
      <w:r>
        <w:rPr>
          <w:rFonts w:hint="eastAsia" w:eastAsia="方正小标宋_GBK"/>
          <w:sz w:val="44"/>
          <w:szCs w:val="32"/>
          <w:lang w:eastAsia="zh-CN"/>
        </w:rPr>
        <w:t>重庆市</w:t>
      </w:r>
      <w:r>
        <w:rPr>
          <w:rFonts w:hint="eastAsia" w:eastAsia="方正小标宋_GBK"/>
          <w:sz w:val="44"/>
          <w:szCs w:val="32"/>
        </w:rPr>
        <w:t>璧山</w:t>
      </w:r>
      <w:r>
        <w:rPr>
          <w:rFonts w:hint="eastAsia" w:eastAsia="方正小标宋_GBK"/>
          <w:sz w:val="44"/>
          <w:szCs w:val="32"/>
          <w:lang w:eastAsia="zh-CN"/>
        </w:rPr>
        <w:t>区文化市场综合行政执法支队</w:t>
      </w:r>
    </w:p>
    <w:p>
      <w:pPr>
        <w:pStyle w:val="10"/>
        <w:spacing w:line="596" w:lineRule="exact"/>
        <w:ind w:left="359" w:leftChars="171" w:firstLine="1100" w:firstLineChars="250"/>
        <w:rPr>
          <w:rFonts w:eastAsia="方正小标宋_GBK"/>
          <w:sz w:val="44"/>
          <w:szCs w:val="32"/>
        </w:rPr>
      </w:pPr>
      <w:r>
        <w:rPr>
          <w:rFonts w:hint="eastAsia" w:eastAsia="方正小标宋_GBK"/>
          <w:sz w:val="44"/>
          <w:szCs w:val="32"/>
        </w:rPr>
        <w:t>2021</w:t>
      </w:r>
      <w:r>
        <w:rPr>
          <w:rFonts w:eastAsia="方正小标宋_GBK"/>
          <w:sz w:val="44"/>
          <w:szCs w:val="32"/>
        </w:rPr>
        <w:t>年</w:t>
      </w:r>
      <w:r>
        <w:rPr>
          <w:rFonts w:hint="eastAsia" w:eastAsia="方正小标宋_GBK"/>
          <w:sz w:val="44"/>
          <w:szCs w:val="32"/>
        </w:rPr>
        <w:t>度</w:t>
      </w:r>
      <w:r>
        <w:rPr>
          <w:rFonts w:eastAsia="方正小标宋_GBK"/>
          <w:sz w:val="44"/>
          <w:szCs w:val="32"/>
        </w:rPr>
        <w:t>整体支出绩效</w:t>
      </w:r>
      <w:r>
        <w:rPr>
          <w:rFonts w:hint="eastAsia" w:eastAsia="方正小标宋_GBK"/>
          <w:sz w:val="44"/>
          <w:szCs w:val="32"/>
        </w:rPr>
        <w:t>自评</w:t>
      </w:r>
      <w:r>
        <w:rPr>
          <w:rFonts w:eastAsia="方正小标宋_GBK"/>
          <w:sz w:val="44"/>
          <w:szCs w:val="32"/>
        </w:rPr>
        <w:t>报告</w:t>
      </w:r>
    </w:p>
    <w:p>
      <w:pPr>
        <w:pStyle w:val="10"/>
        <w:spacing w:line="596" w:lineRule="exact"/>
        <w:ind w:left="357" w:firstLine="640"/>
        <w:rPr>
          <w:rFonts w:eastAsia="方正仿宋_GBK"/>
          <w:sz w:val="32"/>
          <w:szCs w:val="32"/>
        </w:rPr>
      </w:pP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eastAsia="zh-CN"/>
        </w:rPr>
        <w:t>单位</w:t>
      </w:r>
      <w:r>
        <w:rPr>
          <w:rFonts w:eastAsia="方正黑体_GBK"/>
          <w:sz w:val="32"/>
          <w:szCs w:val="32"/>
        </w:rPr>
        <w:t>基本</w:t>
      </w:r>
      <w:r>
        <w:rPr>
          <w:rFonts w:hint="eastAsia" w:eastAsia="方正黑体_GBK"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（一）职能职责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320" w:firstLineChars="1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1、</w:t>
      </w:r>
      <w:r>
        <w:rPr>
          <w:rFonts w:hint="eastAsia" w:eastAsia="方正仿宋_GBK"/>
          <w:sz w:val="32"/>
          <w:szCs w:val="32"/>
        </w:rPr>
        <w:t>贯彻实施有关文化市场综合行政执法的方针政策、法律法规。参与起草文化市场综合行政执法业务规范和管理制度。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320" w:firstLineChars="10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2、</w:t>
      </w:r>
      <w:r>
        <w:rPr>
          <w:rFonts w:hint="eastAsia" w:eastAsia="方正仿宋_GBK"/>
          <w:sz w:val="32"/>
          <w:szCs w:val="32"/>
        </w:rPr>
        <w:t>承担文化、文物方面的执法职能。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3、</w:t>
      </w:r>
      <w:r>
        <w:rPr>
          <w:rFonts w:hint="eastAsia" w:eastAsia="方正仿宋_GBK"/>
          <w:sz w:val="32"/>
          <w:szCs w:val="32"/>
        </w:rPr>
        <w:t>承担出版、广播电视、电影方面的执法职能。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4、</w:t>
      </w:r>
      <w:r>
        <w:rPr>
          <w:rFonts w:hint="eastAsia" w:eastAsia="方正仿宋_GBK"/>
          <w:sz w:val="32"/>
          <w:szCs w:val="32"/>
        </w:rPr>
        <w:t>承担体育方面的执法职能。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5、</w:t>
      </w:r>
      <w:r>
        <w:rPr>
          <w:rFonts w:hint="eastAsia" w:eastAsia="方正仿宋_GBK"/>
          <w:sz w:val="32"/>
          <w:szCs w:val="32"/>
        </w:rPr>
        <w:t>承担旅游市场方面的执法职能。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6、</w:t>
      </w:r>
      <w:r>
        <w:rPr>
          <w:rFonts w:hint="eastAsia" w:eastAsia="方正仿宋_GBK"/>
          <w:sz w:val="32"/>
          <w:szCs w:val="32"/>
        </w:rPr>
        <w:t>承担全区文化市场综合行政执法组织协调。按规定组织开展有关专项执法、交叉执法、异地执法。承办市文化市场综合执法总队指定管辖的跨区县（自治县）案件。配合其他部门有关重大案件的查处工作。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7、</w:t>
      </w:r>
      <w:r>
        <w:rPr>
          <w:rFonts w:hint="eastAsia" w:eastAsia="方正仿宋_GBK"/>
          <w:sz w:val="32"/>
          <w:szCs w:val="32"/>
        </w:rPr>
        <w:t>承担“扫黄打非”有关工作任务。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8、</w:t>
      </w:r>
      <w:r>
        <w:rPr>
          <w:rFonts w:hint="eastAsia" w:eastAsia="方正仿宋_GBK"/>
          <w:sz w:val="32"/>
          <w:szCs w:val="32"/>
        </w:rPr>
        <w:t>承担文化和旅游市场投诉、举报受理工作。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  <w:lang w:val="en-US" w:eastAsia="zh-CN"/>
        </w:rPr>
        <w:t>9、</w:t>
      </w:r>
      <w:r>
        <w:rPr>
          <w:rFonts w:hint="eastAsia" w:eastAsia="方正仿宋_GBK"/>
          <w:sz w:val="32"/>
          <w:szCs w:val="32"/>
        </w:rPr>
        <w:t>完成区委、区政府和区委宣传部、区文化旅游委以及市执法总队交办的其他任务。</w:t>
      </w:r>
    </w:p>
    <w:p>
      <w:pPr>
        <w:pStyle w:val="10"/>
        <w:tabs>
          <w:tab w:val="center" w:pos="4153"/>
          <w:tab w:val="left" w:pos="7275"/>
        </w:tabs>
        <w:spacing w:line="600" w:lineRule="exact"/>
        <w:ind w:left="640" w:firstLine="0" w:firstLineChars="0"/>
        <w:jc w:val="left"/>
        <w:rPr>
          <w:rFonts w:hint="eastAsia" w:ascii="方正仿宋_GBK" w:hAnsi="仿宋_GB2312" w:eastAsia="方正仿宋_GBK" w:cs="仿宋_GB2312"/>
          <w:sz w:val="32"/>
        </w:rPr>
      </w:pPr>
      <w:r>
        <w:rPr>
          <w:rFonts w:hint="eastAsia" w:ascii="方正仿宋_GBK" w:hAnsi="仿宋_GB2312" w:eastAsia="方正仿宋_GBK" w:cs="仿宋_GB2312"/>
          <w:sz w:val="32"/>
        </w:rPr>
        <w:t>（二）单位构成</w:t>
      </w:r>
    </w:p>
    <w:p>
      <w:pPr>
        <w:pStyle w:val="4"/>
        <w:widowControl/>
        <w:spacing w:beforeAutospacing="0" w:after="180" w:afterAutospacing="0" w:line="368" w:lineRule="atLeast"/>
        <w:ind w:firstLine="420"/>
        <w:jc w:val="both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根据上述职责，重庆市璧山区文化市场综合行政执法支队编制人数10人，实有人数9人，设内设机构3个：综合科 、法制科、执法科。</w:t>
      </w:r>
    </w:p>
    <w:p>
      <w:pPr>
        <w:pStyle w:val="4"/>
        <w:widowControl/>
        <w:spacing w:beforeAutospacing="0" w:after="180" w:afterAutospacing="0" w:line="368" w:lineRule="atLeast"/>
        <w:ind w:firstLine="420"/>
        <w:jc w:val="both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1、综合科。负责支队日常运转和重要事项督查督办，承担支队文秘、档案、保密、会务、执法信息公开等工作；承担信息化建设、财务管理、政府采购、国有资产管理、后勤保障等工作；承担支队党的建设、党风廉政建设、政治思想建设、队伍建设和人才培养工作；负责监督职责，负责纪律作风建设和核实处理有关违纪问题；承担干部人事和离退休人员管理工作；其他有关工作。</w:t>
      </w:r>
    </w:p>
    <w:p>
      <w:pPr>
        <w:pStyle w:val="4"/>
        <w:widowControl/>
        <w:spacing w:beforeAutospacing="0" w:after="180" w:afterAutospacing="0" w:line="368" w:lineRule="atLeast"/>
        <w:ind w:firstLine="420"/>
        <w:jc w:val="both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2、法制科。负责组织实施执法全过程记录制度、重大执法决定法制审核制度、执法案卷评查和评议考核制度、执法公示制度、执法人员持证上岗和资格管理制度；监督、指导各镇、街文化市场综合行政执法工作；负责行政执法有关宣传教育工作；其他有关工作。</w:t>
      </w:r>
    </w:p>
    <w:p>
      <w:pPr>
        <w:pStyle w:val="4"/>
        <w:widowControl/>
        <w:spacing w:beforeAutospacing="0" w:after="180" w:afterAutospacing="0" w:line="368" w:lineRule="atLeast"/>
        <w:ind w:firstLine="420"/>
        <w:jc w:val="both"/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</w:pPr>
      <w:r>
        <w:rPr>
          <w:rFonts w:hint="eastAsia" w:ascii="方正仿宋_GBK" w:hAnsi="仿宋_GB2312" w:eastAsia="方正仿宋_GBK" w:cs="仿宋_GB2312"/>
          <w:kern w:val="2"/>
          <w:sz w:val="32"/>
          <w:szCs w:val="22"/>
          <w:lang w:val="en-US" w:eastAsia="zh-CN" w:bidi="ar-SA"/>
        </w:rPr>
        <w:t>3、执法科。负责文化、文物、出版、广播电视、电影、体育、旅游市场方面的执法职能；查处文化、文物、出版、广播电视、电影、体育、旅游市场方面的违法行为；依权限协调相关部门查处违反文物保护相关法律法规的行为；配合查处生产、销售、使用“伪基站”设备的违法行为；其他有关工作。</w:t>
      </w:r>
    </w:p>
    <w:p>
      <w:pPr>
        <w:numPr>
          <w:numId w:val="0"/>
        </w:numPr>
        <w:spacing w:line="596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（三）</w:t>
      </w:r>
      <w:r>
        <w:rPr>
          <w:rFonts w:hint="eastAsia" w:eastAsia="方正仿宋_GBK"/>
          <w:sz w:val="32"/>
          <w:szCs w:val="32"/>
        </w:rPr>
        <w:t>预算及支出情况</w:t>
      </w:r>
      <w:r>
        <w:rPr>
          <w:rFonts w:eastAsia="方正仿宋_GBK"/>
          <w:sz w:val="32"/>
          <w:szCs w:val="32"/>
        </w:rPr>
        <w:t>。</w:t>
      </w:r>
    </w:p>
    <w:p>
      <w:pPr>
        <w:numPr>
          <w:ilvl w:val="0"/>
          <w:numId w:val="0"/>
        </w:numPr>
        <w:spacing w:line="596" w:lineRule="exac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  2021年年初预算数2766487.81元，全年（调整）预算数2774723.55元，全年执行数2774723.55元。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二、绩效评价</w:t>
      </w:r>
      <w:r>
        <w:rPr>
          <w:rFonts w:hint="eastAsia" w:eastAsia="方正黑体_GBK"/>
          <w:sz w:val="32"/>
          <w:szCs w:val="32"/>
        </w:rPr>
        <w:t>基本</w:t>
      </w:r>
      <w:r>
        <w:rPr>
          <w:rFonts w:eastAsia="方正黑体_GBK"/>
          <w:sz w:val="32"/>
          <w:szCs w:val="32"/>
        </w:rPr>
        <w:t>情况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（一）绩效评价目的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绩效评价的目的在于促进部门高效履职。同时，及时总结经验，分析存在的问题，采取切实有效的措施进一步改进和加强财政支出项目管理，切实提高财政资金使用效率。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（二）绩效评价原则</w:t>
      </w:r>
    </w:p>
    <w:p>
      <w:pPr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绩效评价原则包括科学规范原则、公开公正原则、分级分类原则、绩效相关原则。</w:t>
      </w:r>
    </w:p>
    <w:p>
      <w:pPr>
        <w:spacing w:line="596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（三）绩效评价工作过程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单位开展了自评工作并成立了自评工作小组，小组成员分别根据项目如何实施、使用、指标库要求等对各个项目进行了评分。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</w:t>
      </w:r>
      <w:r>
        <w:rPr>
          <w:rFonts w:hint="eastAsia" w:eastAsia="方正黑体_GBK"/>
          <w:sz w:val="32"/>
          <w:szCs w:val="32"/>
        </w:rPr>
        <w:t>绩效</w:t>
      </w:r>
      <w:r>
        <w:rPr>
          <w:rFonts w:eastAsia="方正黑体_GBK"/>
          <w:sz w:val="32"/>
          <w:szCs w:val="32"/>
        </w:rPr>
        <w:t>评价情况及结论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我单位</w:t>
      </w:r>
      <w:r>
        <w:rPr>
          <w:rFonts w:hint="eastAsia" w:eastAsia="方正仿宋_GBK"/>
          <w:sz w:val="32"/>
          <w:szCs w:val="32"/>
          <w:lang w:val="en-US" w:eastAsia="zh-CN"/>
        </w:rPr>
        <w:t>2021年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能专款专项使用资金，使年初的预算能合理规范的用于专项业务上，达到了年初预算时的效益指标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  <w:lang w:val="en-US" w:eastAsia="zh-CN"/>
        </w:rPr>
        <w:t>整体支出绩效自评97分，等级优。</w:t>
      </w:r>
    </w:p>
    <w:p>
      <w:pPr>
        <w:widowControl/>
        <w:spacing w:line="600" w:lineRule="atLeast"/>
        <w:ind w:firstLine="624"/>
        <w:jc w:val="left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年初预算数2766487.81元，全年（调整）预算数2774723.55元，全年执行数2774723.55元，执行率100%，具体绩效评价情况如下：</w:t>
      </w:r>
    </w:p>
    <w:p>
      <w:pPr>
        <w:numPr>
          <w:numId w:val="0"/>
        </w:numPr>
        <w:spacing w:line="596" w:lineRule="exact"/>
        <w:ind w:firstLine="640" w:firstLineChars="200"/>
        <w:jc w:val="both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本年度监控网吧年度指标值</w:t>
      </w:r>
      <w:r>
        <w:rPr>
          <w:rFonts w:hint="eastAsia" w:eastAsia="方正仿宋_GBK"/>
          <w:sz w:val="32"/>
          <w:szCs w:val="32"/>
          <w:lang w:val="en-US" w:eastAsia="zh-CN"/>
        </w:rPr>
        <w:t>85户，全年完成值85户，指标得分10分，完成网吧监控全覆盖；办公通讯网年度指标值8个，全年完成值8个，指标得分10分；网吧监控通讯畅通率年度指标值100%，全年完成值93%，由于网吧过多，服务器不能保证时刻100%畅通，指标得分9.3分。</w:t>
      </w:r>
    </w:p>
    <w:p>
      <w:pPr>
        <w:numPr>
          <w:numId w:val="0"/>
        </w:numPr>
        <w:spacing w:line="596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/>
          <w:sz w:val="32"/>
          <w:szCs w:val="32"/>
        </w:rPr>
        <w:t>提高文化市场经营者、管理人员的法律意识</w:t>
      </w:r>
      <w:r>
        <w:rPr>
          <w:rFonts w:hint="eastAsia" w:eastAsia="方正仿宋_GBK"/>
          <w:sz w:val="32"/>
          <w:szCs w:val="32"/>
          <w:lang w:eastAsia="zh-CN"/>
        </w:rPr>
        <w:t>，年度指标值</w:t>
      </w:r>
      <w:r>
        <w:rPr>
          <w:rFonts w:hint="eastAsia" w:eastAsia="方正仿宋_GBK"/>
          <w:sz w:val="32"/>
          <w:szCs w:val="32"/>
          <w:lang w:val="en-US" w:eastAsia="zh-CN"/>
        </w:rPr>
        <w:t>93%，全年完成值91%，由于文化市场经营者文化程度差异较大，不能百分之百的让经营者提高法律意识，指标得分9.8分。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  <w:lang w:eastAsia="zh-CN"/>
        </w:rPr>
        <w:t>网吧监控内部监控点年度指标值</w:t>
      </w:r>
      <w:r>
        <w:rPr>
          <w:rFonts w:hint="eastAsia" w:eastAsia="方正仿宋_GBK"/>
          <w:sz w:val="32"/>
          <w:szCs w:val="32"/>
          <w:lang w:val="en-US" w:eastAsia="zh-CN"/>
        </w:rPr>
        <w:t>386户，全年完成值382户，由于疫情原因，关闭网吧4户，指标得分9.9分，网吧监控维护年度指标值75户，全年完成值75户，覆盖率达到100%，指标得分10分。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  <w:lang w:eastAsia="zh-CN"/>
        </w:rPr>
        <w:t>印刷宣传资料年度指标值</w:t>
      </w:r>
      <w:r>
        <w:rPr>
          <w:rFonts w:hint="eastAsia" w:eastAsia="方正仿宋_GBK"/>
          <w:sz w:val="32"/>
          <w:szCs w:val="32"/>
          <w:lang w:val="en-US" w:eastAsia="zh-CN"/>
        </w:rPr>
        <w:t>20000册，全年完成值16000册，因疫情原因，减少了宣传活动，指标得分8分；文化、出版、旅游、体育等专项整治年度指标值7次，全年完成值9次，完成率达100%，指标得分10分。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  <w:lang w:eastAsia="zh-CN"/>
        </w:rPr>
        <w:t>数字化档案服务覆盖率年度指标值</w:t>
      </w:r>
      <w:r>
        <w:rPr>
          <w:rFonts w:hint="eastAsia" w:eastAsia="方正仿宋_GBK"/>
          <w:sz w:val="32"/>
          <w:szCs w:val="32"/>
          <w:lang w:val="en-US" w:eastAsia="zh-CN"/>
        </w:rPr>
        <w:t>3年，全年完成值3年，实现全覆盖，指标得分10分；2018年至2020年档案数字化年度指标值3年，全年完成值3年，完成2018、2019、2020年的数字化档案管理，指标得分10分。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、主要经验及做法</w:t>
      </w:r>
    </w:p>
    <w:p>
      <w:pPr>
        <w:spacing w:line="596" w:lineRule="exact"/>
        <w:ind w:firstLine="640" w:firstLineChars="200"/>
        <w:rPr>
          <w:rFonts w:hint="eastAsia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  <w:lang w:eastAsia="zh-CN"/>
        </w:rPr>
        <w:t>绩效管理制度建设日趋完善，资金使用</w:t>
      </w:r>
      <w:r>
        <w:rPr>
          <w:rFonts w:hint="eastAsia" w:eastAsia="方正仿宋_GBK"/>
          <w:sz w:val="32"/>
          <w:szCs w:val="32"/>
          <w:lang w:val="en-US" w:eastAsia="zh-CN"/>
        </w:rPr>
        <w:t>更加精细化、科学化管理，强化了预算支出的责任和效率，提高财政资金使用效益。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2.我单位对</w:t>
      </w:r>
      <w:r>
        <w:rPr>
          <w:rFonts w:hint="eastAsia" w:eastAsia="方正仿宋_GBK"/>
          <w:sz w:val="32"/>
          <w:szCs w:val="32"/>
          <w:lang w:eastAsia="zh-CN"/>
        </w:rPr>
        <w:t>预算绩效进行跟踪监控。开展绩效监控工作，是推进预算绩效管理工作的重要一环，也能促进高效、节约使用财政资金。</w:t>
      </w:r>
    </w:p>
    <w:p>
      <w:pPr>
        <w:spacing w:line="596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五、</w:t>
      </w:r>
      <w:r>
        <w:rPr>
          <w:rFonts w:eastAsia="方正黑体_GBK"/>
          <w:sz w:val="32"/>
          <w:szCs w:val="32"/>
        </w:rPr>
        <w:t>存在的问题和建议</w:t>
      </w:r>
    </w:p>
    <w:p>
      <w:pPr>
        <w:widowControl/>
        <w:spacing w:line="570" w:lineRule="atLeas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 执法人员少，而管理对象相对较多，人均监管对象多、监管任务重，造成项目实施过程中出现比计划延迟的情况。</w:t>
      </w:r>
    </w:p>
    <w:p>
      <w:pPr>
        <w:widowControl/>
        <w:shd w:val="clear" w:color="auto" w:fill="FFFFFF"/>
        <w:spacing w:line="600" w:lineRule="atLeast"/>
        <w:ind w:firstLine="616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 对项目资金开支分类需要进一步科学化、规范化。预算管理、绩效管理、资金管理需要加强。</w:t>
      </w:r>
    </w:p>
    <w:p>
      <w:pPr>
        <w:spacing w:line="596" w:lineRule="exact"/>
        <w:ind w:firstLine="640" w:firstLineChars="200"/>
        <w:jc w:val="right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pgSz w:w="11906" w:h="16838"/>
      <w:pgMar w:top="1588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833F1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438160E"/>
    <w:rsid w:val="050D41AA"/>
    <w:rsid w:val="13561AD0"/>
    <w:rsid w:val="14A070D9"/>
    <w:rsid w:val="17E51E47"/>
    <w:rsid w:val="1F722F8C"/>
    <w:rsid w:val="21121C4D"/>
    <w:rsid w:val="22E70030"/>
    <w:rsid w:val="22F17100"/>
    <w:rsid w:val="25152899"/>
    <w:rsid w:val="269B185D"/>
    <w:rsid w:val="28697270"/>
    <w:rsid w:val="28B13905"/>
    <w:rsid w:val="2C3F073F"/>
    <w:rsid w:val="2DE47175"/>
    <w:rsid w:val="2EA63495"/>
    <w:rsid w:val="42CF2B62"/>
    <w:rsid w:val="496C7699"/>
    <w:rsid w:val="49EC2753"/>
    <w:rsid w:val="4DD34026"/>
    <w:rsid w:val="58350A83"/>
    <w:rsid w:val="595E728C"/>
    <w:rsid w:val="59EC76FE"/>
    <w:rsid w:val="5B445318"/>
    <w:rsid w:val="6044002C"/>
    <w:rsid w:val="61C2145C"/>
    <w:rsid w:val="68BC5EB7"/>
    <w:rsid w:val="6F856747"/>
    <w:rsid w:val="79155626"/>
    <w:rsid w:val="7B4B012D"/>
    <w:rsid w:val="7E9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214</Characters>
  <Lines>1</Lines>
  <Paragraphs>1</Paragraphs>
  <TotalTime>57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沉默不语</cp:lastModifiedBy>
  <cp:lastPrinted>2022-03-18T07:59:43Z</cp:lastPrinted>
  <dcterms:modified xsi:type="dcterms:W3CDTF">2022-03-18T08:16:07Z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89B34D16EEC0491983C165483331D2D6</vt:lpwstr>
  </property>
</Properties>
</file>