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eastAsia="方正小标宋_GBK"/>
          <w:sz w:val="44"/>
          <w:szCs w:val="32"/>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rPr>
        <w:t>公安局部门</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1</w:t>
      </w:r>
      <w:r>
        <w:rPr>
          <w:rFonts w:eastAsia="方正小标宋_GBK"/>
          <w:sz w:val="44"/>
          <w:szCs w:val="32"/>
        </w:rPr>
        <w:t>年整体支出绩效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pStyle w:val="4"/>
        <w:widowControl/>
        <w:spacing w:before="226" w:beforeAutospacing="0" w:after="226" w:afterAutospacing="0" w:line="315" w:lineRule="atLeas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部门基本情况</w:t>
      </w:r>
    </w:p>
    <w:p>
      <w:pPr>
        <w:pStyle w:val="4"/>
        <w:widowControl/>
        <w:spacing w:before="226" w:beforeAutospacing="0" w:after="226" w:afterAutospacing="0" w:line="315" w:lineRule="atLeast"/>
        <w:ind w:firstLine="645"/>
        <w:rPr>
          <w:rFonts w:eastAsia="方正仿宋_GBK"/>
          <w:kern w:val="2"/>
          <w:sz w:val="32"/>
          <w:szCs w:val="32"/>
        </w:rPr>
      </w:pPr>
      <w:r>
        <w:rPr>
          <w:rFonts w:hint="eastAsia" w:eastAsia="方正仿宋_GBK"/>
          <w:kern w:val="2"/>
          <w:sz w:val="32"/>
          <w:szCs w:val="32"/>
        </w:rPr>
        <w:t>1、职能职责</w:t>
      </w:r>
    </w:p>
    <w:p>
      <w:pPr>
        <w:pStyle w:val="11"/>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eastAsia="方正仿宋_GBK"/>
          <w:kern w:val="2"/>
          <w:sz w:val="32"/>
          <w:szCs w:val="32"/>
        </w:rPr>
      </w:pPr>
      <w:r>
        <w:rPr>
          <w:rFonts w:hint="default" w:ascii="方正仿宋_GBK" w:hAnsi="方正仿宋_GBK" w:eastAsia="方正仿宋_GBK" w:cs="方正仿宋_GBK"/>
          <w:kern w:val="0"/>
          <w:sz w:val="32"/>
          <w:szCs w:val="32"/>
          <w:shd w:val="clear" w:color="auto" w:fill="FFFFFF"/>
        </w:rPr>
        <w:t>主要职能是：贯彻执行党和国家及市委、市政</w:t>
      </w:r>
      <w:r>
        <w:rPr>
          <w:rFonts w:hint="eastAsia" w:ascii="方正仿宋_GBK" w:hAnsi="方正仿宋_GBK" w:eastAsia="方正仿宋_GBK" w:cs="方正仿宋_GBK"/>
          <w:kern w:val="0"/>
          <w:sz w:val="32"/>
          <w:szCs w:val="32"/>
          <w:shd w:val="clear" w:color="auto" w:fill="FFFFFF"/>
          <w:lang w:eastAsia="zh-CN"/>
        </w:rPr>
        <w:t>府</w:t>
      </w:r>
      <w:r>
        <w:rPr>
          <w:rFonts w:hint="default" w:ascii="方正仿宋_GBK" w:hAnsi="方正仿宋_GBK" w:eastAsia="方正仿宋_GBK" w:cs="方正仿宋_GBK"/>
          <w:kern w:val="0"/>
          <w:sz w:val="32"/>
          <w:szCs w:val="32"/>
          <w:shd w:val="clear" w:color="auto" w:fill="FFFFFF"/>
        </w:rPr>
        <w:t>和区委、区政府、上级公安机关有关公安工作的方针、政策、法规、规章，组织实施区委、区政府和上级公安机关部署的各项公安工作，督促检查全区公安机关贯彻执行情况。预防、制止和侦查违法犯罪活动。维护社会治安秩序，制止危害社会治安秩序的行为。参与处置严重危害社会安定的聚众闹事、骚乱事件，维护社会稳定。维护交通和交通秩序，处理交通事故，负责机动车和机动车驾驶员的管理工作。对易燃易爆物品的消防安全工作进行监督指导。管理枪支弹药，管制刀具和易燃易爆、剧毒品、放射性等危险物品。负责民用爆破器材、烟花爆竹的公共安全管理和使用、运输环节的监督。对法律规定的特种行业进行管理。警卫国家规定的特定人员，守卫重要场所和设施。管理集会、游行、示威活动。管理户政、国籍、出入境事务和外国人在中国居留、旅行的有关事务。对判处管制、拘役、剥夺政治权利的罪犯和监外执行的罪犯执行刑罚，对被宣告缓刑、假释的罪犯实行监督、考察。监督管理计算机系统、公共信息网络的安全保护工作。指导和监督国安家机关、社会团体、企事业单位的安全保卫工作，推动全区治安群防群治工作的开展。组织、指挥全区武警部队执行公安任务。负责规划和实施全区公安队伍建设以及民警管理、教育、培训和公安宣传、警务监督工作，按规定权限管理民警。负责办理全区公安机关行政诉讼、行政复议案件，推进执法制度建设。法律、法规规定的其他职责。承办区委、区政府和上级公安机关交办的其他事项。</w:t>
      </w:r>
    </w:p>
    <w:p>
      <w:pPr>
        <w:pStyle w:val="4"/>
        <w:widowControl/>
        <w:spacing w:before="226" w:beforeAutospacing="0" w:after="226" w:afterAutospacing="0" w:line="315" w:lineRule="atLeast"/>
        <w:ind w:firstLine="640" w:firstLineChars="200"/>
        <w:rPr>
          <w:rFonts w:eastAsia="方正仿宋_GBK"/>
          <w:kern w:val="2"/>
          <w:sz w:val="32"/>
          <w:szCs w:val="32"/>
        </w:rPr>
      </w:pPr>
      <w:r>
        <w:rPr>
          <w:rFonts w:hint="eastAsia" w:eastAsia="方正仿宋_GBK"/>
          <w:kern w:val="2"/>
          <w:sz w:val="32"/>
          <w:szCs w:val="32"/>
        </w:rPr>
        <w:t>2、单位构成</w:t>
      </w:r>
    </w:p>
    <w:p>
      <w:pPr>
        <w:pStyle w:val="4"/>
        <w:widowControl/>
        <w:spacing w:before="226" w:beforeAutospacing="0" w:after="226" w:afterAutospacing="0" w:line="315" w:lineRule="atLeast"/>
        <w:ind w:firstLine="640" w:firstLineChars="200"/>
        <w:rPr>
          <w:rFonts w:eastAsia="方正仿宋_GBK"/>
          <w:kern w:val="2"/>
          <w:sz w:val="32"/>
          <w:szCs w:val="32"/>
        </w:rPr>
      </w:pPr>
      <w:r>
        <w:rPr>
          <w:rFonts w:hint="eastAsia" w:eastAsia="方正仿宋_GBK"/>
          <w:kern w:val="2"/>
          <w:sz w:val="32"/>
          <w:szCs w:val="32"/>
        </w:rPr>
        <w:t>重庆市璧山区公安局为区政府组成部门，内设2</w:t>
      </w:r>
      <w:r>
        <w:rPr>
          <w:rFonts w:hint="eastAsia" w:eastAsia="方正仿宋_GBK"/>
          <w:kern w:val="2"/>
          <w:sz w:val="32"/>
          <w:szCs w:val="32"/>
          <w:lang w:val="en-US" w:eastAsia="zh-CN"/>
        </w:rPr>
        <w:t>6</w:t>
      </w:r>
      <w:r>
        <w:rPr>
          <w:rFonts w:hint="eastAsia" w:eastAsia="方正仿宋_GBK"/>
          <w:kern w:val="2"/>
          <w:sz w:val="32"/>
          <w:szCs w:val="32"/>
        </w:rPr>
        <w:t>个职能部门，分别为警令处、指挥中心、政治处、警务保障处、警务督察支队、</w:t>
      </w:r>
      <w:r>
        <w:rPr>
          <w:rFonts w:hint="eastAsia" w:eastAsia="方正仿宋_GBK"/>
          <w:kern w:val="2"/>
          <w:sz w:val="32"/>
          <w:szCs w:val="32"/>
          <w:lang w:eastAsia="zh-CN"/>
        </w:rPr>
        <w:t>纪律检查室、</w:t>
      </w:r>
      <w:r>
        <w:rPr>
          <w:rFonts w:hint="eastAsia" w:eastAsia="方正仿宋_GBK"/>
          <w:kern w:val="2"/>
          <w:sz w:val="32"/>
          <w:szCs w:val="32"/>
        </w:rPr>
        <w:t>科技信息化科、情报信息支队、国内安全保卫支队、经济犯罪侦查支队、打击假冒假劣商品犯罪侦查支队、治安管理支队、刑事侦察支队、出入境管理支队、网络安全保卫支队、反信息诈骗中心、交通巡逻警察支队、法制支队、禁毒支队、特警支队、应急维稳</w:t>
      </w:r>
      <w:bookmarkStart w:id="0" w:name="_GoBack"/>
      <w:bookmarkEnd w:id="0"/>
      <w:r>
        <w:rPr>
          <w:rFonts w:hint="eastAsia" w:eastAsia="方正仿宋_GBK"/>
          <w:kern w:val="2"/>
          <w:sz w:val="32"/>
          <w:szCs w:val="32"/>
        </w:rPr>
        <w:t>队、警卫处、便衣侦查支队、看守所、拘留戒毒所、森林警察支队；15个派出所，分别为璧泉派出所、璧城派出所、青杠派出所、丁家派出所、大路派出所、福禄派出所、来凤派出所、大兴派出所、正兴派出所、三合派出所、广普派出所、健龙派出所、河边派出所、七塘派出所、八塘派出所。人员编制数576人，人员构成为在职</w:t>
      </w:r>
      <w:r>
        <w:rPr>
          <w:rFonts w:hint="eastAsia" w:eastAsia="方正仿宋_GBK"/>
          <w:kern w:val="2"/>
          <w:sz w:val="32"/>
          <w:szCs w:val="32"/>
          <w:lang w:val="en-US" w:eastAsia="zh-CN"/>
        </w:rPr>
        <w:t>568</w:t>
      </w:r>
      <w:r>
        <w:rPr>
          <w:rFonts w:hint="eastAsia" w:eastAsia="方正仿宋_GBK"/>
          <w:kern w:val="2"/>
          <w:sz w:val="32"/>
          <w:szCs w:val="32"/>
        </w:rPr>
        <w:t>人、劳务派遣</w:t>
      </w:r>
      <w:r>
        <w:rPr>
          <w:rFonts w:hint="eastAsia" w:eastAsia="方正仿宋_GBK"/>
          <w:kern w:val="2"/>
          <w:sz w:val="32"/>
          <w:szCs w:val="32"/>
          <w:lang w:val="en-US" w:eastAsia="zh-CN"/>
        </w:rPr>
        <w:t>564</w:t>
      </w:r>
      <w:r>
        <w:rPr>
          <w:rFonts w:hint="eastAsia" w:eastAsia="方正仿宋_GBK"/>
          <w:kern w:val="2"/>
          <w:sz w:val="32"/>
          <w:szCs w:val="32"/>
        </w:rPr>
        <w:t>人。</w:t>
      </w:r>
    </w:p>
    <w:p>
      <w:pPr>
        <w:numPr>
          <w:ilvl w:val="0"/>
          <w:numId w:val="0"/>
        </w:numPr>
        <w:spacing w:line="596" w:lineRule="exact"/>
        <w:ind w:firstLine="320" w:firstLineChars="100"/>
        <w:rPr>
          <w:rFonts w:eastAsia="方正仿宋_GBK"/>
          <w:sz w:val="32"/>
          <w:szCs w:val="32"/>
        </w:rPr>
      </w:pPr>
      <w:r>
        <w:rPr>
          <w:rFonts w:hint="eastAsia" w:eastAsia="方正仿宋_GBK"/>
          <w:sz w:val="32"/>
          <w:szCs w:val="32"/>
          <w:lang w:eastAsia="zh-CN"/>
        </w:rPr>
        <w:t>（二）</w:t>
      </w:r>
      <w:r>
        <w:rPr>
          <w:rFonts w:hint="eastAsia" w:eastAsia="方正仿宋_GBK"/>
          <w:sz w:val="32"/>
          <w:szCs w:val="32"/>
        </w:rPr>
        <w:t>预算及支出情况</w:t>
      </w:r>
      <w:r>
        <w:rPr>
          <w:rFonts w:eastAsia="方正仿宋_GBK"/>
          <w:sz w:val="32"/>
          <w:szCs w:val="32"/>
        </w:rPr>
        <w:t>。</w:t>
      </w:r>
    </w:p>
    <w:p>
      <w:pPr>
        <w:spacing w:line="596" w:lineRule="exact"/>
        <w:rPr>
          <w:rFonts w:eastAsia="方正仿宋_GBK"/>
          <w:sz w:val="32"/>
          <w:szCs w:val="32"/>
        </w:rPr>
      </w:pPr>
    </w:p>
    <w:p>
      <w:pPr>
        <w:numPr>
          <w:ilvl w:val="0"/>
          <w:numId w:val="0"/>
        </w:numPr>
        <w:spacing w:line="596" w:lineRule="exact"/>
        <w:ind w:firstLine="320" w:firstLineChars="100"/>
        <w:rPr>
          <w:rFonts w:eastAsia="方正仿宋_GBK"/>
          <w:sz w:val="32"/>
          <w:szCs w:val="32"/>
        </w:rPr>
      </w:pPr>
      <w:r>
        <w:rPr>
          <w:rFonts w:hint="eastAsia" w:eastAsia="方正仿宋_GBK"/>
          <w:sz w:val="32"/>
          <w:szCs w:val="32"/>
          <w:lang w:val="en-US" w:eastAsia="zh-CN"/>
        </w:rPr>
        <w:t>1、</w:t>
      </w:r>
      <w:r>
        <w:rPr>
          <w:rFonts w:hint="eastAsia" w:eastAsia="方正仿宋_GBK"/>
          <w:sz w:val="32"/>
          <w:szCs w:val="32"/>
        </w:rPr>
        <w:t>收入预算：202</w:t>
      </w:r>
      <w:r>
        <w:rPr>
          <w:rFonts w:hint="eastAsia" w:eastAsia="方正仿宋_GBK"/>
          <w:sz w:val="32"/>
          <w:szCs w:val="32"/>
          <w:lang w:val="en-US" w:eastAsia="zh-CN"/>
        </w:rPr>
        <w:t>1</w:t>
      </w:r>
      <w:r>
        <w:rPr>
          <w:rFonts w:hint="eastAsia" w:eastAsia="方正仿宋_GBK"/>
          <w:sz w:val="32"/>
          <w:szCs w:val="32"/>
        </w:rPr>
        <w:t>年年初预算数</w:t>
      </w:r>
      <w:r>
        <w:rPr>
          <w:rFonts w:hint="eastAsia" w:eastAsia="方正仿宋_GBK"/>
          <w:sz w:val="32"/>
          <w:szCs w:val="32"/>
          <w:lang w:val="en-US" w:eastAsia="zh-CN"/>
        </w:rPr>
        <w:t>37411.29</w:t>
      </w:r>
      <w:r>
        <w:rPr>
          <w:rFonts w:hint="eastAsia" w:eastAsia="方正仿宋_GBK"/>
          <w:sz w:val="32"/>
          <w:szCs w:val="32"/>
        </w:rPr>
        <w:t>万元，其中：一般公共预算拨款</w:t>
      </w:r>
      <w:r>
        <w:rPr>
          <w:rFonts w:hint="eastAsia" w:eastAsia="方正仿宋_GBK"/>
          <w:sz w:val="32"/>
          <w:szCs w:val="32"/>
          <w:lang w:val="en-US" w:eastAsia="zh-CN"/>
        </w:rPr>
        <w:t>25192.74</w:t>
      </w:r>
      <w:r>
        <w:rPr>
          <w:rFonts w:hint="eastAsia" w:eastAsia="方正仿宋_GBK"/>
          <w:sz w:val="32"/>
          <w:szCs w:val="32"/>
        </w:rPr>
        <w:t>万元，调整预算数</w:t>
      </w:r>
      <w:r>
        <w:rPr>
          <w:rFonts w:hint="eastAsia" w:eastAsia="方正仿宋_GBK"/>
          <w:sz w:val="32"/>
          <w:szCs w:val="32"/>
          <w:lang w:val="en-US" w:eastAsia="zh-CN"/>
        </w:rPr>
        <w:t>26613.57</w:t>
      </w:r>
      <w:r>
        <w:rPr>
          <w:rFonts w:hint="eastAsia" w:eastAsia="方正仿宋_GBK"/>
          <w:sz w:val="32"/>
          <w:szCs w:val="32"/>
        </w:rPr>
        <w:t>万元。</w:t>
      </w:r>
      <w:r>
        <w:rPr>
          <w:rFonts w:hint="eastAsia" w:eastAsia="方正仿宋_GBK"/>
          <w:sz w:val="32"/>
          <w:szCs w:val="32"/>
          <w:lang w:eastAsia="zh-CN"/>
        </w:rPr>
        <w:t>政府性基金预算财政拨款收入</w:t>
      </w:r>
      <w:r>
        <w:rPr>
          <w:rFonts w:hint="eastAsia" w:eastAsia="方正仿宋_GBK"/>
          <w:sz w:val="32"/>
          <w:szCs w:val="32"/>
          <w:lang w:val="en-US" w:eastAsia="zh-CN"/>
        </w:rPr>
        <w:t>12218.55万元，调整预算数9433.79万元。</w:t>
      </w:r>
    </w:p>
    <w:p>
      <w:pPr>
        <w:numPr>
          <w:ilvl w:val="0"/>
          <w:numId w:val="0"/>
        </w:numPr>
        <w:spacing w:line="596" w:lineRule="exact"/>
        <w:ind w:firstLine="320" w:firstLineChars="100"/>
        <w:rPr>
          <w:rFonts w:eastAsia="方正仿宋_GBK"/>
          <w:sz w:val="32"/>
          <w:szCs w:val="32"/>
        </w:rPr>
      </w:pPr>
      <w:r>
        <w:rPr>
          <w:rFonts w:hint="eastAsia" w:eastAsia="方正仿宋_GBK"/>
          <w:sz w:val="32"/>
          <w:szCs w:val="32"/>
          <w:lang w:val="en-US" w:eastAsia="zh-CN"/>
        </w:rPr>
        <w:t>2、</w:t>
      </w:r>
      <w:r>
        <w:rPr>
          <w:rFonts w:hint="eastAsia" w:eastAsia="方正仿宋_GBK"/>
          <w:sz w:val="32"/>
          <w:szCs w:val="32"/>
        </w:rPr>
        <w:t>支出预算：202</w:t>
      </w:r>
      <w:r>
        <w:rPr>
          <w:rFonts w:hint="eastAsia" w:eastAsia="方正仿宋_GBK"/>
          <w:sz w:val="32"/>
          <w:szCs w:val="32"/>
          <w:lang w:val="en-US" w:eastAsia="zh-CN"/>
        </w:rPr>
        <w:t>1</w:t>
      </w:r>
      <w:r>
        <w:rPr>
          <w:rFonts w:hint="eastAsia" w:eastAsia="方正仿宋_GBK"/>
          <w:sz w:val="32"/>
          <w:szCs w:val="32"/>
        </w:rPr>
        <w:t>年年初预算数</w:t>
      </w:r>
      <w:r>
        <w:rPr>
          <w:rFonts w:hint="eastAsia" w:eastAsia="方正仿宋_GBK"/>
          <w:sz w:val="32"/>
          <w:szCs w:val="32"/>
          <w:lang w:val="en-US" w:eastAsia="zh-CN"/>
        </w:rPr>
        <w:t>37411.29</w:t>
      </w:r>
      <w:r>
        <w:rPr>
          <w:rFonts w:hint="eastAsia" w:eastAsia="方正仿宋_GBK"/>
          <w:sz w:val="32"/>
          <w:szCs w:val="32"/>
        </w:rPr>
        <w:t>万元，其中：公共安全</w:t>
      </w:r>
      <w:r>
        <w:rPr>
          <w:rFonts w:hint="eastAsia" w:eastAsia="方正仿宋_GBK"/>
          <w:sz w:val="32"/>
          <w:szCs w:val="32"/>
          <w:lang w:val="en-US" w:eastAsia="zh-CN"/>
        </w:rPr>
        <w:t>21436.78</w:t>
      </w:r>
      <w:r>
        <w:rPr>
          <w:rFonts w:hint="eastAsia" w:eastAsia="方正仿宋_GBK"/>
          <w:sz w:val="32"/>
          <w:szCs w:val="32"/>
        </w:rPr>
        <w:t>万元，社会保障和就业</w:t>
      </w:r>
      <w:r>
        <w:rPr>
          <w:rFonts w:hint="eastAsia" w:eastAsia="方正仿宋_GBK"/>
          <w:sz w:val="32"/>
          <w:szCs w:val="32"/>
          <w:lang w:val="en-US" w:eastAsia="zh-CN"/>
        </w:rPr>
        <w:t>1728.76</w:t>
      </w:r>
      <w:r>
        <w:rPr>
          <w:rFonts w:hint="eastAsia" w:eastAsia="方正仿宋_GBK"/>
          <w:sz w:val="32"/>
          <w:szCs w:val="32"/>
        </w:rPr>
        <w:t>万元，卫生健康支出</w:t>
      </w:r>
      <w:r>
        <w:rPr>
          <w:rFonts w:hint="eastAsia" w:eastAsia="方正仿宋_GBK"/>
          <w:sz w:val="32"/>
          <w:szCs w:val="32"/>
          <w:lang w:val="en-US" w:eastAsia="zh-CN"/>
        </w:rPr>
        <w:t>896.32</w:t>
      </w:r>
      <w:r>
        <w:rPr>
          <w:rFonts w:hint="eastAsia" w:eastAsia="方正仿宋_GBK"/>
          <w:sz w:val="32"/>
          <w:szCs w:val="32"/>
        </w:rPr>
        <w:t>万元，住房保障</w:t>
      </w:r>
      <w:r>
        <w:rPr>
          <w:rFonts w:hint="eastAsia" w:eastAsia="方正仿宋_GBK"/>
          <w:sz w:val="32"/>
          <w:szCs w:val="32"/>
          <w:lang w:val="en-US" w:eastAsia="zh-CN"/>
        </w:rPr>
        <w:t>1130.87</w:t>
      </w:r>
      <w:r>
        <w:rPr>
          <w:rFonts w:hint="eastAsia" w:eastAsia="方正仿宋_GBK"/>
          <w:sz w:val="32"/>
          <w:szCs w:val="32"/>
        </w:rPr>
        <w:t>万元，城乡社区</w:t>
      </w:r>
      <w:r>
        <w:rPr>
          <w:rFonts w:hint="eastAsia" w:eastAsia="方正仿宋_GBK"/>
          <w:sz w:val="32"/>
          <w:szCs w:val="32"/>
          <w:lang w:val="en-US" w:eastAsia="zh-CN"/>
        </w:rPr>
        <w:t>12218.55</w:t>
      </w:r>
      <w:r>
        <w:rPr>
          <w:rFonts w:hint="eastAsia" w:eastAsia="方正仿宋_GBK"/>
          <w:sz w:val="32"/>
          <w:szCs w:val="32"/>
        </w:rPr>
        <w:t>万元，调整预算数</w:t>
      </w:r>
      <w:r>
        <w:rPr>
          <w:rFonts w:hint="eastAsia" w:eastAsia="方正仿宋_GBK"/>
          <w:sz w:val="32"/>
          <w:szCs w:val="32"/>
          <w:lang w:val="en-US" w:eastAsia="zh-CN"/>
        </w:rPr>
        <w:t>36783.96</w:t>
      </w:r>
      <w:r>
        <w:rPr>
          <w:rFonts w:hint="eastAsia" w:eastAsia="方正仿宋_GBK"/>
          <w:sz w:val="32"/>
          <w:szCs w:val="32"/>
        </w:rPr>
        <w:t>万元。</w:t>
      </w:r>
    </w:p>
    <w:p>
      <w:pPr>
        <w:spacing w:line="596" w:lineRule="exact"/>
        <w:ind w:firstLine="320" w:firstLineChars="100"/>
        <w:rPr>
          <w:rFonts w:eastAsia="方正仿宋_GBK"/>
          <w:sz w:val="32"/>
          <w:szCs w:val="32"/>
        </w:rPr>
      </w:pPr>
      <w:r>
        <w:rPr>
          <w:rFonts w:hint="eastAsia" w:eastAsia="方正仿宋_GBK"/>
          <w:sz w:val="32"/>
          <w:szCs w:val="32"/>
          <w:lang w:val="en-US" w:eastAsia="zh-CN"/>
        </w:rPr>
        <w:t>3、</w:t>
      </w:r>
      <w:r>
        <w:rPr>
          <w:rFonts w:hint="eastAsia" w:eastAsia="方正仿宋_GBK"/>
          <w:sz w:val="32"/>
          <w:szCs w:val="32"/>
        </w:rPr>
        <w:t>支出决算数</w:t>
      </w:r>
      <w:r>
        <w:rPr>
          <w:rFonts w:hint="eastAsia" w:eastAsia="方正仿宋_GBK"/>
          <w:sz w:val="32"/>
          <w:szCs w:val="32"/>
          <w:lang w:val="en-US" w:eastAsia="zh-CN"/>
        </w:rPr>
        <w:t>36753.34</w:t>
      </w:r>
      <w:r>
        <w:rPr>
          <w:rFonts w:hint="eastAsia" w:eastAsia="方正仿宋_GBK"/>
          <w:sz w:val="32"/>
          <w:szCs w:val="32"/>
        </w:rPr>
        <w:t>6万元，其中公共安全支出</w:t>
      </w:r>
      <w:r>
        <w:rPr>
          <w:rFonts w:hint="eastAsia" w:eastAsia="方正仿宋_GBK"/>
          <w:sz w:val="32"/>
          <w:szCs w:val="32"/>
          <w:lang w:val="en-US" w:eastAsia="zh-CN"/>
        </w:rPr>
        <w:t>22413.77</w:t>
      </w:r>
      <w:r>
        <w:rPr>
          <w:rFonts w:hint="eastAsia" w:eastAsia="方正仿宋_GBK"/>
          <w:sz w:val="32"/>
          <w:szCs w:val="32"/>
        </w:rPr>
        <w:t>万元，社会保障和就业支出</w:t>
      </w:r>
      <w:r>
        <w:rPr>
          <w:rFonts w:hint="eastAsia" w:eastAsia="方正仿宋_GBK"/>
          <w:sz w:val="32"/>
          <w:szCs w:val="32"/>
          <w:lang w:val="en-US" w:eastAsia="zh-CN"/>
        </w:rPr>
        <w:t>2834.95</w:t>
      </w:r>
      <w:r>
        <w:rPr>
          <w:rFonts w:hint="eastAsia" w:eastAsia="方正仿宋_GBK"/>
          <w:sz w:val="32"/>
          <w:szCs w:val="32"/>
        </w:rPr>
        <w:t>万元</w:t>
      </w:r>
      <w:r>
        <w:rPr>
          <w:rFonts w:hint="eastAsia" w:eastAsia="方正仿宋_GBK"/>
          <w:sz w:val="32"/>
          <w:szCs w:val="32"/>
          <w:lang w:eastAsia="zh-CN"/>
        </w:rPr>
        <w:t>，</w:t>
      </w:r>
      <w:r>
        <w:rPr>
          <w:rFonts w:hint="eastAsia" w:eastAsia="方正仿宋_GBK"/>
          <w:sz w:val="32"/>
          <w:szCs w:val="32"/>
        </w:rPr>
        <w:t>卫生健康支出</w:t>
      </w:r>
      <w:r>
        <w:rPr>
          <w:rFonts w:hint="eastAsia" w:eastAsia="方正仿宋_GBK"/>
          <w:sz w:val="32"/>
          <w:szCs w:val="32"/>
          <w:lang w:val="en-US" w:eastAsia="zh-CN"/>
        </w:rPr>
        <w:t>819.56</w:t>
      </w:r>
      <w:r>
        <w:rPr>
          <w:rFonts w:hint="eastAsia" w:eastAsia="方正仿宋_GBK"/>
          <w:sz w:val="32"/>
          <w:szCs w:val="32"/>
        </w:rPr>
        <w:t>万元，住房保障支出</w:t>
      </w:r>
      <w:r>
        <w:rPr>
          <w:rFonts w:hint="eastAsia" w:eastAsia="方正仿宋_GBK"/>
          <w:sz w:val="32"/>
          <w:szCs w:val="32"/>
          <w:lang w:val="en-US" w:eastAsia="zh-CN"/>
        </w:rPr>
        <w:t>12250.58</w:t>
      </w:r>
      <w:r>
        <w:rPr>
          <w:rFonts w:hint="eastAsia" w:eastAsia="方正仿宋_GBK"/>
          <w:sz w:val="32"/>
          <w:szCs w:val="32"/>
        </w:rPr>
        <w:t>万元，城乡社区</w:t>
      </w:r>
      <w:r>
        <w:rPr>
          <w:rFonts w:hint="eastAsia" w:eastAsia="方正仿宋_GBK"/>
          <w:sz w:val="32"/>
          <w:szCs w:val="32"/>
          <w:lang w:val="en-US" w:eastAsia="zh-CN"/>
        </w:rPr>
        <w:t>9464.48</w:t>
      </w:r>
      <w:r>
        <w:rPr>
          <w:rFonts w:hint="eastAsia" w:eastAsia="方正仿宋_GBK"/>
          <w:sz w:val="32"/>
          <w:szCs w:val="32"/>
        </w:rPr>
        <w:t>万元。年末结转结余</w:t>
      </w:r>
      <w:r>
        <w:rPr>
          <w:rFonts w:hint="eastAsia" w:eastAsia="方正仿宋_GBK"/>
          <w:sz w:val="32"/>
          <w:szCs w:val="32"/>
          <w:lang w:val="en-US" w:eastAsia="zh-CN"/>
        </w:rPr>
        <w:t>30.62</w:t>
      </w:r>
      <w:r>
        <w:rPr>
          <w:rFonts w:hint="eastAsia" w:eastAsia="方正仿宋_GBK"/>
          <w:sz w:val="32"/>
          <w:szCs w:val="32"/>
        </w:rPr>
        <w:t>万元。</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（一）绩效评价目的</w:t>
      </w:r>
    </w:p>
    <w:p>
      <w:pPr>
        <w:spacing w:line="596" w:lineRule="exact"/>
        <w:ind w:firstLine="640" w:firstLineChars="200"/>
        <w:rPr>
          <w:rFonts w:eastAsia="方正仿宋_GBK"/>
          <w:sz w:val="32"/>
          <w:szCs w:val="32"/>
        </w:rPr>
      </w:pPr>
      <w:r>
        <w:rPr>
          <w:rFonts w:hint="eastAsia" w:eastAsia="方正仿宋_GBK"/>
          <w:sz w:val="32"/>
          <w:szCs w:val="32"/>
        </w:rPr>
        <w:t>严格落实《预算法》及市、区绩效管理工作的有关规定，加强和改进新形势下璧山公安工作，提升责任意识，规范公安资金管理，强化财政支出绩效理念，提升资金管理水平，促进公安工作高质量发展。</w:t>
      </w:r>
    </w:p>
    <w:p>
      <w:pPr>
        <w:spacing w:line="596" w:lineRule="exact"/>
        <w:ind w:firstLine="640" w:firstLineChars="200"/>
        <w:rPr>
          <w:rFonts w:eastAsia="方正仿宋_GBK"/>
          <w:sz w:val="32"/>
          <w:szCs w:val="32"/>
        </w:rPr>
      </w:pPr>
      <w:r>
        <w:rPr>
          <w:rFonts w:eastAsia="方正仿宋_GBK"/>
          <w:sz w:val="32"/>
          <w:szCs w:val="32"/>
        </w:rPr>
        <w:t>（二）绩效评价原则</w:t>
      </w:r>
      <w:r>
        <w:rPr>
          <w:rFonts w:hint="eastAsia" w:eastAsia="方正仿宋_GBK"/>
          <w:sz w:val="32"/>
          <w:szCs w:val="32"/>
          <w:lang w:eastAsia="zh-CN"/>
        </w:rPr>
        <w:t>、</w:t>
      </w:r>
      <w:r>
        <w:rPr>
          <w:rFonts w:eastAsia="方正仿宋_GBK"/>
          <w:sz w:val="32"/>
          <w:szCs w:val="32"/>
        </w:rPr>
        <w:t>评价方法</w:t>
      </w:r>
    </w:p>
    <w:p>
      <w:pPr>
        <w:spacing w:line="596" w:lineRule="exact"/>
        <w:ind w:firstLine="640" w:firstLineChars="200"/>
        <w:rPr>
          <w:rFonts w:hint="eastAsia" w:eastAsia="方正仿宋_GBK"/>
          <w:sz w:val="32"/>
          <w:szCs w:val="32"/>
        </w:rPr>
      </w:pPr>
      <w:r>
        <w:rPr>
          <w:rFonts w:hint="eastAsia" w:eastAsia="方正仿宋_GBK"/>
          <w:sz w:val="32"/>
          <w:szCs w:val="32"/>
        </w:rPr>
        <w:t>绩效评价原则包括科学规范原则、公开公正原则、分级分类原则、绩效相关原则。</w:t>
      </w:r>
    </w:p>
    <w:p>
      <w:pPr>
        <w:spacing w:line="596" w:lineRule="exact"/>
        <w:ind w:firstLine="640" w:firstLineChars="200"/>
        <w:rPr>
          <w:rFonts w:hint="eastAsia" w:eastAsia="方正仿宋_GBK"/>
          <w:sz w:val="32"/>
          <w:szCs w:val="32"/>
        </w:rPr>
      </w:pPr>
      <w:r>
        <w:rPr>
          <w:rFonts w:hint="eastAsia" w:eastAsia="方正仿宋_GBK"/>
          <w:sz w:val="32"/>
          <w:szCs w:val="32"/>
        </w:rPr>
        <w:t>评价的方法主要包括成本效益分析法、比较法、因素分析法、最低成本法、公众评判法、标杆管理法等。</w:t>
      </w:r>
    </w:p>
    <w:p>
      <w:pPr>
        <w:numPr>
          <w:ilvl w:val="0"/>
          <w:numId w:val="1"/>
        </w:numPr>
        <w:spacing w:line="596" w:lineRule="exact"/>
        <w:ind w:firstLine="640" w:firstLineChars="200"/>
        <w:rPr>
          <w:rFonts w:eastAsia="方正仿宋_GBK"/>
          <w:sz w:val="32"/>
          <w:szCs w:val="32"/>
        </w:rPr>
      </w:pPr>
      <w:r>
        <w:rPr>
          <w:rFonts w:eastAsia="方正仿宋_GBK"/>
          <w:sz w:val="32"/>
          <w:szCs w:val="32"/>
        </w:rPr>
        <w:t>绩效评价工作过程</w:t>
      </w:r>
    </w:p>
    <w:p>
      <w:pPr>
        <w:spacing w:line="596" w:lineRule="exact"/>
        <w:ind w:firstLine="640" w:firstLineChars="200"/>
        <w:rPr>
          <w:rFonts w:eastAsia="方正仿宋_GBK"/>
          <w:sz w:val="32"/>
          <w:szCs w:val="32"/>
        </w:rPr>
      </w:pPr>
      <w:r>
        <w:rPr>
          <w:rFonts w:hint="eastAsia" w:eastAsia="方正仿宋_GBK"/>
          <w:sz w:val="32"/>
          <w:szCs w:val="32"/>
        </w:rPr>
        <w:t>我单位成立了绩效评价工作小组负责本部门绩效自评工作的组织领导和具体实施，明确了工作职责和分工，制定了切实可行的评价方案。根据各业务警种，项目牵头科室的情况汇报和提交的工作计划、工作总结等资料，评价小组现场进行询查和核实，根据确定的评价指标评价标准和评价方法同意打分，形成自评结论。</w:t>
      </w:r>
    </w:p>
    <w:p>
      <w:pPr>
        <w:spacing w:line="596" w:lineRule="exact"/>
        <w:ind w:firstLine="640" w:firstLineChars="200"/>
        <w:rPr>
          <w:rFonts w:eastAsia="方正仿宋_GBK"/>
          <w:sz w:val="32"/>
          <w:szCs w:val="32"/>
        </w:rPr>
      </w:pPr>
      <w:r>
        <w:rPr>
          <w:rFonts w:hint="eastAsia" w:eastAsia="方正仿宋_GBK"/>
          <w:sz w:val="32"/>
          <w:szCs w:val="32"/>
        </w:rPr>
        <w:t>我局202</w:t>
      </w:r>
      <w:r>
        <w:rPr>
          <w:rFonts w:hint="eastAsia" w:eastAsia="方正仿宋_GBK"/>
          <w:sz w:val="32"/>
          <w:szCs w:val="32"/>
          <w:lang w:val="en-US" w:eastAsia="zh-CN"/>
        </w:rPr>
        <w:t>1</w:t>
      </w:r>
      <w:r>
        <w:rPr>
          <w:rFonts w:hint="eastAsia" w:eastAsia="方正仿宋_GBK"/>
          <w:sz w:val="32"/>
          <w:szCs w:val="32"/>
        </w:rPr>
        <w:t>年度严格执行年初部门预算，资金使用及管理规范，制度落实到位，绩效考核目标任务圆满完成，按照部门整体支出绩效评价指标体系对照打分的得出结果为</w:t>
      </w:r>
      <w:r>
        <w:rPr>
          <w:rFonts w:hint="eastAsia" w:eastAsia="方正仿宋_GBK"/>
          <w:sz w:val="32"/>
          <w:szCs w:val="32"/>
          <w:lang w:val="en-US" w:eastAsia="zh-CN"/>
        </w:rPr>
        <w:t>99.92</w:t>
      </w:r>
      <w:r>
        <w:rPr>
          <w:rFonts w:hint="eastAsia" w:eastAsia="方正仿宋_GBK"/>
          <w:sz w:val="32"/>
          <w:szCs w:val="32"/>
        </w:rPr>
        <w:t>分，等级为优秀。</w:t>
      </w:r>
    </w:p>
    <w:p>
      <w:pPr>
        <w:spacing w:line="596" w:lineRule="exact"/>
        <w:ind w:firstLine="640" w:firstLineChars="200"/>
        <w:rPr>
          <w:rFonts w:eastAsia="方正仿宋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hint="eastAsia" w:eastAsia="方正仿宋_GBK"/>
          <w:sz w:val="32"/>
          <w:szCs w:val="32"/>
        </w:rPr>
        <w:t>绩效目标设定合理，符合国家法律法规、国民经济和社会发展总体规划，符合部门“三定”方案确定的职责，符合部门制定的中长期实施规划。指标清晰、明确，将部门整体的绩效目标细化分解为具体的工作任务，通过清晰、可衡量的指标值予以体现，部门年度的任务数或计划数相对应，与本年度部门预算资金相匹配。</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rPr>
        <w:t>预算预算执行方面，预算</w:t>
      </w:r>
      <w:r>
        <w:rPr>
          <w:rFonts w:hint="eastAsia" w:eastAsia="方正仿宋_GBK"/>
          <w:sz w:val="32"/>
          <w:szCs w:val="32"/>
          <w:lang w:eastAsia="zh-CN"/>
        </w:rPr>
        <w:t>执行</w:t>
      </w:r>
      <w:r>
        <w:rPr>
          <w:rFonts w:hint="eastAsia" w:eastAsia="方正仿宋_GBK"/>
          <w:sz w:val="32"/>
          <w:szCs w:val="32"/>
        </w:rPr>
        <w:t>率</w:t>
      </w:r>
      <w:r>
        <w:rPr>
          <w:rFonts w:hint="eastAsia" w:eastAsia="方正仿宋_GBK"/>
          <w:sz w:val="32"/>
          <w:szCs w:val="32"/>
          <w:lang w:val="en-US" w:eastAsia="zh-CN"/>
        </w:rPr>
        <w:t>99.92</w:t>
      </w:r>
      <w:r>
        <w:rPr>
          <w:rFonts w:hint="eastAsia" w:eastAsia="方正仿宋_GBK"/>
          <w:sz w:val="32"/>
          <w:szCs w:val="32"/>
        </w:rPr>
        <w:t>%，得分</w:t>
      </w:r>
      <w:r>
        <w:rPr>
          <w:rFonts w:hint="eastAsia" w:eastAsia="方正仿宋_GBK"/>
          <w:sz w:val="32"/>
          <w:szCs w:val="32"/>
          <w:lang w:val="en-US" w:eastAsia="zh-CN"/>
        </w:rPr>
        <w:t>9.92</w:t>
      </w:r>
      <w:r>
        <w:rPr>
          <w:rFonts w:hint="eastAsia" w:eastAsia="方正仿宋_GBK"/>
          <w:sz w:val="32"/>
          <w:szCs w:val="32"/>
        </w:rPr>
        <w:t>分，我单位制定了内部财务管理制度、会计核算制度等管理制度，有本部门厉行节约制度，相关管理制度合法、合规、完整，相关管理制度得到有效执行。支出符合国家财经法规和财务管理制度规定以及有关专项资金管理办法的规定，资金拨付有完整的审批程序和手续，预算调整履行规定程序，支出符合部门预算批复的用途，资金使用无截留、挤占、挪用、虚列支出等情况，按规定内容公开预算信息，基础数据信息和会计信息资料真实、完整、准确。达到限额标准的项目均按照要求通过招投标或竞争性比选程序实施，中标单位与实际施工单位一致，项目经理与合同指派一致，人员变更按合同要求取得建设单位同意，已制定资产管理制度，合法、合规、完整，得到有效执行。资产保存是否完整。资产处置是否规范，资产账务管理是否合规，是否帐实相符，资产有偿使用及处置收入及时足额上缴国库。</w:t>
      </w:r>
      <w:r>
        <w:rPr>
          <w:rFonts w:hint="eastAsia" w:eastAsia="方正仿宋_GBK"/>
          <w:sz w:val="32"/>
          <w:szCs w:val="32"/>
          <w:lang w:val="en-US" w:eastAsia="zh-CN"/>
        </w:rPr>
        <w:t xml:space="preserve">    </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产出指标方面的具体分析：</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rPr>
        <w:t>202</w:t>
      </w:r>
      <w:r>
        <w:rPr>
          <w:rFonts w:hint="eastAsia" w:eastAsia="方正仿宋_GBK"/>
          <w:sz w:val="32"/>
          <w:szCs w:val="32"/>
          <w:lang w:val="en-US" w:eastAsia="zh-CN"/>
        </w:rPr>
        <w:t>1</w:t>
      </w:r>
      <w:r>
        <w:rPr>
          <w:rFonts w:hint="eastAsia" w:eastAsia="方正仿宋_GBK"/>
          <w:sz w:val="32"/>
          <w:szCs w:val="32"/>
        </w:rPr>
        <w:t>年我局坚持把勇争一流作为奋斗目标，始终坚持在全局树立创先争优意识，业务工作继续保持全市前列，</w:t>
      </w:r>
      <w:r>
        <w:rPr>
          <w:rFonts w:hint="eastAsia" w:eastAsia="方正仿宋_GBK"/>
          <w:sz w:val="32"/>
          <w:szCs w:val="32"/>
          <w:lang w:eastAsia="zh-CN"/>
        </w:rPr>
        <w:t>九类主要刑事案件破案率达</w:t>
      </w:r>
      <w:r>
        <w:rPr>
          <w:rFonts w:hint="eastAsia" w:eastAsia="方正仿宋_GBK"/>
          <w:sz w:val="32"/>
          <w:szCs w:val="32"/>
          <w:lang w:val="en-US" w:eastAsia="zh-CN"/>
        </w:rPr>
        <w:t>91.7%，</w:t>
      </w:r>
      <w:r>
        <w:rPr>
          <w:rFonts w:hint="eastAsia" w:eastAsia="方正仿宋_GBK"/>
          <w:sz w:val="32"/>
          <w:szCs w:val="32"/>
          <w:lang w:eastAsia="zh-CN"/>
        </w:rPr>
        <w:t>抓获上网逃犯</w:t>
      </w:r>
      <w:r>
        <w:rPr>
          <w:rFonts w:hint="eastAsia" w:eastAsia="方正仿宋_GBK"/>
          <w:sz w:val="32"/>
          <w:szCs w:val="32"/>
          <w:lang w:val="en-US" w:eastAsia="zh-CN"/>
        </w:rPr>
        <w:t>143人，其中命案逃犯4人。百日会战专项行动集中破获盗窃案件111件，抓获犯罪嫌疑人36人，追赃挽损126856元，盗窃案件破案率同比提升34.21%。纵深推进全民反诈专项行动，累计拨打预警电话6万元余个，成功劝阻350人，为群众避免损失90.07万元，返还被骗资金312.17万元，打掉诈骗窝点10个，电信网络诈骗案件立案数同比下降22.22%。全</w:t>
      </w:r>
      <w:r>
        <w:rPr>
          <w:rFonts w:hint="eastAsia" w:eastAsia="方正仿宋_GBK"/>
          <w:sz w:val="32"/>
          <w:szCs w:val="32"/>
        </w:rPr>
        <w:t>区</w:t>
      </w:r>
      <w:r>
        <w:rPr>
          <w:rFonts w:hint="eastAsia" w:eastAsia="方正仿宋_GBK"/>
          <w:sz w:val="32"/>
          <w:szCs w:val="32"/>
          <w:lang w:val="en-US" w:eastAsia="zh-CN"/>
        </w:rPr>
        <w:t>4个常态挂牌整治社区及2个动态挂牌整治地区刑事立案数同比下降37.9%。圆满完成璧山半程马拉松、无人机表演、西部动漫节等70余场次大型活动安全保卫工作。查处非法储存烟花爆竹案4件，行政拘留4人。严厉查处“三超一疲劳”、酒驾等重点交通违法行动，道路交通死亡人数同比下降26.83%，全年未发生较大以上道路交通安全事故。创新打造党建引领、警邻同行机制，把服务群众的触角延伸进居民小区，成功排查化解较大矛盾纠纷293起，大力开展疫情防控、自然灾害预警、防火等主题宣传662次，带领业主排查小区安全隐患80余处；城区家庭纠纷、邻里纠纷、物业纠纷三类小区常见警情全部实现环比下降，小区重大安全事故零发生，城区易发侵财类警情环比下降25.1%，经验得到全市推广。综合服务窗口在全区15个派出所全面推开，建成璧山创新生态社区4个24小时无人便民服务点，配合相关部门创新退出新生儿零见面办理业务；在窗口单位设立老年人“绿色通道”19个，设置”川渝通办”专窗15个，与中国邮政合作打造交管业务便民服务点14个，清理僵尸车601辆，施划停车位6021个，重拳整治“飙车党”，积极回应群众呼声诉求。全局全年共有32个集体、383名个人收到表彰奖励。璧泉派出所荣获2021年度全市公安最美渝警楷模集体荣誉称号。</w:t>
      </w:r>
    </w:p>
    <w:p>
      <w:pPr>
        <w:spacing w:line="596" w:lineRule="exact"/>
        <w:ind w:firstLine="640" w:firstLineChars="200"/>
        <w:rPr>
          <w:rFonts w:hint="default" w:eastAsia="方正仿宋_GBK"/>
          <w:sz w:val="32"/>
          <w:szCs w:val="32"/>
          <w:lang w:val="en-US" w:eastAsia="zh-CN"/>
        </w:rPr>
      </w:pPr>
      <w:r>
        <w:rPr>
          <w:rFonts w:hint="eastAsia" w:eastAsia="方正仿宋_GBK"/>
          <w:sz w:val="32"/>
          <w:szCs w:val="32"/>
          <w:lang w:eastAsia="zh-CN"/>
        </w:rPr>
        <w:t>年初制定的各项绩效指标均已达到标准，</w:t>
      </w:r>
      <w:r>
        <w:rPr>
          <w:rFonts w:hint="eastAsia" w:eastAsia="方正仿宋_GBK"/>
          <w:sz w:val="32"/>
          <w:szCs w:val="32"/>
        </w:rPr>
        <w:t>办理身份证数量</w:t>
      </w:r>
      <w:r>
        <w:rPr>
          <w:rFonts w:hint="eastAsia" w:eastAsia="方正仿宋_GBK"/>
          <w:sz w:val="32"/>
          <w:szCs w:val="32"/>
          <w:lang w:val="en-US" w:eastAsia="zh-CN"/>
        </w:rPr>
        <w:t>44188人次</w:t>
      </w:r>
      <w:r>
        <w:rPr>
          <w:rFonts w:hint="eastAsia" w:eastAsia="方正仿宋_GBK"/>
          <w:sz w:val="32"/>
          <w:szCs w:val="32"/>
          <w:lang w:eastAsia="zh-CN"/>
        </w:rPr>
        <w:t>，得分</w:t>
      </w:r>
      <w:r>
        <w:rPr>
          <w:rFonts w:hint="eastAsia" w:eastAsia="方正仿宋_GBK"/>
          <w:sz w:val="32"/>
          <w:szCs w:val="32"/>
          <w:lang w:val="en-US" w:eastAsia="zh-CN"/>
        </w:rPr>
        <w:t>10分，</w:t>
      </w:r>
      <w:r>
        <w:rPr>
          <w:rFonts w:hint="eastAsia" w:eastAsia="方正仿宋_GBK"/>
          <w:sz w:val="32"/>
          <w:szCs w:val="32"/>
        </w:rPr>
        <w:t>命案破案率100%</w:t>
      </w:r>
      <w:r>
        <w:rPr>
          <w:rFonts w:hint="eastAsia" w:eastAsia="方正仿宋_GBK"/>
          <w:sz w:val="32"/>
          <w:szCs w:val="32"/>
          <w:lang w:eastAsia="zh-CN"/>
        </w:rPr>
        <w:t>，得分</w:t>
      </w:r>
      <w:r>
        <w:rPr>
          <w:rFonts w:hint="eastAsia" w:eastAsia="方正仿宋_GBK"/>
          <w:sz w:val="32"/>
          <w:szCs w:val="32"/>
          <w:lang w:val="en-US" w:eastAsia="zh-CN"/>
        </w:rPr>
        <w:t>15分</w:t>
      </w:r>
      <w:r>
        <w:rPr>
          <w:rFonts w:hint="eastAsia" w:eastAsia="方正仿宋_GBK"/>
          <w:sz w:val="32"/>
          <w:szCs w:val="32"/>
          <w:lang w:eastAsia="zh-CN"/>
        </w:rPr>
        <w:t>，九类主要刑事案件破案率</w:t>
      </w:r>
      <w:r>
        <w:rPr>
          <w:rFonts w:hint="eastAsia" w:eastAsia="方正仿宋_GBK"/>
          <w:sz w:val="32"/>
          <w:szCs w:val="32"/>
          <w:lang w:val="en-US" w:eastAsia="zh-CN"/>
        </w:rPr>
        <w:t>91.7%，得分15分，违法停车数量处理数量108000件，得分10分，信息系统正常运转天数365天，得分10分。</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社会</w:t>
      </w:r>
      <w:r>
        <w:rPr>
          <w:rFonts w:hint="eastAsia" w:eastAsia="方正仿宋_GBK"/>
          <w:sz w:val="32"/>
          <w:szCs w:val="32"/>
        </w:rPr>
        <w:t>效益部分指标的具体分析。</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eastAsia="zh-CN"/>
        </w:rPr>
        <w:t>社会效益方面：群众安全感</w:t>
      </w:r>
      <w:r>
        <w:rPr>
          <w:rFonts w:hint="eastAsia" w:eastAsia="方正仿宋_GBK"/>
          <w:sz w:val="32"/>
          <w:szCs w:val="32"/>
          <w:lang w:val="en-US" w:eastAsia="zh-CN"/>
        </w:rPr>
        <w:t>98.92%，得分10分，</w:t>
      </w:r>
      <w:r>
        <w:rPr>
          <w:rFonts w:hint="eastAsia" w:eastAsia="方正仿宋_GBK"/>
          <w:sz w:val="32"/>
          <w:szCs w:val="32"/>
          <w:lang w:eastAsia="zh-CN"/>
        </w:rPr>
        <w:t>群众</w:t>
      </w:r>
      <w:r>
        <w:rPr>
          <w:rFonts w:hint="eastAsia" w:eastAsia="方正仿宋_GBK"/>
          <w:sz w:val="32"/>
          <w:szCs w:val="32"/>
        </w:rPr>
        <w:t>满意度方面：</w:t>
      </w:r>
      <w:r>
        <w:rPr>
          <w:rFonts w:hint="eastAsia" w:eastAsia="方正仿宋_GBK"/>
          <w:sz w:val="32"/>
          <w:szCs w:val="32"/>
          <w:lang w:eastAsia="zh-CN"/>
        </w:rPr>
        <w:t>群众满意度</w:t>
      </w:r>
      <w:r>
        <w:rPr>
          <w:rFonts w:hint="eastAsia" w:eastAsia="方正仿宋_GBK"/>
          <w:sz w:val="32"/>
          <w:szCs w:val="32"/>
          <w:lang w:val="en-US" w:eastAsia="zh-CN"/>
        </w:rPr>
        <w:t>97.35%</w:t>
      </w:r>
      <w:r>
        <w:rPr>
          <w:rFonts w:hint="eastAsia" w:eastAsia="方正仿宋_GBK"/>
          <w:sz w:val="32"/>
          <w:szCs w:val="32"/>
        </w:rPr>
        <w:t>。</w:t>
      </w:r>
      <w:r>
        <w:rPr>
          <w:rFonts w:hint="eastAsia" w:eastAsia="方正仿宋_GBK"/>
          <w:sz w:val="32"/>
          <w:szCs w:val="32"/>
          <w:lang w:eastAsia="zh-CN"/>
        </w:rPr>
        <w:t>得分</w:t>
      </w:r>
      <w:r>
        <w:rPr>
          <w:rFonts w:hint="eastAsia" w:eastAsia="方正仿宋_GBK"/>
          <w:sz w:val="32"/>
          <w:szCs w:val="32"/>
          <w:lang w:val="en-US" w:eastAsia="zh-CN"/>
        </w:rPr>
        <w:t>10分。</w:t>
      </w:r>
    </w:p>
    <w:p>
      <w:pPr>
        <w:numPr>
          <w:ilvl w:val="0"/>
          <w:numId w:val="0"/>
        </w:numPr>
        <w:spacing w:line="596" w:lineRule="exact"/>
        <w:ind w:firstLine="640" w:firstLineChars="200"/>
        <w:rPr>
          <w:rFonts w:eastAsia="方正黑体_GBK"/>
          <w:sz w:val="32"/>
          <w:szCs w:val="32"/>
        </w:rPr>
      </w:pPr>
      <w:r>
        <w:rPr>
          <w:rFonts w:hint="eastAsia" w:eastAsia="方正黑体_GBK"/>
          <w:sz w:val="32"/>
          <w:szCs w:val="32"/>
          <w:lang w:eastAsia="zh-CN"/>
        </w:rPr>
        <w:t>四、</w:t>
      </w:r>
      <w:r>
        <w:rPr>
          <w:rFonts w:eastAsia="方正黑体_GBK"/>
          <w:sz w:val="32"/>
          <w:szCs w:val="32"/>
        </w:rPr>
        <w:t>主要经验及做法</w:t>
      </w:r>
    </w:p>
    <w:p>
      <w:pPr>
        <w:spacing w:line="596" w:lineRule="exact"/>
        <w:ind w:firstLine="640" w:firstLineChars="200"/>
        <w:rPr>
          <w:rFonts w:eastAsia="方正仿宋_GBK"/>
          <w:sz w:val="32"/>
          <w:szCs w:val="32"/>
        </w:rPr>
      </w:pPr>
      <w:r>
        <w:rPr>
          <w:rFonts w:hint="eastAsia" w:eastAsia="方正仿宋_GBK"/>
          <w:sz w:val="32"/>
          <w:szCs w:val="32"/>
        </w:rPr>
        <w:t>（一）、细化预算编制工作</w:t>
      </w:r>
    </w:p>
    <w:p>
      <w:pPr>
        <w:spacing w:line="596" w:lineRule="exact"/>
        <w:ind w:firstLine="640" w:firstLineChars="200"/>
        <w:rPr>
          <w:rFonts w:eastAsia="方正黑体_GBK"/>
          <w:sz w:val="32"/>
          <w:szCs w:val="32"/>
        </w:rPr>
      </w:pPr>
      <w:r>
        <w:rPr>
          <w:rFonts w:hint="eastAsia" w:eastAsia="方正仿宋_GBK"/>
          <w:sz w:val="32"/>
          <w:szCs w:val="32"/>
        </w:rPr>
        <w:t>认真做好预算的编制，进一步加强单位内部机构各部门的预算管理意识，严格按照预算编制的相关制度和要求进行预算编制；全面编制预算项目，进一步提高预算编制的科学性、严谨性和可控性。加强内部预算编制的审核和预算控制指标的下达。</w:t>
      </w:r>
    </w:p>
    <w:p>
      <w:pPr>
        <w:numPr>
          <w:ilvl w:val="0"/>
          <w:numId w:val="0"/>
        </w:numPr>
        <w:spacing w:line="596" w:lineRule="exact"/>
        <w:ind w:firstLine="640" w:firstLineChars="200"/>
        <w:rPr>
          <w:rFonts w:eastAsia="方正仿宋_GBK"/>
          <w:sz w:val="32"/>
          <w:szCs w:val="32"/>
        </w:rPr>
      </w:pPr>
      <w:r>
        <w:rPr>
          <w:rFonts w:hint="eastAsia" w:eastAsia="方正仿宋_GBK"/>
          <w:sz w:val="32"/>
          <w:szCs w:val="32"/>
          <w:lang w:eastAsia="zh-CN"/>
        </w:rPr>
        <w:t>（二）、</w:t>
      </w:r>
      <w:r>
        <w:rPr>
          <w:rFonts w:hint="eastAsia" w:eastAsia="方正仿宋_GBK"/>
          <w:sz w:val="32"/>
          <w:szCs w:val="32"/>
        </w:rPr>
        <w:t>加强内部控制建设</w:t>
      </w:r>
    </w:p>
    <w:p>
      <w:pPr>
        <w:spacing w:line="596" w:lineRule="exact"/>
        <w:ind w:firstLine="640" w:firstLineChars="200"/>
        <w:rPr>
          <w:rFonts w:eastAsia="方正仿宋_GBK"/>
          <w:sz w:val="32"/>
          <w:szCs w:val="32"/>
        </w:rPr>
      </w:pPr>
      <w:r>
        <w:rPr>
          <w:rFonts w:hint="eastAsia" w:eastAsia="方正仿宋_GBK"/>
          <w:sz w:val="32"/>
          <w:szCs w:val="32"/>
        </w:rPr>
        <w:t>完善内部控制制度，推动内部控制信息化建设应用实施，确保项制度得到落实，充分发挥制度的效用。</w:t>
      </w:r>
    </w:p>
    <w:p>
      <w:pPr>
        <w:numPr>
          <w:ilvl w:val="0"/>
          <w:numId w:val="2"/>
        </w:numPr>
        <w:spacing w:line="596" w:lineRule="exact"/>
        <w:ind w:firstLine="640" w:firstLineChars="200"/>
        <w:rPr>
          <w:rFonts w:eastAsia="方正黑体_GBK"/>
          <w:sz w:val="32"/>
          <w:szCs w:val="32"/>
        </w:rPr>
      </w:pPr>
      <w:r>
        <w:rPr>
          <w:rFonts w:eastAsia="方正黑体_GBK"/>
          <w:sz w:val="32"/>
          <w:szCs w:val="32"/>
        </w:rPr>
        <w:t>存在的问题和建议</w:t>
      </w:r>
    </w:p>
    <w:p>
      <w:pPr>
        <w:spacing w:line="596" w:lineRule="exact"/>
        <w:ind w:firstLine="640" w:firstLineChars="200"/>
        <w:rPr>
          <w:rFonts w:hint="eastAsia" w:eastAsia="方正仿宋_GBK"/>
          <w:sz w:val="32"/>
          <w:szCs w:val="32"/>
        </w:rPr>
      </w:pPr>
      <w:r>
        <w:rPr>
          <w:rFonts w:hint="eastAsia" w:eastAsia="方正仿宋_GBK"/>
          <w:sz w:val="32"/>
          <w:szCs w:val="32"/>
          <w:lang w:val="en-US" w:eastAsia="zh-CN"/>
        </w:rPr>
        <w:t>（一） 、</w:t>
      </w:r>
      <w:r>
        <w:rPr>
          <w:rFonts w:hint="eastAsia" w:eastAsia="方正仿宋_GBK"/>
          <w:sz w:val="32"/>
          <w:szCs w:val="32"/>
        </w:rPr>
        <w:t>绩效目标设置不够具体明确，预算编制导向性有待加强。项目的监督管理的责任意识还需要进一步加强，需要进一步加强对项目的使用过程的合规性，问题解决反对的及时性等过程绩效的重视。</w:t>
      </w:r>
    </w:p>
    <w:p>
      <w:pPr>
        <w:spacing w:line="596" w:lineRule="exact"/>
        <w:ind w:firstLine="640" w:firstLineChars="200"/>
        <w:rPr>
          <w:rFonts w:hint="eastAsia" w:eastAsia="方正仿宋_GBK"/>
          <w:sz w:val="32"/>
          <w:szCs w:val="32"/>
        </w:rPr>
      </w:pPr>
      <w:r>
        <w:rPr>
          <w:rFonts w:hint="eastAsia" w:eastAsia="方正仿宋_GBK"/>
          <w:sz w:val="32"/>
          <w:szCs w:val="32"/>
        </w:rPr>
        <w:t>（二）、预决算管理有待提高，预算调整幅度大，预算调整率超过20%。</w:t>
      </w:r>
    </w:p>
    <w:p>
      <w:pPr>
        <w:spacing w:line="596" w:lineRule="exact"/>
        <w:ind w:firstLine="640" w:firstLineChars="200"/>
        <w:rPr>
          <w:rFonts w:hint="eastAsia" w:eastAsia="方正仿宋_GBK"/>
          <w:sz w:val="32"/>
          <w:szCs w:val="32"/>
        </w:rPr>
      </w:pPr>
      <w:r>
        <w:rPr>
          <w:rFonts w:hint="eastAsia" w:eastAsia="方正仿宋_GBK"/>
          <w:sz w:val="32"/>
          <w:szCs w:val="32"/>
        </w:rPr>
        <w:t>（三）、有关建议</w:t>
      </w:r>
    </w:p>
    <w:p>
      <w:pPr>
        <w:spacing w:line="596" w:lineRule="exact"/>
        <w:ind w:firstLine="640" w:firstLineChars="200"/>
        <w:rPr>
          <w:rFonts w:eastAsia="方正仿宋_GBK"/>
          <w:sz w:val="32"/>
          <w:szCs w:val="32"/>
        </w:rPr>
      </w:pPr>
      <w:r>
        <w:rPr>
          <w:rFonts w:hint="eastAsia" w:eastAsia="方正仿宋_GBK"/>
          <w:sz w:val="32"/>
          <w:szCs w:val="32"/>
        </w:rPr>
        <w:t>1、进一步优化绩效目标设置，加强项目资金管理。严格实行项目管理程序化，实现项目申报、试试、拨付、评价全流程监督与控制，规范专项资金管理，提高专项资金的使用效益。</w:t>
      </w:r>
    </w:p>
    <w:p>
      <w:pPr>
        <w:spacing w:line="596" w:lineRule="exact"/>
        <w:ind w:firstLine="640" w:firstLineChars="200"/>
        <w:rPr>
          <w:rFonts w:eastAsia="方正仿宋_GBK"/>
          <w:sz w:val="32"/>
          <w:szCs w:val="32"/>
        </w:rPr>
      </w:pPr>
      <w:r>
        <w:rPr>
          <w:rFonts w:hint="eastAsia" w:eastAsia="方正仿宋_GBK"/>
          <w:sz w:val="32"/>
          <w:szCs w:val="32"/>
        </w:rPr>
        <w:t>2、科学合理预算编制，严格预算执行。进一步提高预算编制到位率，做准做全基本支出预算，做全项目支出预算，加强预算支出审核、跟踪及预算执行情况分析，提高预算编制严谨性和可控性。</w:t>
      </w:r>
    </w:p>
    <w:p>
      <w:pPr>
        <w:spacing w:line="596" w:lineRule="exact"/>
        <w:ind w:left="420" w:leftChars="200"/>
        <w:rPr>
          <w:rFonts w:eastAsia="方正黑体_GBK"/>
          <w:sz w:val="32"/>
          <w:szCs w:val="32"/>
        </w:rPr>
      </w:pPr>
    </w:p>
    <w:p>
      <w:pPr>
        <w:spacing w:line="596" w:lineRule="exact"/>
        <w:ind w:left="420" w:leftChars="200"/>
        <w:rPr>
          <w:rFonts w:eastAsia="方正黑体_GBK"/>
          <w:sz w:val="32"/>
          <w:szCs w:val="32"/>
        </w:rPr>
      </w:pPr>
    </w:p>
    <w:p>
      <w:pPr>
        <w:spacing w:line="596" w:lineRule="exact"/>
        <w:ind w:left="420" w:leftChars="200"/>
        <w:rPr>
          <w:rFonts w:eastAsia="方正黑体_GBK"/>
          <w:sz w:val="32"/>
          <w:szCs w:val="32"/>
        </w:rPr>
      </w:pP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DC9"/>
    <w:multiLevelType w:val="singleLevel"/>
    <w:tmpl w:val="1C397DC9"/>
    <w:lvl w:ilvl="0" w:tentative="0">
      <w:start w:val="5"/>
      <w:numFmt w:val="chineseCounting"/>
      <w:suff w:val="nothing"/>
      <w:lvlText w:val="%1、"/>
      <w:lvlJc w:val="left"/>
      <w:rPr>
        <w:rFonts w:hint="eastAsia"/>
      </w:rPr>
    </w:lvl>
  </w:abstractNum>
  <w:abstractNum w:abstractNumId="1">
    <w:nsid w:val="2B6904CD"/>
    <w:multiLevelType w:val="singleLevel"/>
    <w:tmpl w:val="2B6904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160FD"/>
    <w:rsid w:val="00171AB3"/>
    <w:rsid w:val="001A4187"/>
    <w:rsid w:val="001C3D64"/>
    <w:rsid w:val="001C641A"/>
    <w:rsid w:val="001C6822"/>
    <w:rsid w:val="001E256D"/>
    <w:rsid w:val="001E2D5B"/>
    <w:rsid w:val="00247BB1"/>
    <w:rsid w:val="002571F7"/>
    <w:rsid w:val="002641A6"/>
    <w:rsid w:val="002677F4"/>
    <w:rsid w:val="002834C5"/>
    <w:rsid w:val="00293914"/>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61620"/>
    <w:rsid w:val="00671BB5"/>
    <w:rsid w:val="006772C6"/>
    <w:rsid w:val="006C793C"/>
    <w:rsid w:val="006D100A"/>
    <w:rsid w:val="006E6E29"/>
    <w:rsid w:val="00725E01"/>
    <w:rsid w:val="00732DA5"/>
    <w:rsid w:val="00745208"/>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32F88"/>
    <w:rsid w:val="00974291"/>
    <w:rsid w:val="009A227A"/>
    <w:rsid w:val="009A23DE"/>
    <w:rsid w:val="009F4207"/>
    <w:rsid w:val="00A1196F"/>
    <w:rsid w:val="00A27343"/>
    <w:rsid w:val="00A3725D"/>
    <w:rsid w:val="00A45BE4"/>
    <w:rsid w:val="00AD0DAD"/>
    <w:rsid w:val="00AF31E0"/>
    <w:rsid w:val="00B07031"/>
    <w:rsid w:val="00B17BC3"/>
    <w:rsid w:val="00B34D05"/>
    <w:rsid w:val="00B85927"/>
    <w:rsid w:val="00BC3295"/>
    <w:rsid w:val="00BD1848"/>
    <w:rsid w:val="00BD7242"/>
    <w:rsid w:val="00BF6FF2"/>
    <w:rsid w:val="00C77086"/>
    <w:rsid w:val="00C858DD"/>
    <w:rsid w:val="00CD33CE"/>
    <w:rsid w:val="00CF26C3"/>
    <w:rsid w:val="00D60229"/>
    <w:rsid w:val="00D610B4"/>
    <w:rsid w:val="00E05836"/>
    <w:rsid w:val="00E05A32"/>
    <w:rsid w:val="00E225F8"/>
    <w:rsid w:val="00E25A0F"/>
    <w:rsid w:val="00E42BE7"/>
    <w:rsid w:val="00E55405"/>
    <w:rsid w:val="00E72086"/>
    <w:rsid w:val="00E91393"/>
    <w:rsid w:val="00EB0A75"/>
    <w:rsid w:val="00EF2A45"/>
    <w:rsid w:val="00F2573F"/>
    <w:rsid w:val="00F70C2E"/>
    <w:rsid w:val="00F82067"/>
    <w:rsid w:val="00F9262E"/>
    <w:rsid w:val="00F93438"/>
    <w:rsid w:val="00F94FE6"/>
    <w:rsid w:val="00FA41F0"/>
    <w:rsid w:val="00FD0041"/>
    <w:rsid w:val="01AB1AED"/>
    <w:rsid w:val="02D852C2"/>
    <w:rsid w:val="05FC39AC"/>
    <w:rsid w:val="0696478C"/>
    <w:rsid w:val="06EF056D"/>
    <w:rsid w:val="0AF12F03"/>
    <w:rsid w:val="0C0F28ED"/>
    <w:rsid w:val="0F387644"/>
    <w:rsid w:val="12FB7B2F"/>
    <w:rsid w:val="132C2A28"/>
    <w:rsid w:val="160504E8"/>
    <w:rsid w:val="16494249"/>
    <w:rsid w:val="168A25F6"/>
    <w:rsid w:val="193B1D66"/>
    <w:rsid w:val="1B013C26"/>
    <w:rsid w:val="1BA73F19"/>
    <w:rsid w:val="1CB753A9"/>
    <w:rsid w:val="219F755E"/>
    <w:rsid w:val="22BA673B"/>
    <w:rsid w:val="238201E5"/>
    <w:rsid w:val="24112A81"/>
    <w:rsid w:val="24B1205A"/>
    <w:rsid w:val="24C82DBC"/>
    <w:rsid w:val="2572673D"/>
    <w:rsid w:val="26955245"/>
    <w:rsid w:val="26D87056"/>
    <w:rsid w:val="2BB66FC6"/>
    <w:rsid w:val="2C8440E6"/>
    <w:rsid w:val="2D8A636F"/>
    <w:rsid w:val="2DF77A37"/>
    <w:rsid w:val="307850AD"/>
    <w:rsid w:val="32A970C1"/>
    <w:rsid w:val="33276D10"/>
    <w:rsid w:val="35947D3D"/>
    <w:rsid w:val="35F97877"/>
    <w:rsid w:val="376E009F"/>
    <w:rsid w:val="37BE4F92"/>
    <w:rsid w:val="39665794"/>
    <w:rsid w:val="3A602052"/>
    <w:rsid w:val="3AEB3115"/>
    <w:rsid w:val="3F3C1053"/>
    <w:rsid w:val="3FA33D5C"/>
    <w:rsid w:val="42DB1D65"/>
    <w:rsid w:val="458E0747"/>
    <w:rsid w:val="46AF7E76"/>
    <w:rsid w:val="47071744"/>
    <w:rsid w:val="481778E4"/>
    <w:rsid w:val="482D32F9"/>
    <w:rsid w:val="48816C9C"/>
    <w:rsid w:val="4B082F9F"/>
    <w:rsid w:val="4B5314E5"/>
    <w:rsid w:val="4D44109D"/>
    <w:rsid w:val="500B43A4"/>
    <w:rsid w:val="51105F44"/>
    <w:rsid w:val="511672F1"/>
    <w:rsid w:val="5135693A"/>
    <w:rsid w:val="55F17C45"/>
    <w:rsid w:val="5E9D4C47"/>
    <w:rsid w:val="62FE54C3"/>
    <w:rsid w:val="66A32C3E"/>
    <w:rsid w:val="69C243A3"/>
    <w:rsid w:val="6AB80DA1"/>
    <w:rsid w:val="6C223095"/>
    <w:rsid w:val="6C5F203A"/>
    <w:rsid w:val="6CDF0B76"/>
    <w:rsid w:val="6E662D87"/>
    <w:rsid w:val="6F0C187F"/>
    <w:rsid w:val="71910FA1"/>
    <w:rsid w:val="73E67F9B"/>
    <w:rsid w:val="75593991"/>
    <w:rsid w:val="77370792"/>
    <w:rsid w:val="77EB7808"/>
    <w:rsid w:val="78221CE1"/>
    <w:rsid w:val="78323186"/>
    <w:rsid w:val="7CF11A62"/>
    <w:rsid w:val="7DC6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540</Words>
  <Characters>3081</Characters>
  <Lines>25</Lines>
  <Paragraphs>7</Paragraphs>
  <TotalTime>27</TotalTime>
  <ScaleCrop>false</ScaleCrop>
  <LinksUpToDate>false</LinksUpToDate>
  <CharactersWithSpaces>3614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2021-02-24T08:14:00Z</dcterms:created>
  <dc:creator>Administrator</dc:creator>
  <cp:lastModifiedBy>Administrator</cp:lastModifiedBy>
  <cp:lastPrinted>2020-04-20T08:58:00Z</cp:lastPrinted>
  <dcterms:modified xsi:type="dcterms:W3CDTF">2022-10-12T03:48:52Z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