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pageBreakBefore w:val="0"/>
        <w:kinsoku/>
        <w:wordWrap/>
        <w:overflowPunct/>
        <w:topLinePunct w:val="0"/>
        <w:bidi w:val="0"/>
        <w:spacing w:line="594" w:lineRule="exact"/>
        <w:ind w:left="360" w:firstLine="0" w:firstLineChars="0"/>
        <w:jc w:val="center"/>
        <w:textAlignment w:val="auto"/>
        <w:rPr>
          <w:rFonts w:hint="eastAsia" w:eastAsia="方正小标宋_GBK"/>
          <w:sz w:val="44"/>
          <w:szCs w:val="32"/>
        </w:rPr>
      </w:pPr>
    </w:p>
    <w:p>
      <w:pPr>
        <w:pStyle w:val="17"/>
        <w:pageBreakBefore w:val="0"/>
        <w:kinsoku/>
        <w:wordWrap/>
        <w:overflowPunct/>
        <w:topLinePunct w:val="0"/>
        <w:bidi w:val="0"/>
        <w:spacing w:line="594" w:lineRule="exact"/>
        <w:ind w:left="360" w:firstLine="0" w:firstLineChars="0"/>
        <w:jc w:val="center"/>
        <w:textAlignment w:val="auto"/>
        <w:rPr>
          <w:rFonts w:hint="eastAsia" w:eastAsia="方正小标宋_GBK"/>
          <w:sz w:val="44"/>
          <w:szCs w:val="32"/>
        </w:rPr>
      </w:pPr>
    </w:p>
    <w:p>
      <w:pPr>
        <w:pStyle w:val="17"/>
        <w:pageBreakBefore w:val="0"/>
        <w:kinsoku/>
        <w:wordWrap/>
        <w:overflowPunct/>
        <w:topLinePunct w:val="0"/>
        <w:bidi w:val="0"/>
        <w:spacing w:line="594" w:lineRule="exact"/>
        <w:ind w:left="360" w:firstLine="0" w:firstLineChars="0"/>
        <w:jc w:val="center"/>
        <w:textAlignment w:val="auto"/>
        <w:rPr>
          <w:rFonts w:hint="eastAsia" w:eastAsia="方正小标宋_GBK"/>
          <w:sz w:val="44"/>
          <w:szCs w:val="32"/>
        </w:rPr>
      </w:pPr>
    </w:p>
    <w:p>
      <w:pPr>
        <w:pStyle w:val="17"/>
        <w:pageBreakBefore w:val="0"/>
        <w:kinsoku/>
        <w:wordWrap/>
        <w:overflowPunct/>
        <w:topLinePunct w:val="0"/>
        <w:bidi w:val="0"/>
        <w:spacing w:line="594" w:lineRule="exact"/>
        <w:ind w:left="360" w:firstLine="0" w:firstLineChars="0"/>
        <w:jc w:val="center"/>
        <w:textAlignment w:val="auto"/>
        <w:rPr>
          <w:rFonts w:hint="eastAsia" w:eastAsia="方正小标宋_GBK"/>
          <w:sz w:val="44"/>
          <w:szCs w:val="32"/>
        </w:rPr>
      </w:pPr>
    </w:p>
    <w:p>
      <w:pPr>
        <w:pStyle w:val="17"/>
        <w:pageBreakBefore w:val="0"/>
        <w:kinsoku/>
        <w:wordWrap/>
        <w:overflowPunct/>
        <w:topLinePunct w:val="0"/>
        <w:bidi w:val="0"/>
        <w:spacing w:line="594" w:lineRule="exact"/>
        <w:ind w:left="360" w:firstLine="0" w:firstLineChars="0"/>
        <w:jc w:val="center"/>
        <w:textAlignment w:val="auto"/>
        <w:rPr>
          <w:rFonts w:hint="eastAsia" w:eastAsia="方正小标宋_GBK"/>
          <w:sz w:val="44"/>
          <w:szCs w:val="32"/>
        </w:rPr>
      </w:pPr>
    </w:p>
    <w:p>
      <w:pPr>
        <w:pStyle w:val="17"/>
        <w:pageBreakBefore w:val="0"/>
        <w:kinsoku/>
        <w:wordWrap/>
        <w:overflowPunct/>
        <w:topLinePunct w:val="0"/>
        <w:bidi w:val="0"/>
        <w:spacing w:line="594" w:lineRule="exact"/>
        <w:ind w:left="360" w:firstLine="0" w:firstLineChars="0"/>
        <w:jc w:val="center"/>
        <w:textAlignment w:val="auto"/>
        <w:rPr>
          <w:rFonts w:hint="eastAsia" w:eastAsia="方正小标宋_GBK"/>
          <w:sz w:val="44"/>
          <w:szCs w:val="32"/>
        </w:rPr>
      </w:pPr>
    </w:p>
    <w:p>
      <w:pPr>
        <w:pStyle w:val="17"/>
        <w:pageBreakBefore w:val="0"/>
        <w:kinsoku/>
        <w:wordWrap/>
        <w:overflowPunct/>
        <w:topLinePunct w:val="0"/>
        <w:bidi w:val="0"/>
        <w:spacing w:line="594" w:lineRule="exact"/>
        <w:ind w:left="360" w:firstLine="0" w:firstLineChars="0"/>
        <w:jc w:val="center"/>
        <w:textAlignment w:val="auto"/>
        <w:rPr>
          <w:rFonts w:hint="eastAsia" w:eastAsia="方正小标宋_GBK"/>
          <w:sz w:val="44"/>
          <w:szCs w:val="32"/>
        </w:rPr>
      </w:pPr>
    </w:p>
    <w:p>
      <w:pPr>
        <w:pStyle w:val="17"/>
        <w:pageBreakBefore w:val="0"/>
        <w:kinsoku/>
        <w:wordWrap/>
        <w:overflowPunct/>
        <w:topLinePunct w:val="0"/>
        <w:bidi w:val="0"/>
        <w:spacing w:line="594" w:lineRule="exact"/>
        <w:ind w:left="360" w:firstLine="0" w:firstLineChars="0"/>
        <w:jc w:val="center"/>
        <w:textAlignment w:val="auto"/>
        <w:rPr>
          <w:rFonts w:hint="eastAsia" w:eastAsia="方正小标宋_GBK"/>
          <w:sz w:val="44"/>
          <w:szCs w:val="32"/>
        </w:rPr>
      </w:pPr>
    </w:p>
    <w:p>
      <w:pPr>
        <w:pStyle w:val="17"/>
        <w:pageBreakBefore w:val="0"/>
        <w:kinsoku/>
        <w:wordWrap/>
        <w:overflowPunct/>
        <w:topLinePunct w:val="0"/>
        <w:bidi w:val="0"/>
        <w:spacing w:line="594" w:lineRule="exact"/>
        <w:ind w:left="360" w:firstLine="0" w:firstLineChars="0"/>
        <w:jc w:val="center"/>
        <w:textAlignment w:val="auto"/>
        <w:rPr>
          <w:rFonts w:hint="eastAsia" w:eastAsia="方正小标宋_GBK"/>
          <w:sz w:val="44"/>
          <w:szCs w:val="32"/>
          <w:lang w:eastAsia="zh-CN"/>
        </w:rPr>
      </w:pPr>
      <w:r>
        <w:rPr>
          <w:rFonts w:hint="eastAsia" w:eastAsia="方正小标宋_GBK"/>
          <w:sz w:val="44"/>
          <w:szCs w:val="32"/>
        </w:rPr>
        <w:t>重庆</w:t>
      </w:r>
      <w:r>
        <w:rPr>
          <w:rFonts w:hint="eastAsia" w:eastAsia="方正小标宋_GBK"/>
          <w:sz w:val="44"/>
          <w:szCs w:val="32"/>
          <w:lang w:val="en-US" w:eastAsia="zh-CN"/>
        </w:rPr>
        <w:t>市</w:t>
      </w:r>
      <w:r>
        <w:rPr>
          <w:rFonts w:hint="eastAsia" w:eastAsia="方正小标宋_GBK"/>
          <w:sz w:val="44"/>
          <w:szCs w:val="32"/>
        </w:rPr>
        <w:t>璧山</w:t>
      </w:r>
      <w:r>
        <w:rPr>
          <w:rFonts w:hint="eastAsia" w:eastAsia="方正小标宋_GBK"/>
          <w:sz w:val="44"/>
          <w:szCs w:val="32"/>
          <w:lang w:val="en-US" w:eastAsia="zh-CN"/>
        </w:rPr>
        <w:t>区</w:t>
      </w:r>
      <w:r>
        <w:rPr>
          <w:rFonts w:hint="eastAsia" w:eastAsia="方正小标宋_GBK"/>
          <w:sz w:val="44"/>
          <w:szCs w:val="32"/>
        </w:rPr>
        <w:t>现代服务业发展</w:t>
      </w:r>
      <w:r>
        <w:rPr>
          <w:rFonts w:hint="eastAsia" w:eastAsia="方正小标宋_GBK"/>
          <w:sz w:val="44"/>
          <w:szCs w:val="32"/>
          <w:lang w:val="en-US" w:eastAsia="zh-CN"/>
        </w:rPr>
        <w:t>促进中心</w:t>
      </w:r>
    </w:p>
    <w:p>
      <w:pPr>
        <w:pStyle w:val="17"/>
        <w:pageBreakBefore w:val="0"/>
        <w:kinsoku/>
        <w:wordWrap/>
        <w:overflowPunct/>
        <w:topLinePunct w:val="0"/>
        <w:bidi w:val="0"/>
        <w:spacing w:line="594" w:lineRule="exact"/>
        <w:ind w:left="360" w:firstLine="0" w:firstLineChars="0"/>
        <w:jc w:val="center"/>
        <w:textAlignment w:val="auto"/>
        <w:rPr>
          <w:rFonts w:eastAsia="方正小标宋_GBK"/>
          <w:sz w:val="44"/>
          <w:szCs w:val="32"/>
        </w:rPr>
      </w:pPr>
      <w:r>
        <w:rPr>
          <w:rFonts w:hint="eastAsia" w:eastAsia="方正小标宋_GBK"/>
          <w:sz w:val="44"/>
          <w:szCs w:val="32"/>
        </w:rPr>
        <w:t>2021年部门整体支出绩效自评报告</w:t>
      </w:r>
    </w:p>
    <w:p>
      <w:pPr>
        <w:pageBreakBefore w:val="0"/>
        <w:kinsoku/>
        <w:wordWrap/>
        <w:overflowPunct/>
        <w:topLinePunct w:val="0"/>
        <w:bidi w:val="0"/>
        <w:spacing w:line="594" w:lineRule="exact"/>
        <w:textAlignment w:val="auto"/>
        <w:rPr>
          <w:rFonts w:eastAsia="方正仿宋_GBK"/>
          <w:sz w:val="32"/>
          <w:szCs w:val="32"/>
        </w:rPr>
      </w:pPr>
      <w:r>
        <w:rPr>
          <w:rFonts w:eastAsia="方正仿宋_GBK"/>
          <w:sz w:val="32"/>
          <w:szCs w:val="32"/>
        </w:rPr>
        <w:br w:type="page"/>
      </w:r>
    </w:p>
    <w:sdt>
      <w:sdtPr>
        <w:id w:val="147455844"/>
        <w:docPartObj>
          <w:docPartGallery w:val="Table of Contents"/>
          <w:docPartUnique/>
        </w:docPartObj>
      </w:sdtPr>
      <w:sdtEndPr>
        <w:rPr>
          <w:b/>
          <w:sz w:val="24"/>
        </w:rPr>
      </w:sdtEndPr>
      <w:sdtContent>
        <w:p>
          <w:pPr>
            <w:pageBreakBefore w:val="0"/>
            <w:kinsoku/>
            <w:wordWrap/>
            <w:overflowPunct/>
            <w:topLinePunct w:val="0"/>
            <w:bidi w:val="0"/>
            <w:spacing w:line="594" w:lineRule="exact"/>
            <w:jc w:val="center"/>
            <w:textAlignment w:val="auto"/>
            <w:rPr>
              <w:rFonts w:asciiTheme="minorEastAsia" w:hAnsiTheme="minorEastAsia" w:eastAsiaTheme="minorEastAsia"/>
              <w:sz w:val="32"/>
              <w:szCs w:val="32"/>
            </w:rPr>
          </w:pPr>
          <w:r>
            <w:rPr>
              <w:rFonts w:asciiTheme="minorEastAsia" w:hAnsiTheme="minorEastAsia" w:eastAsiaTheme="minorEastAsia"/>
              <w:sz w:val="32"/>
              <w:szCs w:val="32"/>
            </w:rPr>
            <w:t>目录</w:t>
          </w:r>
        </w:p>
        <w:p>
          <w:pPr>
            <w:pStyle w:val="7"/>
            <w:pageBreakBefore w:val="0"/>
            <w:tabs>
              <w:tab w:val="right" w:leader="dot" w:pos="8958"/>
            </w:tabs>
            <w:kinsoku/>
            <w:wordWrap/>
            <w:overflowPunct/>
            <w:topLinePunct w:val="0"/>
            <w:bidi w:val="0"/>
            <w:spacing w:line="594" w:lineRule="exact"/>
            <w:textAlignment w:val="auto"/>
          </w:pPr>
          <w:r>
            <w:rPr>
              <w:rFonts w:asciiTheme="minorEastAsia" w:hAnsiTheme="minorEastAsia" w:eastAsiaTheme="minorEastAsia"/>
              <w:sz w:val="40"/>
              <w:szCs w:val="32"/>
            </w:rPr>
            <w:fldChar w:fldCharType="begin"/>
          </w:r>
          <w:r>
            <w:rPr>
              <w:rFonts w:asciiTheme="minorEastAsia" w:hAnsiTheme="minorEastAsia" w:eastAsiaTheme="minorEastAsia"/>
              <w:sz w:val="40"/>
              <w:szCs w:val="32"/>
            </w:rPr>
            <w:instrText xml:space="preserve">TOC \o "1-2" \h \u </w:instrText>
          </w:r>
          <w:r>
            <w:rPr>
              <w:rFonts w:asciiTheme="minorEastAsia" w:hAnsiTheme="minorEastAsia" w:eastAsiaTheme="minorEastAsia"/>
              <w:sz w:val="40"/>
              <w:szCs w:val="32"/>
            </w:rPr>
            <w:fldChar w:fldCharType="separate"/>
          </w:r>
          <w:r>
            <w:rPr>
              <w:rFonts w:asciiTheme="minorEastAsia" w:hAnsiTheme="minorEastAsia" w:eastAsiaTheme="minorEastAsia"/>
              <w:szCs w:val="32"/>
            </w:rPr>
            <w:fldChar w:fldCharType="begin"/>
          </w:r>
          <w:r>
            <w:rPr>
              <w:rFonts w:asciiTheme="minorEastAsia" w:hAnsiTheme="minorEastAsia" w:eastAsiaTheme="minorEastAsia"/>
              <w:szCs w:val="32"/>
            </w:rPr>
            <w:instrText xml:space="preserve"> HYPERLINK \l _Toc5833 </w:instrText>
          </w:r>
          <w:r>
            <w:rPr>
              <w:rFonts w:asciiTheme="minorEastAsia" w:hAnsiTheme="minorEastAsia" w:eastAsiaTheme="minorEastAsia"/>
              <w:szCs w:val="32"/>
            </w:rPr>
            <w:fldChar w:fldCharType="separate"/>
          </w:r>
          <w:r>
            <w:rPr>
              <w:rFonts w:hint="eastAsia" w:ascii="方正黑体_GBK" w:hAnsi="方正黑体_GBK" w:eastAsia="方正黑体_GBK" w:cs="方正黑体_GBK"/>
              <w:bCs/>
              <w:szCs w:val="32"/>
              <w:lang w:val="en-US" w:eastAsia="zh-CN"/>
            </w:rPr>
            <w:t>一、</w:t>
          </w:r>
          <w:r>
            <w:rPr>
              <w:rFonts w:hint="eastAsia" w:ascii="方正黑体_GBK" w:hAnsi="方正黑体_GBK" w:eastAsia="方正黑体_GBK" w:cs="方正黑体_GBK"/>
              <w:bCs/>
              <w:szCs w:val="32"/>
            </w:rPr>
            <w:t>基本情况</w:t>
          </w:r>
          <w:r>
            <w:tab/>
          </w:r>
          <w:r>
            <w:fldChar w:fldCharType="begin"/>
          </w:r>
          <w:r>
            <w:instrText xml:space="preserve"> PAGEREF _Toc5833 \h </w:instrText>
          </w:r>
          <w:r>
            <w:fldChar w:fldCharType="separate"/>
          </w:r>
          <w:r>
            <w:t>3</w:t>
          </w:r>
          <w:r>
            <w:fldChar w:fldCharType="end"/>
          </w:r>
          <w:r>
            <w:rPr>
              <w:rFonts w:asciiTheme="minorEastAsia" w:hAnsiTheme="minorEastAsia" w:eastAsiaTheme="minorEastAsia"/>
              <w:szCs w:val="32"/>
            </w:rPr>
            <w:fldChar w:fldCharType="end"/>
          </w:r>
        </w:p>
        <w:p>
          <w:pPr>
            <w:pStyle w:val="8"/>
            <w:pageBreakBefore w:val="0"/>
            <w:tabs>
              <w:tab w:val="right" w:leader="dot" w:pos="8958"/>
            </w:tabs>
            <w:kinsoku/>
            <w:wordWrap/>
            <w:overflowPunct/>
            <w:topLinePunct w:val="0"/>
            <w:bidi w:val="0"/>
            <w:spacing w:line="594"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szCs w:val="32"/>
            </w:rPr>
            <w:fldChar w:fldCharType="begin"/>
          </w:r>
          <w:r>
            <w:rPr>
              <w:rFonts w:hint="eastAsia" w:ascii="方正仿宋_GBK" w:hAnsi="方正仿宋_GBK" w:eastAsia="方正仿宋_GBK" w:cs="方正仿宋_GBK"/>
              <w:szCs w:val="32"/>
            </w:rPr>
            <w:instrText xml:space="preserve"> HYPERLINK \l _Toc27175 </w:instrText>
          </w:r>
          <w:r>
            <w:rPr>
              <w:rFonts w:hint="eastAsia" w:ascii="方正仿宋_GBK" w:hAnsi="方正仿宋_GBK" w:eastAsia="方正仿宋_GBK" w:cs="方正仿宋_GBK"/>
              <w:szCs w:val="32"/>
            </w:rPr>
            <w:fldChar w:fldCharType="separate"/>
          </w:r>
          <w:r>
            <w:rPr>
              <w:rFonts w:hint="eastAsia" w:ascii="方正仿宋_GBK" w:hAnsi="方正仿宋_GBK" w:eastAsia="方正仿宋_GBK" w:cs="方正仿宋_GBK"/>
              <w:bCs/>
            </w:rPr>
            <w:t>（一）职能职责</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_Toc27175 \h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3</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szCs w:val="32"/>
            </w:rPr>
            <w:fldChar w:fldCharType="end"/>
          </w:r>
        </w:p>
        <w:p>
          <w:pPr>
            <w:pStyle w:val="8"/>
            <w:pageBreakBefore w:val="0"/>
            <w:tabs>
              <w:tab w:val="right" w:leader="dot" w:pos="8958"/>
            </w:tabs>
            <w:kinsoku/>
            <w:wordWrap/>
            <w:overflowPunct/>
            <w:topLinePunct w:val="0"/>
            <w:bidi w:val="0"/>
            <w:spacing w:line="594"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szCs w:val="32"/>
            </w:rPr>
            <w:fldChar w:fldCharType="begin"/>
          </w:r>
          <w:r>
            <w:rPr>
              <w:rFonts w:hint="eastAsia" w:ascii="方正仿宋_GBK" w:hAnsi="方正仿宋_GBK" w:eastAsia="方正仿宋_GBK" w:cs="方正仿宋_GBK"/>
              <w:szCs w:val="32"/>
            </w:rPr>
            <w:instrText xml:space="preserve"> HYPERLINK \l _Toc11034 </w:instrText>
          </w:r>
          <w:r>
            <w:rPr>
              <w:rFonts w:hint="eastAsia" w:ascii="方正仿宋_GBK" w:hAnsi="方正仿宋_GBK" w:eastAsia="方正仿宋_GBK" w:cs="方正仿宋_GBK"/>
              <w:szCs w:val="32"/>
            </w:rPr>
            <w:fldChar w:fldCharType="separate"/>
          </w:r>
          <w:r>
            <w:rPr>
              <w:rFonts w:hint="eastAsia" w:ascii="方正仿宋_GBK" w:hAnsi="方正仿宋_GBK" w:eastAsia="方正仿宋_GBK" w:cs="方正仿宋_GBK"/>
              <w:bCs/>
            </w:rPr>
            <w:t>（二）机构设置</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_Toc11034 \h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4</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szCs w:val="32"/>
            </w:rPr>
            <w:fldChar w:fldCharType="end"/>
          </w:r>
        </w:p>
        <w:p>
          <w:pPr>
            <w:pStyle w:val="8"/>
            <w:pageBreakBefore w:val="0"/>
            <w:tabs>
              <w:tab w:val="right" w:leader="dot" w:pos="8958"/>
            </w:tabs>
            <w:kinsoku/>
            <w:wordWrap/>
            <w:overflowPunct/>
            <w:topLinePunct w:val="0"/>
            <w:bidi w:val="0"/>
            <w:spacing w:line="594" w:lineRule="exact"/>
            <w:textAlignment w:val="auto"/>
          </w:pPr>
          <w:r>
            <w:rPr>
              <w:rFonts w:hint="eastAsia" w:ascii="方正仿宋_GBK" w:hAnsi="方正仿宋_GBK" w:eastAsia="方正仿宋_GBK" w:cs="方正仿宋_GBK"/>
              <w:szCs w:val="32"/>
            </w:rPr>
            <w:fldChar w:fldCharType="begin"/>
          </w:r>
          <w:r>
            <w:rPr>
              <w:rFonts w:hint="eastAsia" w:ascii="方正仿宋_GBK" w:hAnsi="方正仿宋_GBK" w:eastAsia="方正仿宋_GBK" w:cs="方正仿宋_GBK"/>
              <w:szCs w:val="32"/>
            </w:rPr>
            <w:instrText xml:space="preserve"> HYPERLINK \l _Toc2317 </w:instrText>
          </w:r>
          <w:r>
            <w:rPr>
              <w:rFonts w:hint="eastAsia" w:ascii="方正仿宋_GBK" w:hAnsi="方正仿宋_GBK" w:eastAsia="方正仿宋_GBK" w:cs="方正仿宋_GBK"/>
              <w:szCs w:val="32"/>
            </w:rPr>
            <w:fldChar w:fldCharType="separate"/>
          </w:r>
          <w:r>
            <w:rPr>
              <w:rFonts w:hint="eastAsia" w:ascii="方正仿宋_GBK" w:hAnsi="方正仿宋_GBK" w:eastAsia="方正仿宋_GBK" w:cs="方正仿宋_GBK"/>
              <w:bCs/>
              <w:lang w:val="en-US" w:eastAsia="zh-CN"/>
            </w:rPr>
            <w:t> （三）部门整体预算及支出情况</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_Toc2317 \h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5</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szCs w:val="32"/>
            </w:rPr>
            <w:fldChar w:fldCharType="end"/>
          </w:r>
        </w:p>
        <w:p>
          <w:pPr>
            <w:pStyle w:val="7"/>
            <w:pageBreakBefore w:val="0"/>
            <w:tabs>
              <w:tab w:val="right" w:leader="dot" w:pos="8958"/>
            </w:tabs>
            <w:kinsoku/>
            <w:wordWrap/>
            <w:overflowPunct/>
            <w:topLinePunct w:val="0"/>
            <w:bidi w:val="0"/>
            <w:spacing w:line="594" w:lineRule="exact"/>
            <w:textAlignment w:val="auto"/>
          </w:pPr>
          <w:r>
            <w:rPr>
              <w:rFonts w:asciiTheme="minorEastAsia" w:hAnsiTheme="minorEastAsia" w:eastAsiaTheme="minorEastAsia"/>
              <w:szCs w:val="32"/>
            </w:rPr>
            <w:fldChar w:fldCharType="begin"/>
          </w:r>
          <w:r>
            <w:rPr>
              <w:rFonts w:asciiTheme="minorEastAsia" w:hAnsiTheme="minorEastAsia" w:eastAsiaTheme="minorEastAsia"/>
              <w:szCs w:val="32"/>
            </w:rPr>
            <w:instrText xml:space="preserve"> HYPERLINK \l _Toc22270 </w:instrText>
          </w:r>
          <w:r>
            <w:rPr>
              <w:rFonts w:asciiTheme="minorEastAsia" w:hAnsiTheme="minorEastAsia" w:eastAsiaTheme="minorEastAsia"/>
              <w:szCs w:val="32"/>
            </w:rPr>
            <w:fldChar w:fldCharType="separate"/>
          </w:r>
          <w:r>
            <w:rPr>
              <w:rFonts w:hint="eastAsia" w:ascii="方正黑体_GBK" w:hAnsi="方正黑体_GBK" w:eastAsia="方正黑体_GBK" w:cs="方正黑体_GBK"/>
              <w:bCs/>
              <w:szCs w:val="32"/>
              <w:lang w:val="en-US" w:eastAsia="zh-CN"/>
            </w:rPr>
            <w:t>二、绩效评价基本情况</w:t>
          </w:r>
          <w:r>
            <w:tab/>
          </w:r>
          <w:r>
            <w:fldChar w:fldCharType="begin"/>
          </w:r>
          <w:r>
            <w:instrText xml:space="preserve"> PAGEREF _Toc22270 \h </w:instrText>
          </w:r>
          <w:r>
            <w:fldChar w:fldCharType="separate"/>
          </w:r>
          <w:r>
            <w:t>6</w:t>
          </w:r>
          <w:r>
            <w:fldChar w:fldCharType="end"/>
          </w:r>
          <w:r>
            <w:rPr>
              <w:rFonts w:asciiTheme="minorEastAsia" w:hAnsiTheme="minorEastAsia" w:eastAsiaTheme="minorEastAsia"/>
              <w:szCs w:val="32"/>
            </w:rPr>
            <w:fldChar w:fldCharType="end"/>
          </w:r>
        </w:p>
        <w:p>
          <w:pPr>
            <w:pStyle w:val="8"/>
            <w:pageBreakBefore w:val="0"/>
            <w:tabs>
              <w:tab w:val="right" w:leader="dot" w:pos="8958"/>
            </w:tabs>
            <w:kinsoku/>
            <w:wordWrap/>
            <w:overflowPunct/>
            <w:topLinePunct w:val="0"/>
            <w:bidi w:val="0"/>
            <w:spacing w:line="594"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szCs w:val="32"/>
            </w:rPr>
            <w:fldChar w:fldCharType="begin"/>
          </w:r>
          <w:r>
            <w:rPr>
              <w:rFonts w:hint="eastAsia" w:ascii="方正仿宋_GBK" w:hAnsi="方正仿宋_GBK" w:eastAsia="方正仿宋_GBK" w:cs="方正仿宋_GBK"/>
              <w:szCs w:val="32"/>
            </w:rPr>
            <w:instrText xml:space="preserve"> HYPERLINK \l _Toc5950 </w:instrText>
          </w:r>
          <w:r>
            <w:rPr>
              <w:rFonts w:hint="eastAsia" w:ascii="方正仿宋_GBK" w:hAnsi="方正仿宋_GBK" w:eastAsia="方正仿宋_GBK" w:cs="方正仿宋_GBK"/>
              <w:szCs w:val="32"/>
            </w:rPr>
            <w:fldChar w:fldCharType="separate"/>
          </w:r>
          <w:r>
            <w:rPr>
              <w:rFonts w:hint="eastAsia" w:ascii="方正仿宋_GBK" w:hAnsi="方正仿宋_GBK" w:eastAsia="方正仿宋_GBK" w:cs="方正仿宋_GBK"/>
              <w:bCs/>
              <w:lang w:val="en-US" w:eastAsia="zh-CN"/>
            </w:rPr>
            <w:t>（一）绩效评价目的</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_Toc5950 \h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6</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szCs w:val="32"/>
            </w:rPr>
            <w:fldChar w:fldCharType="end"/>
          </w:r>
        </w:p>
        <w:p>
          <w:pPr>
            <w:pStyle w:val="8"/>
            <w:pageBreakBefore w:val="0"/>
            <w:tabs>
              <w:tab w:val="right" w:leader="dot" w:pos="8958"/>
            </w:tabs>
            <w:kinsoku/>
            <w:wordWrap/>
            <w:overflowPunct/>
            <w:topLinePunct w:val="0"/>
            <w:bidi w:val="0"/>
            <w:spacing w:line="594"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szCs w:val="32"/>
            </w:rPr>
            <w:fldChar w:fldCharType="begin"/>
          </w:r>
          <w:r>
            <w:rPr>
              <w:rFonts w:hint="eastAsia" w:ascii="方正仿宋_GBK" w:hAnsi="方正仿宋_GBK" w:eastAsia="方正仿宋_GBK" w:cs="方正仿宋_GBK"/>
              <w:szCs w:val="32"/>
            </w:rPr>
            <w:instrText xml:space="preserve"> HYPERLINK \l _Toc29685 </w:instrText>
          </w:r>
          <w:r>
            <w:rPr>
              <w:rFonts w:hint="eastAsia" w:ascii="方正仿宋_GBK" w:hAnsi="方正仿宋_GBK" w:eastAsia="方正仿宋_GBK" w:cs="方正仿宋_GBK"/>
              <w:szCs w:val="32"/>
            </w:rPr>
            <w:fldChar w:fldCharType="separate"/>
          </w:r>
          <w:r>
            <w:rPr>
              <w:rFonts w:hint="eastAsia" w:ascii="方正仿宋_GBK" w:hAnsi="方正仿宋_GBK" w:eastAsia="方正仿宋_GBK" w:cs="方正仿宋_GBK"/>
              <w:bCs/>
              <w:lang w:val="en-US" w:eastAsia="zh-CN"/>
            </w:rPr>
            <w:t>（二）绩效评价原则</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_Toc29685 \h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6</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szCs w:val="32"/>
            </w:rPr>
            <w:fldChar w:fldCharType="end"/>
          </w:r>
        </w:p>
        <w:p>
          <w:pPr>
            <w:pStyle w:val="8"/>
            <w:pageBreakBefore w:val="0"/>
            <w:tabs>
              <w:tab w:val="right" w:leader="dot" w:pos="8958"/>
            </w:tabs>
            <w:kinsoku/>
            <w:wordWrap/>
            <w:overflowPunct/>
            <w:topLinePunct w:val="0"/>
            <w:bidi w:val="0"/>
            <w:spacing w:line="594" w:lineRule="exact"/>
            <w:textAlignment w:val="auto"/>
          </w:pPr>
          <w:r>
            <w:rPr>
              <w:rFonts w:hint="eastAsia" w:ascii="方正仿宋_GBK" w:hAnsi="方正仿宋_GBK" w:eastAsia="方正仿宋_GBK" w:cs="方正仿宋_GBK"/>
              <w:szCs w:val="32"/>
            </w:rPr>
            <w:fldChar w:fldCharType="begin"/>
          </w:r>
          <w:r>
            <w:rPr>
              <w:rFonts w:hint="eastAsia" w:ascii="方正仿宋_GBK" w:hAnsi="方正仿宋_GBK" w:eastAsia="方正仿宋_GBK" w:cs="方正仿宋_GBK"/>
              <w:szCs w:val="32"/>
            </w:rPr>
            <w:instrText xml:space="preserve"> HYPERLINK \l _Toc29275 </w:instrText>
          </w:r>
          <w:r>
            <w:rPr>
              <w:rFonts w:hint="eastAsia" w:ascii="方正仿宋_GBK" w:hAnsi="方正仿宋_GBK" w:eastAsia="方正仿宋_GBK" w:cs="方正仿宋_GBK"/>
              <w:szCs w:val="32"/>
            </w:rPr>
            <w:fldChar w:fldCharType="separate"/>
          </w:r>
          <w:r>
            <w:rPr>
              <w:rFonts w:hint="eastAsia" w:ascii="方正仿宋_GBK" w:hAnsi="方正仿宋_GBK" w:eastAsia="方正仿宋_GBK" w:cs="方正仿宋_GBK"/>
              <w:bCs/>
              <w:lang w:val="en-US" w:eastAsia="zh-CN"/>
            </w:rPr>
            <w:t>（三）绩效评价工作过程</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_Toc29275 \h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7</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szCs w:val="32"/>
            </w:rPr>
            <w:fldChar w:fldCharType="end"/>
          </w:r>
        </w:p>
        <w:p>
          <w:pPr>
            <w:pStyle w:val="7"/>
            <w:pageBreakBefore w:val="0"/>
            <w:tabs>
              <w:tab w:val="right" w:leader="dot" w:pos="8958"/>
            </w:tabs>
            <w:kinsoku/>
            <w:wordWrap/>
            <w:overflowPunct/>
            <w:topLinePunct w:val="0"/>
            <w:bidi w:val="0"/>
            <w:spacing w:line="594" w:lineRule="exact"/>
            <w:textAlignment w:val="auto"/>
          </w:pPr>
          <w:r>
            <w:rPr>
              <w:rFonts w:asciiTheme="minorEastAsia" w:hAnsiTheme="minorEastAsia" w:eastAsiaTheme="minorEastAsia"/>
              <w:szCs w:val="32"/>
            </w:rPr>
            <w:fldChar w:fldCharType="begin"/>
          </w:r>
          <w:r>
            <w:rPr>
              <w:rFonts w:asciiTheme="minorEastAsia" w:hAnsiTheme="minorEastAsia" w:eastAsiaTheme="minorEastAsia"/>
              <w:szCs w:val="32"/>
            </w:rPr>
            <w:instrText xml:space="preserve"> HYPERLINK \l _Toc12981 </w:instrText>
          </w:r>
          <w:r>
            <w:rPr>
              <w:rFonts w:asciiTheme="minorEastAsia" w:hAnsiTheme="minorEastAsia" w:eastAsiaTheme="minorEastAsia"/>
              <w:szCs w:val="32"/>
            </w:rPr>
            <w:fldChar w:fldCharType="separate"/>
          </w:r>
          <w:r>
            <w:rPr>
              <w:rFonts w:hint="eastAsia" w:ascii="方正黑体_GBK" w:hAnsi="方正黑体_GBK" w:eastAsia="方正黑体_GBK" w:cs="方正黑体_GBK"/>
              <w:bCs/>
              <w:szCs w:val="32"/>
              <w:lang w:val="en-US" w:eastAsia="zh-CN"/>
            </w:rPr>
            <w:t>三、绩效评价情况及结论</w:t>
          </w:r>
          <w:r>
            <w:tab/>
          </w:r>
          <w:r>
            <w:fldChar w:fldCharType="begin"/>
          </w:r>
          <w:r>
            <w:instrText xml:space="preserve"> PAGEREF _Toc12981 \h </w:instrText>
          </w:r>
          <w:r>
            <w:fldChar w:fldCharType="separate"/>
          </w:r>
          <w:r>
            <w:t>9</w:t>
          </w:r>
          <w:r>
            <w:fldChar w:fldCharType="end"/>
          </w:r>
          <w:r>
            <w:rPr>
              <w:rFonts w:asciiTheme="minorEastAsia" w:hAnsiTheme="minorEastAsia" w:eastAsiaTheme="minorEastAsia"/>
              <w:szCs w:val="32"/>
            </w:rPr>
            <w:fldChar w:fldCharType="end"/>
          </w:r>
        </w:p>
        <w:p>
          <w:pPr>
            <w:pStyle w:val="7"/>
            <w:pageBreakBefore w:val="0"/>
            <w:tabs>
              <w:tab w:val="right" w:leader="dot" w:pos="8958"/>
            </w:tabs>
            <w:kinsoku/>
            <w:wordWrap/>
            <w:overflowPunct/>
            <w:topLinePunct w:val="0"/>
            <w:bidi w:val="0"/>
            <w:spacing w:line="594" w:lineRule="exact"/>
            <w:textAlignment w:val="auto"/>
          </w:pPr>
          <w:r>
            <w:rPr>
              <w:rFonts w:asciiTheme="minorEastAsia" w:hAnsiTheme="minorEastAsia" w:eastAsiaTheme="minorEastAsia"/>
              <w:szCs w:val="32"/>
            </w:rPr>
            <w:fldChar w:fldCharType="begin"/>
          </w:r>
          <w:r>
            <w:rPr>
              <w:rFonts w:asciiTheme="minorEastAsia" w:hAnsiTheme="minorEastAsia" w:eastAsiaTheme="minorEastAsia"/>
              <w:szCs w:val="32"/>
            </w:rPr>
            <w:instrText xml:space="preserve"> HYPERLINK \l _Toc4983 </w:instrText>
          </w:r>
          <w:r>
            <w:rPr>
              <w:rFonts w:asciiTheme="minorEastAsia" w:hAnsiTheme="minorEastAsia" w:eastAsiaTheme="minorEastAsia"/>
              <w:szCs w:val="32"/>
            </w:rPr>
            <w:fldChar w:fldCharType="separate"/>
          </w:r>
          <w:r>
            <w:rPr>
              <w:rFonts w:hint="eastAsia" w:ascii="方正黑体_GBK" w:hAnsi="方正黑体_GBK" w:eastAsia="方正黑体_GBK" w:cs="方正黑体_GBK"/>
              <w:bCs/>
              <w:szCs w:val="32"/>
              <w:lang w:val="en-US" w:eastAsia="zh-CN"/>
            </w:rPr>
            <w:t>四、主要经验及做法</w:t>
          </w:r>
          <w:r>
            <w:tab/>
          </w:r>
          <w:r>
            <w:fldChar w:fldCharType="begin"/>
          </w:r>
          <w:r>
            <w:instrText xml:space="preserve"> PAGEREF _Toc4983 \h </w:instrText>
          </w:r>
          <w:r>
            <w:fldChar w:fldCharType="separate"/>
          </w:r>
          <w:r>
            <w:t>11</w:t>
          </w:r>
          <w:r>
            <w:fldChar w:fldCharType="end"/>
          </w:r>
          <w:r>
            <w:rPr>
              <w:rFonts w:asciiTheme="minorEastAsia" w:hAnsiTheme="minorEastAsia" w:eastAsiaTheme="minorEastAsia"/>
              <w:szCs w:val="32"/>
            </w:rPr>
            <w:fldChar w:fldCharType="end"/>
          </w:r>
        </w:p>
        <w:p>
          <w:pPr>
            <w:pStyle w:val="7"/>
            <w:pageBreakBefore w:val="0"/>
            <w:tabs>
              <w:tab w:val="right" w:leader="dot" w:pos="8958"/>
            </w:tabs>
            <w:kinsoku/>
            <w:wordWrap/>
            <w:overflowPunct/>
            <w:topLinePunct w:val="0"/>
            <w:bidi w:val="0"/>
            <w:spacing w:line="594" w:lineRule="exact"/>
            <w:textAlignment w:val="auto"/>
          </w:pPr>
          <w:r>
            <w:rPr>
              <w:rFonts w:asciiTheme="minorEastAsia" w:hAnsiTheme="minorEastAsia" w:eastAsiaTheme="minorEastAsia"/>
              <w:szCs w:val="32"/>
            </w:rPr>
            <w:fldChar w:fldCharType="begin"/>
          </w:r>
          <w:r>
            <w:rPr>
              <w:rFonts w:asciiTheme="minorEastAsia" w:hAnsiTheme="minorEastAsia" w:eastAsiaTheme="minorEastAsia"/>
              <w:szCs w:val="32"/>
            </w:rPr>
            <w:instrText xml:space="preserve"> HYPERLINK \l _Toc20080 </w:instrText>
          </w:r>
          <w:r>
            <w:rPr>
              <w:rFonts w:asciiTheme="minorEastAsia" w:hAnsiTheme="minorEastAsia" w:eastAsiaTheme="minorEastAsia"/>
              <w:szCs w:val="32"/>
            </w:rPr>
            <w:fldChar w:fldCharType="separate"/>
          </w:r>
          <w:r>
            <w:rPr>
              <w:rFonts w:hint="eastAsia" w:ascii="方正黑体_GBK" w:hAnsi="方正黑体_GBK" w:eastAsia="方正黑体_GBK" w:cs="方正黑体_GBK"/>
              <w:bCs/>
              <w:szCs w:val="32"/>
              <w:lang w:val="en-US" w:eastAsia="zh-CN"/>
            </w:rPr>
            <w:t>五、存在的问题和建议</w:t>
          </w:r>
          <w:r>
            <w:tab/>
          </w:r>
          <w:r>
            <w:fldChar w:fldCharType="begin"/>
          </w:r>
          <w:r>
            <w:instrText xml:space="preserve"> PAGEREF _Toc20080 \h </w:instrText>
          </w:r>
          <w:r>
            <w:fldChar w:fldCharType="separate"/>
          </w:r>
          <w:r>
            <w:t>12</w:t>
          </w:r>
          <w:r>
            <w:fldChar w:fldCharType="end"/>
          </w:r>
          <w:r>
            <w:rPr>
              <w:rFonts w:asciiTheme="minorEastAsia" w:hAnsiTheme="minorEastAsia" w:eastAsiaTheme="minorEastAsia"/>
              <w:szCs w:val="32"/>
            </w:rPr>
            <w:fldChar w:fldCharType="end"/>
          </w:r>
        </w:p>
        <w:p>
          <w:pPr>
            <w:pStyle w:val="8"/>
            <w:pageBreakBefore w:val="0"/>
            <w:tabs>
              <w:tab w:val="right" w:leader="dot" w:pos="8958"/>
            </w:tabs>
            <w:kinsoku/>
            <w:wordWrap/>
            <w:overflowPunct/>
            <w:topLinePunct w:val="0"/>
            <w:bidi w:val="0"/>
            <w:spacing w:line="594"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szCs w:val="32"/>
            </w:rPr>
            <w:fldChar w:fldCharType="begin"/>
          </w:r>
          <w:r>
            <w:rPr>
              <w:rFonts w:hint="eastAsia" w:ascii="方正仿宋_GBK" w:hAnsi="方正仿宋_GBK" w:eastAsia="方正仿宋_GBK" w:cs="方正仿宋_GBK"/>
              <w:szCs w:val="32"/>
            </w:rPr>
            <w:instrText xml:space="preserve"> HYPERLINK \l _Toc32188 </w:instrText>
          </w:r>
          <w:r>
            <w:rPr>
              <w:rFonts w:hint="eastAsia" w:ascii="方正仿宋_GBK" w:hAnsi="方正仿宋_GBK" w:eastAsia="方正仿宋_GBK" w:cs="方正仿宋_GBK"/>
              <w:szCs w:val="32"/>
            </w:rPr>
            <w:fldChar w:fldCharType="separate"/>
          </w:r>
          <w:r>
            <w:rPr>
              <w:rFonts w:hint="eastAsia" w:ascii="方正仿宋_GBK" w:hAnsi="方正仿宋_GBK" w:eastAsia="方正仿宋_GBK" w:cs="方正仿宋_GBK"/>
              <w:szCs w:val="32"/>
            </w:rPr>
            <w:t>（一）存在的问题</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_Toc32188 \h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12</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szCs w:val="32"/>
            </w:rPr>
            <w:fldChar w:fldCharType="end"/>
          </w:r>
        </w:p>
        <w:p>
          <w:pPr>
            <w:pStyle w:val="8"/>
            <w:pageBreakBefore w:val="0"/>
            <w:tabs>
              <w:tab w:val="right" w:leader="dot" w:pos="8958"/>
            </w:tabs>
            <w:kinsoku/>
            <w:wordWrap/>
            <w:overflowPunct/>
            <w:topLinePunct w:val="0"/>
            <w:bidi w:val="0"/>
            <w:spacing w:line="594" w:lineRule="exact"/>
            <w:textAlignment w:val="auto"/>
          </w:pPr>
          <w:r>
            <w:rPr>
              <w:rFonts w:hint="eastAsia" w:ascii="方正仿宋_GBK" w:hAnsi="方正仿宋_GBK" w:eastAsia="方正仿宋_GBK" w:cs="方正仿宋_GBK"/>
              <w:szCs w:val="32"/>
            </w:rPr>
            <w:fldChar w:fldCharType="begin"/>
          </w:r>
          <w:r>
            <w:rPr>
              <w:rFonts w:hint="eastAsia" w:ascii="方正仿宋_GBK" w:hAnsi="方正仿宋_GBK" w:eastAsia="方正仿宋_GBK" w:cs="方正仿宋_GBK"/>
              <w:szCs w:val="32"/>
            </w:rPr>
            <w:instrText xml:space="preserve"> HYPERLINK \l _Toc10078 </w:instrText>
          </w:r>
          <w:r>
            <w:rPr>
              <w:rFonts w:hint="eastAsia" w:ascii="方正仿宋_GBK" w:hAnsi="方正仿宋_GBK" w:eastAsia="方正仿宋_GBK" w:cs="方正仿宋_GBK"/>
              <w:szCs w:val="32"/>
            </w:rPr>
            <w:fldChar w:fldCharType="separate"/>
          </w:r>
          <w:r>
            <w:rPr>
              <w:rFonts w:hint="eastAsia" w:ascii="方正仿宋_GBK" w:hAnsi="方正仿宋_GBK" w:eastAsia="方正仿宋_GBK" w:cs="方正仿宋_GBK"/>
              <w:szCs w:val="32"/>
            </w:rPr>
            <w:t>（二）建议</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_Toc10078 \h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12</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szCs w:val="32"/>
            </w:rPr>
            <w:fldChar w:fldCharType="end"/>
          </w:r>
        </w:p>
        <w:p>
          <w:pPr>
            <w:pStyle w:val="17"/>
            <w:pageBreakBefore w:val="0"/>
            <w:kinsoku/>
            <w:wordWrap/>
            <w:overflowPunct/>
            <w:topLinePunct w:val="0"/>
            <w:bidi w:val="0"/>
            <w:spacing w:line="594" w:lineRule="exact"/>
            <w:ind w:left="357" w:firstLine="640"/>
            <w:textAlignment w:val="auto"/>
            <w:rPr>
              <w:b/>
              <w:sz w:val="24"/>
            </w:rPr>
          </w:pPr>
          <w:r>
            <w:rPr>
              <w:rFonts w:asciiTheme="minorEastAsia" w:hAnsiTheme="minorEastAsia" w:eastAsiaTheme="minorEastAsia"/>
              <w:szCs w:val="32"/>
            </w:rPr>
            <w:fldChar w:fldCharType="end"/>
          </w:r>
        </w:p>
      </w:sdtContent>
    </w:sdt>
    <w:p>
      <w:pPr>
        <w:pageBreakBefore w:val="0"/>
        <w:kinsoku/>
        <w:wordWrap/>
        <w:overflowPunct/>
        <w:topLinePunct w:val="0"/>
        <w:bidi w:val="0"/>
        <w:spacing w:line="594" w:lineRule="exact"/>
        <w:textAlignment w:val="auto"/>
        <w:rPr>
          <w:b/>
          <w:sz w:val="24"/>
        </w:rPr>
      </w:pPr>
      <w:r>
        <w:rPr>
          <w:b/>
          <w:sz w:val="24"/>
        </w:rPr>
        <w:br w:type="page"/>
      </w:r>
    </w:p>
    <w:p>
      <w:pPr>
        <w:pageBreakBefore w:val="0"/>
        <w:kinsoku/>
        <w:wordWrap/>
        <w:overflowPunct/>
        <w:topLinePunct w:val="0"/>
        <w:bidi w:val="0"/>
        <w:spacing w:line="594" w:lineRule="exact"/>
        <w:ind w:firstLine="640" w:firstLineChars="200"/>
        <w:textAlignment w:val="auto"/>
        <w:rPr>
          <w:rFonts w:hint="eastAsia" w:eastAsia="方正仿宋_GBK"/>
          <w:sz w:val="32"/>
          <w:szCs w:val="32"/>
          <w:lang w:eastAsia="zh-CN"/>
        </w:rPr>
      </w:pPr>
      <w:r>
        <w:rPr>
          <w:rFonts w:hint="eastAsia" w:eastAsia="方正仿宋_GBK"/>
          <w:sz w:val="32"/>
          <w:szCs w:val="32"/>
        </w:rPr>
        <w:t>为了进一步规范财政资金管理，提高财政资金的使用效益，进一步完善“全方位、全过程、全覆盖”的财政预算绩效管理体系，按照《重庆市璧山区财政局关于开展2021年度预算绩效评价工作的通知》（璧财绩〔2022〕2号）等文件要求，现将我</w:t>
      </w:r>
      <w:r>
        <w:rPr>
          <w:rFonts w:hint="eastAsia" w:eastAsia="方正仿宋_GBK"/>
          <w:sz w:val="32"/>
          <w:szCs w:val="32"/>
          <w:lang w:eastAsia="zh-CN"/>
        </w:rPr>
        <w:t>单位</w:t>
      </w:r>
      <w:r>
        <w:rPr>
          <w:rFonts w:hint="eastAsia" w:eastAsia="方正仿宋_GBK"/>
          <w:sz w:val="32"/>
          <w:szCs w:val="32"/>
        </w:rPr>
        <w:t>2021年部门整体支出绩效</w:t>
      </w:r>
      <w:r>
        <w:rPr>
          <w:rFonts w:hint="eastAsia" w:eastAsia="方正仿宋_GBK"/>
          <w:sz w:val="32"/>
          <w:szCs w:val="32"/>
          <w:lang w:eastAsia="zh-CN"/>
        </w:rPr>
        <w:t>的</w:t>
      </w:r>
      <w:r>
        <w:rPr>
          <w:rFonts w:hint="eastAsia" w:eastAsia="方正仿宋_GBK"/>
          <w:sz w:val="32"/>
          <w:szCs w:val="32"/>
        </w:rPr>
        <w:t>自评</w:t>
      </w:r>
      <w:r>
        <w:rPr>
          <w:rFonts w:hint="eastAsia" w:eastAsia="方正仿宋_GBK"/>
          <w:sz w:val="32"/>
          <w:szCs w:val="32"/>
          <w:lang w:eastAsia="zh-CN"/>
        </w:rPr>
        <w:t>情况</w:t>
      </w:r>
      <w:r>
        <w:rPr>
          <w:rFonts w:hint="eastAsia" w:eastAsia="方正仿宋_GBK"/>
          <w:sz w:val="32"/>
          <w:szCs w:val="32"/>
        </w:rPr>
        <w:t>报告如下</w:t>
      </w:r>
      <w:r>
        <w:rPr>
          <w:rFonts w:hint="eastAsia" w:eastAsia="方正仿宋_GBK"/>
          <w:sz w:val="32"/>
          <w:szCs w:val="32"/>
          <w:lang w:eastAsia="zh-CN"/>
        </w:rPr>
        <w:t>：</w:t>
      </w:r>
    </w:p>
    <w:p>
      <w:pPr>
        <w:pStyle w:val="3"/>
        <w:pageBreakBefore w:val="0"/>
        <w:kinsoku/>
        <w:wordWrap/>
        <w:overflowPunct/>
        <w:topLinePunct w:val="0"/>
        <w:bidi w:val="0"/>
        <w:spacing w:before="0" w:beforeLines="0" w:after="0" w:afterLines="0" w:line="594" w:lineRule="exact"/>
        <w:ind w:firstLine="640" w:firstLineChars="200"/>
        <w:textAlignment w:val="auto"/>
        <w:rPr>
          <w:rFonts w:hint="eastAsia" w:ascii="方正黑体_GBK" w:hAnsi="方正黑体_GBK" w:eastAsia="方正黑体_GBK" w:cs="方正黑体_GBK"/>
          <w:b w:val="0"/>
          <w:bCs/>
          <w:sz w:val="32"/>
          <w:szCs w:val="32"/>
        </w:rPr>
      </w:pPr>
      <w:bookmarkStart w:id="0" w:name="_Toc5833"/>
      <w:r>
        <w:rPr>
          <w:rFonts w:hint="eastAsia" w:ascii="方正黑体_GBK" w:hAnsi="方正黑体_GBK" w:eastAsia="方正黑体_GBK" w:cs="方正黑体_GBK"/>
          <w:b w:val="0"/>
          <w:bCs/>
          <w:sz w:val="32"/>
          <w:szCs w:val="32"/>
          <w:lang w:val="en-US" w:eastAsia="zh-CN"/>
        </w:rPr>
        <w:t>一、</w:t>
      </w:r>
      <w:r>
        <w:rPr>
          <w:rFonts w:hint="eastAsia" w:ascii="方正黑体_GBK" w:hAnsi="方正黑体_GBK" w:eastAsia="方正黑体_GBK" w:cs="方正黑体_GBK"/>
          <w:b w:val="0"/>
          <w:bCs/>
          <w:sz w:val="32"/>
          <w:szCs w:val="32"/>
        </w:rPr>
        <w:t>基本情况</w:t>
      </w:r>
      <w:bookmarkEnd w:id="0"/>
    </w:p>
    <w:p>
      <w:pPr>
        <w:pStyle w:val="4"/>
        <w:pageBreakBefore w:val="0"/>
        <w:kinsoku/>
        <w:wordWrap/>
        <w:overflowPunct/>
        <w:topLinePunct w:val="0"/>
        <w:bidi w:val="0"/>
        <w:spacing w:before="0" w:beforeLines="0" w:after="0" w:afterLines="0" w:line="594" w:lineRule="exact"/>
        <w:ind w:firstLine="640" w:firstLineChars="200"/>
        <w:textAlignment w:val="auto"/>
        <w:rPr>
          <w:rFonts w:hint="eastAsia" w:ascii="方正楷体_GBK" w:hAnsi="方正楷体_GBK" w:eastAsia="方正楷体_GBK" w:cs="方正楷体_GBK"/>
          <w:b w:val="0"/>
          <w:bCs/>
        </w:rPr>
      </w:pPr>
      <w:bookmarkStart w:id="1" w:name="_Toc27175"/>
      <w:r>
        <w:rPr>
          <w:rFonts w:hint="eastAsia" w:ascii="方正楷体_GBK" w:hAnsi="方正楷体_GBK" w:eastAsia="方正楷体_GBK" w:cs="方正楷体_GBK"/>
          <w:b w:val="0"/>
          <w:bCs/>
        </w:rPr>
        <w:t>（一）职能职责</w:t>
      </w:r>
      <w:bookmarkEnd w:id="1"/>
    </w:p>
    <w:p>
      <w:pPr>
        <w:pageBreakBefore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重庆市璧山区现代服务业发展促进中心受主管单位委托，主要承担以下职责：</w:t>
      </w:r>
    </w:p>
    <w:p>
      <w:pPr>
        <w:pageBreakBefore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（1）研究推进现代服务业发展和机制创新相关措施，实施现代服务业产业规划和年度计划。</w:t>
      </w:r>
    </w:p>
    <w:p>
      <w:pPr>
        <w:pageBreakBefore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（2）负责现代服务业产业业态规划、经济运行分析、任务分解和考核的事务性工作。</w:t>
      </w:r>
    </w:p>
    <w:p>
      <w:pPr>
        <w:pageBreakBefore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（3）按规定统筹汇总全区现代服务业相关行业统计事务工作，建立服务业重点行业和重点企业运行监测、阶段评估和动态分析机制，评估行业发展状况。</w:t>
      </w:r>
    </w:p>
    <w:p>
      <w:pPr>
        <w:pageBreakBefore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（4）负责现代服务业项目包装、推介及现代服务业投资促进、招商项目等事务性工作</w:t>
      </w:r>
      <w:bookmarkStart w:id="19" w:name="_GoBack"/>
      <w:bookmarkEnd w:id="19"/>
      <w:r>
        <w:rPr>
          <w:rFonts w:hint="eastAsia" w:ascii="方正仿宋_GBK" w:hAnsi="方正仿宋_GBK" w:eastAsia="方正仿宋_GBK" w:cs="方正仿宋_GBK"/>
          <w:sz w:val="32"/>
          <w:szCs w:val="32"/>
        </w:rPr>
        <w:t>。</w:t>
      </w:r>
    </w:p>
    <w:p>
      <w:pPr>
        <w:pageBreakBefore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（5）负责签约项目对接服务、履约情况、合同管理、人才服务及相关政策扶持的兑现工作，协调解决签约项目建设及运营期间的困难和诉求。</w:t>
      </w:r>
    </w:p>
    <w:p>
      <w:pPr>
        <w:pageBreakBefore w:val="0"/>
        <w:kinsoku/>
        <w:wordWrap/>
        <w:overflowPunct/>
        <w:topLinePunct w:val="0"/>
        <w:bidi w:val="0"/>
        <w:spacing w:line="594" w:lineRule="exact"/>
        <w:ind w:firstLine="640" w:firstLineChars="200"/>
        <w:textAlignment w:val="auto"/>
        <w:rPr>
          <w:rFonts w:hint="eastAsia" w:eastAsia="方正仿宋_GBK"/>
          <w:sz w:val="32"/>
          <w:szCs w:val="32"/>
        </w:rPr>
      </w:pPr>
      <w:r>
        <w:rPr>
          <w:rFonts w:hint="eastAsia" w:ascii="方正仿宋_GBK" w:hAnsi="方正仿宋_GBK" w:eastAsia="方正仿宋_GBK" w:cs="方正仿宋_GBK"/>
          <w:sz w:val="32"/>
          <w:szCs w:val="32"/>
        </w:rPr>
        <w:t>（6）承办区委、区政府及主管部门交办的其他事项。</w:t>
      </w:r>
      <w:r>
        <w:rPr>
          <w:rFonts w:hint="eastAsia" w:eastAsia="方正仿宋_GBK"/>
          <w:sz w:val="32"/>
          <w:szCs w:val="32"/>
        </w:rPr>
        <w:t xml:space="preserve">  </w:t>
      </w:r>
    </w:p>
    <w:p>
      <w:pPr>
        <w:pStyle w:val="4"/>
        <w:pageBreakBefore w:val="0"/>
        <w:kinsoku/>
        <w:wordWrap/>
        <w:overflowPunct/>
        <w:topLinePunct w:val="0"/>
        <w:bidi w:val="0"/>
        <w:spacing w:before="0" w:beforeLines="0" w:after="0" w:afterLines="0" w:line="594" w:lineRule="exact"/>
        <w:ind w:firstLine="640" w:firstLineChars="200"/>
        <w:textAlignment w:val="auto"/>
        <w:rPr>
          <w:rFonts w:hint="eastAsia" w:ascii="方正楷体_GBK" w:hAnsi="方正楷体_GBK" w:eastAsia="方正楷体_GBK" w:cs="方正楷体_GBK"/>
          <w:b w:val="0"/>
          <w:bCs/>
        </w:rPr>
      </w:pPr>
      <w:bookmarkStart w:id="2" w:name="_Toc11034"/>
      <w:r>
        <w:rPr>
          <w:rFonts w:hint="eastAsia" w:ascii="方正楷体_GBK" w:hAnsi="方正楷体_GBK" w:eastAsia="方正楷体_GBK" w:cs="方正楷体_GBK"/>
          <w:b w:val="0"/>
          <w:bCs/>
        </w:rPr>
        <w:t>（二）机构设置</w:t>
      </w:r>
      <w:bookmarkEnd w:id="2"/>
    </w:p>
    <w:p>
      <w:pPr>
        <w:pageBreakBefore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根据上述职责，重庆市璧山区现代服务业发展促进中心设下列内设机构：</w:t>
      </w:r>
    </w:p>
    <w:p>
      <w:pPr>
        <w:pageBreakBefore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综合科。负责党务、人事、文秘、档案、精神文明、宣传、财务管理等中心日常运转工作；统筹任务分解和考核、业态规划、宣传报道、日常会务、业务培训等；研究推进现代服务业发展和机制创新相关措施；其他有关工作。</w:t>
      </w:r>
    </w:p>
    <w:p>
      <w:pPr>
        <w:pageBreakBefore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经济运行统计科。按规定统筹汇总全区现代服务业相关行业统计事务工作，建立服务业重点行业和重点企业运行监测、阶段评估和动态分析机制，评估行业发展状况；统筹服务业经济运行分析；其他有关工作。</w:t>
      </w:r>
    </w:p>
    <w:p>
      <w:pPr>
        <w:pageBreakBefore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商贸物流产业科。负责商业商务、现代物流业项目的包装、推介、履约监管、合同管理、人才服务及相关政策扶持的兑现；负责招商项目的对接服务、筛选、交办、入库、尽职调查、签约；协助解决签约项目建设及运营期间的困难和诉求；其他有关工作。</w:t>
      </w:r>
    </w:p>
    <w:p>
      <w:pPr>
        <w:pageBreakBefore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数字经济产业科。负责数字经济产业项目的包装、推介、履约监管、合同管理、人才服务及相关政策扶持的兑现；负责招商项目的对接服务、筛选、交办、入库、尽职调查、签约；协助解决签约项目建设及运营期间的困难和诉求；其他有关工作。</w:t>
      </w:r>
    </w:p>
    <w:p>
      <w:pPr>
        <w:pageBreakBefore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大健康产业科。负责大健康产业项目的包装、推介、履约监管、合同管理、人才服务及相关政策扶持的兑现；负责招商项目的对接服务、筛选、交办、入库、尽职调查、签约；协助解决签约项目建设及运营期间的困难和诉求；其他有关工作。</w:t>
      </w:r>
    </w:p>
    <w:p>
      <w:pPr>
        <w:pageBreakBefore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文旅产业科。负责文化旅游业项目的包装、推介、履约监管、合同管理、人才服务及相关政策扶持的兑现；负责招商项目的对接服务、筛选、交办、入库、尽职调查、签约；协助解决签约项目建设及运营期间的困难和诉求；其他有关工作。</w:t>
      </w:r>
    </w:p>
    <w:p>
      <w:pPr>
        <w:pageBreakBefore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产教融合科。负责产教融合项目的包装、推介、履约监管、合同管理、人才服务及相关政策扶持的兑现；负责招商项目的对接服务、筛选、交办、入库、尽职调查、签约；协助解决签约项目建设及运营期间的困难和诉求；其他有关工作。</w:t>
      </w:r>
    </w:p>
    <w:p>
      <w:pPr>
        <w:pageBreakBefore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科创金融科。负责科创服务业项目的包装、推介、履约监管、合同管理、人才服务及相关政策扶持的兑现；负责招商项目的对接服务、筛选、交办、入库、尽职调查、签约；协助解决签约项目建设及运营期间的困难和诉求；其他有关工作。</w:t>
      </w:r>
    </w:p>
    <w:p>
      <w:pPr>
        <w:pStyle w:val="4"/>
        <w:pageBreakBefore w:val="0"/>
        <w:kinsoku/>
        <w:wordWrap/>
        <w:overflowPunct/>
        <w:topLinePunct w:val="0"/>
        <w:bidi w:val="0"/>
        <w:spacing w:before="0" w:beforeLines="0" w:after="0" w:afterLines="0" w:line="594" w:lineRule="exact"/>
        <w:ind w:firstLine="640" w:firstLineChars="200"/>
        <w:textAlignment w:val="auto"/>
        <w:rPr>
          <w:rFonts w:hint="eastAsia" w:ascii="方正楷体_GBK" w:hAnsi="方正楷体_GBK" w:eastAsia="方正楷体_GBK" w:cs="方正楷体_GBK"/>
          <w:b w:val="0"/>
          <w:bCs/>
          <w:lang w:val="en-US" w:eastAsia="zh-CN"/>
        </w:rPr>
      </w:pPr>
      <w:bookmarkStart w:id="3" w:name="_Toc2317"/>
      <w:r>
        <w:rPr>
          <w:rFonts w:hint="eastAsia" w:ascii="方正楷体_GBK" w:hAnsi="方正楷体_GBK" w:eastAsia="方正楷体_GBK" w:cs="方正楷体_GBK"/>
          <w:b w:val="0"/>
          <w:bCs/>
          <w:lang w:val="en-US" w:eastAsia="zh-CN"/>
        </w:rPr>
        <w:t> （三）部门整体预算及支出情况</w:t>
      </w:r>
      <w:bookmarkEnd w:id="3"/>
    </w:p>
    <w:p>
      <w:pPr>
        <w:pStyle w:val="9"/>
        <w:pageBreakBefore w:val="0"/>
        <w:widowControl/>
        <w:shd w:val="clear" w:color="auto" w:fill="FFFFFF"/>
        <w:kinsoku/>
        <w:wordWrap/>
        <w:overflowPunct/>
        <w:topLinePunct w:val="0"/>
        <w:bidi w:val="0"/>
        <w:spacing w:before="0" w:beforeAutospacing="0" w:after="0" w:afterAutospacing="0" w:line="594" w:lineRule="exact"/>
        <w:ind w:firstLine="736" w:firstLineChars="230"/>
        <w:jc w:val="both"/>
        <w:textAlignment w:val="auto"/>
        <w:outlineLvl w:val="2"/>
        <w:rPr>
          <w:rFonts w:hint="eastAsia" w:ascii="方正仿宋_GBK" w:hAnsi="方正仿宋_GBK" w:eastAsia="方正仿宋_GBK" w:cs="方正仿宋_GBK"/>
          <w:kern w:val="2"/>
          <w:sz w:val="32"/>
          <w:szCs w:val="32"/>
          <w:lang w:val="en-US" w:eastAsia="zh-CN" w:bidi="ar-SA"/>
        </w:rPr>
      </w:pPr>
      <w:bookmarkStart w:id="4" w:name="_Toc32696"/>
      <w:r>
        <w:rPr>
          <w:rFonts w:hint="eastAsia" w:ascii="方正仿宋_GBK" w:hAnsi="方正仿宋_GBK" w:eastAsia="方正仿宋_GBK" w:cs="方正仿宋_GBK"/>
          <w:kern w:val="2"/>
          <w:sz w:val="32"/>
          <w:szCs w:val="32"/>
          <w:lang w:val="en-US" w:eastAsia="zh-CN" w:bidi="ar-SA"/>
        </w:rPr>
        <w:t>1.部门收支总体情况</w:t>
      </w:r>
      <w:bookmarkEnd w:id="4"/>
    </w:p>
    <w:p>
      <w:pPr>
        <w:pStyle w:val="9"/>
        <w:pageBreakBefore w:val="0"/>
        <w:widowControl/>
        <w:shd w:val="clear" w:color="auto" w:fill="FFFFFF"/>
        <w:kinsoku/>
        <w:wordWrap/>
        <w:overflowPunct/>
        <w:topLinePunct w:val="0"/>
        <w:bidi w:val="0"/>
        <w:spacing w:before="0" w:beforeAutospacing="0" w:after="0" w:afterAutospacing="0" w:line="594"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（1）收入预算：2021年年初预算数1286.61万元，其中：一般公共预算拨款1286.61万元。收入较去年增加520.81万元，主要是一般公共预算拨款增加520.81万元。</w:t>
      </w:r>
    </w:p>
    <w:p>
      <w:pPr>
        <w:pStyle w:val="9"/>
        <w:pageBreakBefore w:val="0"/>
        <w:widowControl/>
        <w:shd w:val="clear" w:color="auto" w:fill="FFFFFF"/>
        <w:kinsoku/>
        <w:wordWrap/>
        <w:overflowPunct/>
        <w:topLinePunct w:val="0"/>
        <w:bidi w:val="0"/>
        <w:spacing w:before="0" w:beforeAutospacing="0" w:after="0" w:afterAutospacing="0" w:line="594"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2）支出预算：2021年年初预算数1286.61万元，其中：一般公共服务支出1062.09万元，社会保障和就业91.54万元，卫生健康支出53.91万元，住房保障79.04万元。支出较去年增加520.81万元，主要是基本支出增加520.81万元。</w:t>
      </w:r>
    </w:p>
    <w:p>
      <w:pPr>
        <w:pStyle w:val="9"/>
        <w:pageBreakBefore w:val="0"/>
        <w:widowControl/>
        <w:shd w:val="clear" w:color="auto" w:fill="FFFFFF"/>
        <w:kinsoku/>
        <w:wordWrap/>
        <w:overflowPunct/>
        <w:topLinePunct w:val="0"/>
        <w:bidi w:val="0"/>
        <w:spacing w:before="0" w:beforeAutospacing="0" w:after="0" w:afterAutospacing="0" w:line="594" w:lineRule="exact"/>
        <w:ind w:firstLine="736" w:firstLineChars="230"/>
        <w:jc w:val="both"/>
        <w:textAlignment w:val="auto"/>
        <w:outlineLvl w:val="2"/>
        <w:rPr>
          <w:rFonts w:hint="eastAsia" w:ascii="方正仿宋_GBK" w:hAnsi="方正仿宋_GBK" w:eastAsia="方正仿宋_GBK" w:cs="方正仿宋_GBK"/>
          <w:kern w:val="2"/>
          <w:sz w:val="32"/>
          <w:szCs w:val="32"/>
          <w:lang w:val="en-US" w:eastAsia="zh-CN" w:bidi="ar-SA"/>
        </w:rPr>
      </w:pPr>
      <w:bookmarkStart w:id="5" w:name="_Toc13414"/>
      <w:r>
        <w:rPr>
          <w:rFonts w:hint="eastAsia" w:ascii="方正仿宋_GBK" w:hAnsi="方正仿宋_GBK" w:eastAsia="方正仿宋_GBK" w:cs="方正仿宋_GBK"/>
          <w:kern w:val="2"/>
          <w:sz w:val="32"/>
          <w:szCs w:val="32"/>
          <w:lang w:val="en-US" w:eastAsia="zh-CN" w:bidi="ar-SA"/>
        </w:rPr>
        <w:t>2.“三公”经费情况说明</w:t>
      </w:r>
      <w:bookmarkEnd w:id="5"/>
    </w:p>
    <w:p>
      <w:pPr>
        <w:pStyle w:val="9"/>
        <w:pageBreakBefore w:val="0"/>
        <w:widowControl/>
        <w:shd w:val="clear" w:color="auto" w:fill="FFFFFF"/>
        <w:kinsoku/>
        <w:wordWrap/>
        <w:overflowPunct/>
        <w:topLinePunct w:val="0"/>
        <w:bidi w:val="0"/>
        <w:spacing w:before="0" w:beforeAutospacing="0" w:after="0" w:afterAutospacing="0" w:line="594" w:lineRule="exact"/>
        <w:ind w:firstLine="736" w:firstLineChars="23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2021年“三公”经费预算15万元，其中公务接待费10万元；公务用车运行维护费5万元，与2020年预算经费一致。</w:t>
      </w:r>
    </w:p>
    <w:p>
      <w:pPr>
        <w:pStyle w:val="9"/>
        <w:pageBreakBefore w:val="0"/>
        <w:widowControl/>
        <w:shd w:val="clear" w:color="auto" w:fill="FFFFFF"/>
        <w:kinsoku/>
        <w:wordWrap/>
        <w:overflowPunct/>
        <w:topLinePunct w:val="0"/>
        <w:bidi w:val="0"/>
        <w:spacing w:before="0" w:beforeAutospacing="0" w:after="0" w:afterAutospacing="0" w:line="594" w:lineRule="exact"/>
        <w:ind w:firstLine="736" w:firstLineChars="230"/>
        <w:jc w:val="both"/>
        <w:textAlignment w:val="auto"/>
        <w:outlineLvl w:val="2"/>
        <w:rPr>
          <w:rFonts w:hint="eastAsia" w:ascii="方正仿宋_GBK" w:hAnsi="方正仿宋_GBK" w:eastAsia="方正仿宋_GBK" w:cs="方正仿宋_GBK"/>
          <w:kern w:val="2"/>
          <w:sz w:val="32"/>
          <w:szCs w:val="32"/>
          <w:lang w:val="en-US" w:eastAsia="zh-CN" w:bidi="ar-SA"/>
        </w:rPr>
      </w:pPr>
      <w:bookmarkStart w:id="6" w:name="_Toc22599"/>
      <w:r>
        <w:rPr>
          <w:rFonts w:hint="eastAsia" w:ascii="方正仿宋_GBK" w:hAnsi="方正仿宋_GBK" w:eastAsia="方正仿宋_GBK" w:cs="方正仿宋_GBK"/>
          <w:kern w:val="2"/>
          <w:sz w:val="32"/>
          <w:szCs w:val="32"/>
          <w:lang w:val="en-US" w:eastAsia="zh-CN" w:bidi="ar-SA"/>
        </w:rPr>
        <w:t>3.其他重要事项的情况说明</w:t>
      </w:r>
      <w:bookmarkEnd w:id="6"/>
    </w:p>
    <w:p>
      <w:pPr>
        <w:pStyle w:val="9"/>
        <w:pageBreakBefore w:val="0"/>
        <w:widowControl/>
        <w:shd w:val="clear" w:color="auto" w:fill="FFFFFF"/>
        <w:kinsoku/>
        <w:wordWrap/>
        <w:overflowPunct/>
        <w:topLinePunct w:val="0"/>
        <w:bidi w:val="0"/>
        <w:spacing w:before="0" w:beforeAutospacing="0" w:after="0" w:afterAutospacing="0" w:line="594" w:lineRule="exact"/>
        <w:ind w:firstLine="579" w:firstLineChars="181"/>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截止2020年12月，单位共有车辆2辆，其中一般公务用车1辆、执勤执法用车1辆。2021年一般公共预算安排购置车辆0 辆，其中一般公务用车0辆、执勤执法用车0辆。</w:t>
      </w:r>
    </w:p>
    <w:p>
      <w:pPr>
        <w:pStyle w:val="3"/>
        <w:pageBreakBefore w:val="0"/>
        <w:kinsoku/>
        <w:wordWrap/>
        <w:overflowPunct/>
        <w:topLinePunct w:val="0"/>
        <w:bidi w:val="0"/>
        <w:spacing w:before="0" w:beforeLines="0" w:after="0" w:afterLines="0" w:line="594" w:lineRule="exact"/>
        <w:ind w:firstLine="640" w:firstLineChars="200"/>
        <w:textAlignment w:val="auto"/>
        <w:rPr>
          <w:rFonts w:hint="eastAsia" w:ascii="方正黑体_GBK" w:hAnsi="方正黑体_GBK" w:eastAsia="方正黑体_GBK" w:cs="方正黑体_GBK"/>
          <w:b w:val="0"/>
          <w:bCs/>
          <w:sz w:val="32"/>
          <w:szCs w:val="32"/>
          <w:lang w:val="en-US" w:eastAsia="zh-CN"/>
        </w:rPr>
      </w:pPr>
      <w:bookmarkStart w:id="7" w:name="_Toc22270"/>
      <w:r>
        <w:rPr>
          <w:rFonts w:hint="eastAsia" w:ascii="方正黑体_GBK" w:hAnsi="方正黑体_GBK" w:eastAsia="方正黑体_GBK" w:cs="方正黑体_GBK"/>
          <w:b w:val="0"/>
          <w:bCs/>
          <w:sz w:val="32"/>
          <w:szCs w:val="32"/>
          <w:lang w:val="en-US" w:eastAsia="zh-CN"/>
        </w:rPr>
        <w:t>二、绩效评价基本情况</w:t>
      </w:r>
      <w:bookmarkEnd w:id="7"/>
    </w:p>
    <w:p>
      <w:pPr>
        <w:pStyle w:val="4"/>
        <w:pageBreakBefore w:val="0"/>
        <w:kinsoku/>
        <w:wordWrap/>
        <w:overflowPunct/>
        <w:topLinePunct w:val="0"/>
        <w:bidi w:val="0"/>
        <w:spacing w:before="0" w:beforeLines="0" w:after="0" w:afterLines="0" w:line="594" w:lineRule="exact"/>
        <w:ind w:firstLine="640" w:firstLineChars="200"/>
        <w:textAlignment w:val="auto"/>
        <w:rPr>
          <w:rFonts w:hint="eastAsia" w:ascii="方正楷体_GBK" w:hAnsi="方正楷体_GBK" w:eastAsia="方正楷体_GBK" w:cs="方正楷体_GBK"/>
          <w:b w:val="0"/>
          <w:bCs/>
          <w:lang w:val="en-US" w:eastAsia="zh-CN"/>
        </w:rPr>
      </w:pPr>
      <w:bookmarkStart w:id="8" w:name="_Toc5950"/>
      <w:r>
        <w:rPr>
          <w:rFonts w:hint="eastAsia" w:ascii="方正楷体_GBK" w:hAnsi="方正楷体_GBK" w:eastAsia="方正楷体_GBK" w:cs="方正楷体_GBK"/>
          <w:b w:val="0"/>
          <w:bCs/>
          <w:lang w:val="en-US" w:eastAsia="zh-CN"/>
        </w:rPr>
        <w:t>（一）绩效评价目的</w:t>
      </w:r>
      <w:bookmarkEnd w:id="8"/>
    </w:p>
    <w:p>
      <w:pPr>
        <w:pStyle w:val="2"/>
        <w:pageBreakBefore w:val="0"/>
        <w:kinsoku/>
        <w:wordWrap/>
        <w:overflowPunct/>
        <w:topLinePunct w:val="0"/>
        <w:bidi w:val="0"/>
        <w:spacing w:before="0" w:after="0" w:line="594"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为加强预算执行分析，规范财务管理，强化财政资金跟 踪问效和绩效管理，建立对下属预算单位的监督、指导机制， 及时发现问题并采取有效措施解决，组织开展部门2021年整体支出绩效自评。</w:t>
      </w:r>
    </w:p>
    <w:p>
      <w:pPr>
        <w:pStyle w:val="4"/>
        <w:pageBreakBefore w:val="0"/>
        <w:kinsoku/>
        <w:wordWrap/>
        <w:overflowPunct/>
        <w:topLinePunct w:val="0"/>
        <w:bidi w:val="0"/>
        <w:spacing w:before="0" w:beforeLines="0" w:after="0" w:afterLines="0" w:line="594" w:lineRule="exact"/>
        <w:ind w:firstLine="640" w:firstLineChars="200"/>
        <w:textAlignment w:val="auto"/>
        <w:rPr>
          <w:rFonts w:hint="eastAsia" w:ascii="方正楷体_GBK" w:hAnsi="方正楷体_GBK" w:eastAsia="方正楷体_GBK" w:cs="方正楷体_GBK"/>
          <w:b w:val="0"/>
          <w:bCs/>
          <w:lang w:val="en-US" w:eastAsia="zh-CN"/>
        </w:rPr>
      </w:pPr>
      <w:bookmarkStart w:id="9" w:name="_Toc29685"/>
      <w:r>
        <w:rPr>
          <w:rFonts w:hint="eastAsia" w:ascii="方正楷体_GBK" w:hAnsi="方正楷体_GBK" w:eastAsia="方正楷体_GBK" w:cs="方正楷体_GBK"/>
          <w:b w:val="0"/>
          <w:bCs/>
          <w:lang w:val="en-US" w:eastAsia="zh-CN"/>
        </w:rPr>
        <w:t>（二）绩效评价原则</w:t>
      </w:r>
      <w:bookmarkEnd w:id="9"/>
    </w:p>
    <w:p>
      <w:pPr>
        <w:pageBreakBefore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绩效评价原则包括科学规范原则、公开公正原则、分级分类原则、绩效相关原则。</w:t>
      </w:r>
    </w:p>
    <w:p>
      <w:pPr>
        <w:pageBreakBefore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整个指标体系设置了一个一级指标（绩效指标），六个二级指标，即预算执行率（25分）、招商引资接待次数（20分）、补助企业数量（15分）、预决算公开率（15分）、绩效管理率（15分）、服务对象满意率（10分）。</w:t>
      </w:r>
    </w:p>
    <w:p>
      <w:pPr>
        <w:pageBreakBefore w:val="0"/>
        <w:kinsoku/>
        <w:wordWrap/>
        <w:overflowPunct/>
        <w:topLinePunct w:val="0"/>
        <w:bidi w:val="0"/>
        <w:spacing w:line="594" w:lineRule="exact"/>
        <w:ind w:firstLine="640" w:firstLineChars="200"/>
        <w:textAlignment w:val="auto"/>
        <w:rPr>
          <w:rFonts w:ascii="仿宋_GB2312" w:eastAsia="仿宋_GB2312"/>
          <w:bCs/>
          <w:sz w:val="32"/>
          <w:szCs w:val="32"/>
        </w:rPr>
      </w:pPr>
      <w:r>
        <w:rPr>
          <w:rFonts w:hint="eastAsia" w:ascii="方正仿宋_GBK" w:hAnsi="方正仿宋_GBK" w:eastAsia="方正仿宋_GBK" w:cs="方正仿宋_GBK"/>
          <w:b w:val="0"/>
          <w:bCs w:val="0"/>
          <w:kern w:val="2"/>
          <w:sz w:val="32"/>
          <w:szCs w:val="32"/>
          <w:lang w:val="en-US" w:eastAsia="zh-CN" w:bidi="ar-SA"/>
        </w:rPr>
        <w:t>评价的方法主要包括成本效益分析法、比较法、因素分析法、最低成本法、公众评判法、标杆管理法等。</w:t>
      </w:r>
    </w:p>
    <w:p>
      <w:pPr>
        <w:pStyle w:val="4"/>
        <w:pageBreakBefore w:val="0"/>
        <w:kinsoku/>
        <w:wordWrap/>
        <w:overflowPunct/>
        <w:topLinePunct w:val="0"/>
        <w:bidi w:val="0"/>
        <w:spacing w:before="0" w:beforeLines="0" w:after="0" w:afterLines="0" w:line="594" w:lineRule="exact"/>
        <w:ind w:firstLine="640" w:firstLineChars="200"/>
        <w:textAlignment w:val="auto"/>
        <w:rPr>
          <w:rFonts w:hint="eastAsia" w:ascii="方正楷体_GBK" w:hAnsi="方正楷体_GBK" w:eastAsia="方正楷体_GBK" w:cs="方正楷体_GBK"/>
          <w:b w:val="0"/>
          <w:bCs/>
          <w:lang w:val="en-US" w:eastAsia="zh-CN"/>
        </w:rPr>
      </w:pPr>
      <w:bookmarkStart w:id="10" w:name="_Toc29275"/>
      <w:r>
        <w:rPr>
          <w:rFonts w:hint="eastAsia" w:ascii="方正楷体_GBK" w:hAnsi="方正楷体_GBK" w:eastAsia="方正楷体_GBK" w:cs="方正楷体_GBK"/>
          <w:b w:val="0"/>
          <w:bCs/>
          <w:lang w:val="en-US" w:eastAsia="zh-CN"/>
        </w:rPr>
        <w:t>（三）绩效评价工作过程</w:t>
      </w:r>
      <w:bookmarkEnd w:id="10"/>
    </w:p>
    <w:p>
      <w:pPr>
        <w:pageBreakBefore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1.前期准备</w:t>
      </w:r>
    </w:p>
    <w:p>
      <w:pPr>
        <w:pageBreakBefore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根据《重庆市璧山区财政局关于开展2021年度绩效自评工作的通知》文件要求，我单位高度重视绩效评价，组成由委领导、财务部、各业务科室负责人和项目负责人组成的自评小组，制定自评方案，明确自评程序和方法，通知要求资金使用科室上报资金使用情况及计划绩效目标完成情况。</w:t>
      </w:r>
    </w:p>
    <w:p>
      <w:pPr>
        <w:pageBreakBefore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工作小组情况：2022年3月1日，成立部门绩效评价工作组，负责绩效自评工作，工作组的主要成员及职责如下：</w:t>
      </w:r>
    </w:p>
    <w:p>
      <w:pPr>
        <w:pageBreakBefore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（1）工作组成员</w:t>
      </w:r>
    </w:p>
    <w:p>
      <w:pPr>
        <w:pageBreakBefore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组  长：何秉鸿</w:t>
      </w:r>
    </w:p>
    <w:p>
      <w:pPr>
        <w:pageBreakBefore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成  员：黄诗洋、刘佳、霍丽先</w:t>
      </w:r>
    </w:p>
    <w:p>
      <w:pPr>
        <w:pageBreakBefore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工作组办公室设在财务部，由何秉鸿兼任工作组办公室主任。</w:t>
      </w:r>
    </w:p>
    <w:p>
      <w:pPr>
        <w:pageBreakBefore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（2）工作职责</w:t>
      </w:r>
    </w:p>
    <w:p>
      <w:pPr>
        <w:pageBreakBefore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组长职责：审批审核部门整体绩效自评方案，监督、检查、核实绩效自评结果。</w:t>
      </w:r>
    </w:p>
    <w:p>
      <w:pPr>
        <w:pageBreakBefore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小组成员职责：起草和修改部门整体绩效自评方案报自评领导工作组会议讨论通过，实施执行绩效自评方案；牵头组织并实施年度绩效自评，根据组长指示，对考评结果进行复核，完成绩效自评工作组安排的其他工作。</w:t>
      </w:r>
    </w:p>
    <w:p>
      <w:pPr>
        <w:pageBreakBefore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2022年3月05日，考评工作组开展自评检查工作，对部门整体绩效评价报告实施情况和质量进行评定等。</w:t>
      </w:r>
    </w:p>
    <w:p>
      <w:pPr>
        <w:pageBreakBefore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2.组织实施</w:t>
      </w:r>
    </w:p>
    <w:p>
      <w:pPr>
        <w:pageBreakBefore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本次绩效评价工作分为三个阶段：</w:t>
      </w:r>
    </w:p>
    <w:p>
      <w:pPr>
        <w:pageBreakBefore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第一个阶段为评价准备阶段，考评工作组梳理和研读了国家层面、市级层面、区级层面与本次自评有关的政策文件。</w:t>
      </w:r>
    </w:p>
    <w:p>
      <w:pPr>
        <w:pageBreakBefore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第二个阶段为实施评价阶段，考评工作组在2022年3月9日至3月18日开展评价实施。取得评价部门整体的进度和资金筹集支出情况等资料，通过研读与搭建指标体系进行评价，并进行报告撰写。</w:t>
      </w:r>
    </w:p>
    <w:p>
      <w:pPr>
        <w:pageBreakBefore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第三个阶段为评价完成阶段，2022年3月20日至3月28日，考评工作组对自评表与部门整体绩效评价报告初稿进行审核，开展自评检查工作，对部门整体绩效实施情况和质量进行评定。提出修改意见，形成部门整体绩效评价报告。</w:t>
      </w:r>
    </w:p>
    <w:p>
      <w:pPr>
        <w:pageBreakBefore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3.分析评价</w:t>
      </w:r>
    </w:p>
    <w:p>
      <w:pPr>
        <w:pageBreakBefore w:val="0"/>
        <w:kinsoku/>
        <w:wordWrap/>
        <w:overflowPunct/>
        <w:topLinePunct w:val="0"/>
        <w:bidi w:val="0"/>
        <w:spacing w:line="594" w:lineRule="exact"/>
        <w:ind w:firstLine="640" w:firstLineChars="200"/>
        <w:textAlignment w:val="auto"/>
        <w:rPr>
          <w:rFonts w:hint="eastAsia" w:eastAsia="方正仿宋_GBK"/>
          <w:sz w:val="32"/>
          <w:szCs w:val="32"/>
        </w:rPr>
      </w:pPr>
      <w:r>
        <w:rPr>
          <w:rFonts w:hint="eastAsia" w:ascii="方正仿宋_GBK" w:hAnsi="方正仿宋_GBK" w:eastAsia="方正仿宋_GBK" w:cs="方正仿宋_GBK"/>
          <w:b w:val="0"/>
          <w:bCs w:val="0"/>
          <w:kern w:val="2"/>
          <w:sz w:val="32"/>
          <w:szCs w:val="32"/>
          <w:lang w:val="en-US" w:eastAsia="zh-CN" w:bidi="ar-SA"/>
        </w:rPr>
        <w:t>根据《重庆市璧山区现代服务业发展促进中心2021年部门整体支出绩效评价指标表》，预算执行率分值 25 分，实际得分25分，得分率100%；招商引资接待次数分值20分，实际得分20分，得分率 100%；补助企业数量分值15分，实际得分 15分，得分率 100%；预决算公开率分值15分，实际得分 15分，得分率100%；绩效管理率分值15分，实际得分15分，得分率100%；服务对象满意度分值10分，实际得分10分，得分率为100%。2021年度重庆市璧山区现代服务业发展促进中心部门整体支出绩效评价总得分100分，等次为优。</w:t>
      </w:r>
    </w:p>
    <w:p>
      <w:pPr>
        <w:pStyle w:val="3"/>
        <w:pageBreakBefore w:val="0"/>
        <w:kinsoku/>
        <w:wordWrap/>
        <w:overflowPunct/>
        <w:topLinePunct w:val="0"/>
        <w:bidi w:val="0"/>
        <w:spacing w:before="0" w:beforeLines="0" w:after="0" w:afterLines="0" w:line="594" w:lineRule="exact"/>
        <w:ind w:firstLine="640" w:firstLineChars="200"/>
        <w:textAlignment w:val="auto"/>
        <w:rPr>
          <w:rFonts w:hint="eastAsia" w:ascii="方正黑体_GBK" w:hAnsi="方正黑体_GBK" w:eastAsia="方正黑体_GBK" w:cs="方正黑体_GBK"/>
          <w:b w:val="0"/>
          <w:bCs/>
          <w:sz w:val="32"/>
          <w:szCs w:val="32"/>
          <w:lang w:val="en-US" w:eastAsia="zh-CN"/>
        </w:rPr>
      </w:pPr>
      <w:bookmarkStart w:id="11" w:name="_Toc12981"/>
      <w:r>
        <w:rPr>
          <w:rFonts w:hint="eastAsia" w:ascii="方正黑体_GBK" w:hAnsi="方正黑体_GBK" w:eastAsia="方正黑体_GBK" w:cs="方正黑体_GBK"/>
          <w:b w:val="0"/>
          <w:bCs/>
          <w:sz w:val="32"/>
          <w:szCs w:val="32"/>
          <w:lang w:val="en-US" w:eastAsia="zh-CN"/>
        </w:rPr>
        <w:t>三、绩效评价情况及结论</w:t>
      </w:r>
      <w:bookmarkEnd w:id="11"/>
    </w:p>
    <w:p>
      <w:pPr>
        <w:pageBreakBefore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绩效指标具体得分情况如表1所示。</w:t>
      </w:r>
    </w:p>
    <w:p>
      <w:pPr>
        <w:pageBreakBefore w:val="0"/>
        <w:widowControl/>
        <w:kinsoku/>
        <w:wordWrap/>
        <w:overflowPunct/>
        <w:topLinePunct w:val="0"/>
        <w:autoSpaceDE w:val="0"/>
        <w:autoSpaceDN w:val="0"/>
        <w:bidi w:val="0"/>
        <w:spacing w:line="594" w:lineRule="exact"/>
        <w:ind w:left="42" w:leftChars="20" w:right="48" w:rightChars="23" w:firstLine="560" w:firstLineChars="200"/>
        <w:jc w:val="center"/>
        <w:textAlignment w:val="auto"/>
        <w:rPr>
          <w:rFonts w:eastAsia="方正仿宋_GBK"/>
          <w:kern w:val="0"/>
          <w:sz w:val="28"/>
          <w:szCs w:val="28"/>
          <w:shd w:val="clear" w:color="auto" w:fill="FFFFFF"/>
        </w:rPr>
      </w:pPr>
      <w:r>
        <w:rPr>
          <w:rFonts w:eastAsia="方正仿宋_GBK"/>
          <w:kern w:val="0"/>
          <w:sz w:val="28"/>
          <w:szCs w:val="28"/>
          <w:shd w:val="clear" w:color="auto" w:fill="FFFFFF"/>
        </w:rPr>
        <w:t>表 1：</w:t>
      </w:r>
      <w:r>
        <w:rPr>
          <w:rFonts w:hint="eastAsia" w:eastAsia="方正仿宋_GBK"/>
          <w:kern w:val="0"/>
          <w:sz w:val="28"/>
          <w:szCs w:val="28"/>
          <w:shd w:val="clear" w:color="auto" w:fill="FFFFFF"/>
          <w:lang w:val="en-US" w:eastAsia="zh-CN"/>
        </w:rPr>
        <w:t>绩效</w:t>
      </w:r>
      <w:r>
        <w:rPr>
          <w:rFonts w:eastAsia="方正仿宋_GBK"/>
          <w:kern w:val="0"/>
          <w:sz w:val="28"/>
          <w:szCs w:val="28"/>
          <w:shd w:val="clear" w:color="auto" w:fill="FFFFFF"/>
        </w:rPr>
        <w:t>指标得分情况</w:t>
      </w:r>
    </w:p>
    <w:tbl>
      <w:tblPr>
        <w:tblStyle w:val="10"/>
        <w:tblW w:w="833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66"/>
        <w:gridCol w:w="1656"/>
        <w:gridCol w:w="1656"/>
        <w:gridCol w:w="1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3366" w:type="dxa"/>
            <w:shd w:val="clear" w:color="auto" w:fill="auto"/>
            <w:vAlign w:val="center"/>
          </w:tcPr>
          <w:p>
            <w:pPr>
              <w:pageBreakBefore w:val="0"/>
              <w:widowControl/>
              <w:shd w:val="clear" w:color="auto" w:fill="FFFFFF"/>
              <w:kinsoku/>
              <w:wordWrap/>
              <w:overflowPunct/>
              <w:topLinePunct w:val="0"/>
              <w:bidi w:val="0"/>
              <w:adjustRightInd w:val="0"/>
              <w:snapToGrid w:val="0"/>
              <w:spacing w:line="594" w:lineRule="exact"/>
              <w:jc w:val="center"/>
              <w:textAlignment w:val="auto"/>
              <w:rPr>
                <w:rFonts w:eastAsia="方正仿宋_GBK"/>
                <w:kern w:val="0"/>
                <w:sz w:val="22"/>
                <w:szCs w:val="22"/>
                <w:shd w:val="clear" w:color="auto" w:fill="FFFFFF"/>
              </w:rPr>
            </w:pPr>
            <w:r>
              <w:rPr>
                <w:rFonts w:hint="eastAsia" w:eastAsia="方正仿宋_GBK"/>
                <w:kern w:val="0"/>
                <w:sz w:val="22"/>
                <w:szCs w:val="22"/>
                <w:shd w:val="clear" w:color="auto" w:fill="FFFFFF"/>
                <w:lang w:val="en-US" w:eastAsia="zh-CN"/>
              </w:rPr>
              <w:t>二</w:t>
            </w:r>
            <w:r>
              <w:rPr>
                <w:rFonts w:eastAsia="方正仿宋_GBK"/>
                <w:kern w:val="0"/>
                <w:sz w:val="22"/>
                <w:szCs w:val="22"/>
                <w:shd w:val="clear" w:color="auto" w:fill="FFFFFF"/>
              </w:rPr>
              <w:t>级指标</w:t>
            </w:r>
          </w:p>
        </w:tc>
        <w:tc>
          <w:tcPr>
            <w:tcW w:w="1656" w:type="dxa"/>
            <w:shd w:val="clear" w:color="auto" w:fill="auto"/>
            <w:vAlign w:val="center"/>
          </w:tcPr>
          <w:p>
            <w:pPr>
              <w:pageBreakBefore w:val="0"/>
              <w:widowControl/>
              <w:shd w:val="clear" w:color="auto" w:fill="FFFFFF"/>
              <w:kinsoku/>
              <w:wordWrap/>
              <w:overflowPunct/>
              <w:topLinePunct w:val="0"/>
              <w:bidi w:val="0"/>
              <w:adjustRightInd w:val="0"/>
              <w:snapToGrid w:val="0"/>
              <w:spacing w:line="594" w:lineRule="exact"/>
              <w:jc w:val="center"/>
              <w:textAlignment w:val="auto"/>
              <w:rPr>
                <w:rFonts w:eastAsia="方正仿宋_GBK"/>
                <w:kern w:val="0"/>
                <w:sz w:val="22"/>
                <w:szCs w:val="22"/>
                <w:shd w:val="clear" w:color="auto" w:fill="FFFFFF"/>
              </w:rPr>
            </w:pPr>
            <w:r>
              <w:rPr>
                <w:rFonts w:eastAsia="方正仿宋_GBK"/>
                <w:kern w:val="0"/>
                <w:sz w:val="22"/>
                <w:szCs w:val="22"/>
                <w:shd w:val="clear" w:color="auto" w:fill="FFFFFF"/>
              </w:rPr>
              <w:t>权重</w:t>
            </w:r>
          </w:p>
        </w:tc>
        <w:tc>
          <w:tcPr>
            <w:tcW w:w="1656" w:type="dxa"/>
            <w:shd w:val="clear" w:color="auto" w:fill="auto"/>
            <w:vAlign w:val="center"/>
          </w:tcPr>
          <w:p>
            <w:pPr>
              <w:pageBreakBefore w:val="0"/>
              <w:widowControl/>
              <w:shd w:val="clear" w:color="auto" w:fill="FFFFFF"/>
              <w:kinsoku/>
              <w:wordWrap/>
              <w:overflowPunct/>
              <w:topLinePunct w:val="0"/>
              <w:bidi w:val="0"/>
              <w:adjustRightInd w:val="0"/>
              <w:snapToGrid w:val="0"/>
              <w:spacing w:line="594" w:lineRule="exact"/>
              <w:jc w:val="center"/>
              <w:textAlignment w:val="auto"/>
              <w:rPr>
                <w:rFonts w:eastAsia="方正仿宋_GBK"/>
                <w:kern w:val="0"/>
                <w:sz w:val="22"/>
                <w:szCs w:val="22"/>
                <w:shd w:val="clear" w:color="auto" w:fill="FFFFFF"/>
              </w:rPr>
            </w:pPr>
            <w:r>
              <w:rPr>
                <w:rFonts w:eastAsia="方正仿宋_GBK"/>
                <w:kern w:val="0"/>
                <w:sz w:val="22"/>
                <w:szCs w:val="22"/>
                <w:shd w:val="clear" w:color="auto" w:fill="FFFFFF"/>
              </w:rPr>
              <w:t>得分</w:t>
            </w:r>
          </w:p>
        </w:tc>
        <w:tc>
          <w:tcPr>
            <w:tcW w:w="1660" w:type="dxa"/>
            <w:shd w:val="clear" w:color="auto" w:fill="auto"/>
            <w:vAlign w:val="center"/>
          </w:tcPr>
          <w:p>
            <w:pPr>
              <w:pageBreakBefore w:val="0"/>
              <w:widowControl/>
              <w:shd w:val="clear" w:color="auto" w:fill="FFFFFF"/>
              <w:kinsoku/>
              <w:wordWrap/>
              <w:overflowPunct/>
              <w:topLinePunct w:val="0"/>
              <w:bidi w:val="0"/>
              <w:adjustRightInd w:val="0"/>
              <w:snapToGrid w:val="0"/>
              <w:spacing w:line="594" w:lineRule="exact"/>
              <w:jc w:val="center"/>
              <w:textAlignment w:val="auto"/>
              <w:rPr>
                <w:rFonts w:eastAsia="方正仿宋_GBK"/>
                <w:kern w:val="0"/>
                <w:sz w:val="22"/>
                <w:szCs w:val="22"/>
                <w:shd w:val="clear" w:color="auto" w:fill="FFFFFF"/>
              </w:rPr>
            </w:pPr>
            <w:r>
              <w:rPr>
                <w:rFonts w:eastAsia="方正仿宋_GBK"/>
                <w:kern w:val="0"/>
                <w:sz w:val="22"/>
                <w:szCs w:val="22"/>
                <w:shd w:val="clear" w:color="auto" w:fill="FFFFFF"/>
              </w:rPr>
              <w:t>得分率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3366" w:type="dxa"/>
            <w:vAlign w:val="center"/>
          </w:tcPr>
          <w:p>
            <w:pPr>
              <w:pageBreakBefore w:val="0"/>
              <w:widowControl/>
              <w:shd w:val="clear" w:color="auto" w:fill="FFFFFF"/>
              <w:kinsoku/>
              <w:wordWrap/>
              <w:overflowPunct/>
              <w:topLinePunct w:val="0"/>
              <w:bidi w:val="0"/>
              <w:adjustRightInd w:val="0"/>
              <w:snapToGrid w:val="0"/>
              <w:spacing w:line="594" w:lineRule="exact"/>
              <w:jc w:val="center"/>
              <w:textAlignment w:val="auto"/>
              <w:rPr>
                <w:rFonts w:hint="eastAsia" w:eastAsia="方正仿宋_GBK"/>
                <w:kern w:val="0"/>
                <w:sz w:val="22"/>
                <w:szCs w:val="22"/>
                <w:shd w:val="clear" w:color="auto" w:fill="FFFFFF"/>
                <w:lang w:val="en-US" w:eastAsia="zh-CN"/>
              </w:rPr>
            </w:pPr>
            <w:r>
              <w:rPr>
                <w:rFonts w:hint="eastAsia" w:eastAsia="方正仿宋_GBK"/>
                <w:kern w:val="0"/>
                <w:sz w:val="22"/>
                <w:szCs w:val="22"/>
                <w:shd w:val="clear" w:color="auto" w:fill="FFFFFF"/>
                <w:lang w:val="en-US" w:eastAsia="zh-CN"/>
              </w:rPr>
              <w:t>预算执行率</w:t>
            </w:r>
          </w:p>
        </w:tc>
        <w:tc>
          <w:tcPr>
            <w:tcW w:w="1656" w:type="dxa"/>
            <w:vAlign w:val="center"/>
          </w:tcPr>
          <w:p>
            <w:pPr>
              <w:pageBreakBefore w:val="0"/>
              <w:widowControl/>
              <w:shd w:val="clear" w:color="auto" w:fill="FFFFFF"/>
              <w:kinsoku/>
              <w:wordWrap/>
              <w:overflowPunct/>
              <w:topLinePunct w:val="0"/>
              <w:bidi w:val="0"/>
              <w:adjustRightInd w:val="0"/>
              <w:snapToGrid w:val="0"/>
              <w:spacing w:line="594" w:lineRule="exact"/>
              <w:jc w:val="center"/>
              <w:textAlignment w:val="auto"/>
              <w:rPr>
                <w:rFonts w:hint="default" w:eastAsia="方正仿宋_GBK"/>
                <w:kern w:val="0"/>
                <w:sz w:val="22"/>
                <w:szCs w:val="22"/>
                <w:shd w:val="clear" w:color="auto" w:fill="FFFFFF"/>
                <w:lang w:val="en-US" w:eastAsia="zh-CN"/>
              </w:rPr>
            </w:pPr>
            <w:r>
              <w:rPr>
                <w:rFonts w:hint="eastAsia" w:eastAsia="方正仿宋_GBK"/>
                <w:kern w:val="0"/>
                <w:sz w:val="22"/>
                <w:szCs w:val="22"/>
                <w:shd w:val="clear" w:color="auto" w:fill="FFFFFF"/>
                <w:lang w:val="en-US" w:eastAsia="zh-CN"/>
              </w:rPr>
              <w:t>25</w:t>
            </w:r>
          </w:p>
        </w:tc>
        <w:tc>
          <w:tcPr>
            <w:tcW w:w="1656" w:type="dxa"/>
            <w:vAlign w:val="center"/>
          </w:tcPr>
          <w:p>
            <w:pPr>
              <w:pageBreakBefore w:val="0"/>
              <w:widowControl/>
              <w:shd w:val="clear" w:color="auto" w:fill="FFFFFF"/>
              <w:kinsoku/>
              <w:wordWrap/>
              <w:overflowPunct/>
              <w:topLinePunct w:val="0"/>
              <w:bidi w:val="0"/>
              <w:adjustRightInd w:val="0"/>
              <w:snapToGrid w:val="0"/>
              <w:spacing w:line="594" w:lineRule="exact"/>
              <w:jc w:val="center"/>
              <w:textAlignment w:val="auto"/>
              <w:rPr>
                <w:rFonts w:hint="default" w:eastAsia="方正仿宋_GBK"/>
                <w:kern w:val="0"/>
                <w:sz w:val="22"/>
                <w:szCs w:val="22"/>
                <w:shd w:val="clear" w:color="auto" w:fill="FFFFFF"/>
                <w:lang w:val="en-US" w:eastAsia="zh-CN"/>
              </w:rPr>
            </w:pPr>
            <w:r>
              <w:rPr>
                <w:rFonts w:hint="eastAsia" w:eastAsia="方正仿宋_GBK"/>
                <w:kern w:val="0"/>
                <w:sz w:val="22"/>
                <w:szCs w:val="22"/>
                <w:shd w:val="clear" w:color="auto" w:fill="FFFFFF"/>
                <w:lang w:val="en-US" w:eastAsia="zh-CN"/>
              </w:rPr>
              <w:t>25</w:t>
            </w:r>
          </w:p>
        </w:tc>
        <w:tc>
          <w:tcPr>
            <w:tcW w:w="1660" w:type="dxa"/>
            <w:vAlign w:val="center"/>
          </w:tcPr>
          <w:p>
            <w:pPr>
              <w:pageBreakBefore w:val="0"/>
              <w:widowControl/>
              <w:shd w:val="clear" w:color="auto" w:fill="FFFFFF"/>
              <w:kinsoku/>
              <w:wordWrap/>
              <w:overflowPunct/>
              <w:topLinePunct w:val="0"/>
              <w:bidi w:val="0"/>
              <w:adjustRightInd w:val="0"/>
              <w:snapToGrid w:val="0"/>
              <w:spacing w:line="594" w:lineRule="exact"/>
              <w:jc w:val="center"/>
              <w:textAlignment w:val="auto"/>
              <w:rPr>
                <w:rFonts w:hint="eastAsia" w:eastAsia="方正仿宋_GBK"/>
                <w:kern w:val="0"/>
                <w:sz w:val="22"/>
                <w:szCs w:val="22"/>
                <w:shd w:val="clear" w:color="auto" w:fill="FFFFFF"/>
                <w:lang w:val="en-US" w:eastAsia="zh-CN"/>
              </w:rPr>
            </w:pPr>
            <w:r>
              <w:rPr>
                <w:rFonts w:hint="eastAsia" w:eastAsia="方正仿宋_GBK"/>
                <w:kern w:val="0"/>
                <w:sz w:val="22"/>
                <w:szCs w:val="22"/>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366" w:type="dxa"/>
            <w:vAlign w:val="center"/>
          </w:tcPr>
          <w:p>
            <w:pPr>
              <w:pageBreakBefore w:val="0"/>
              <w:widowControl/>
              <w:shd w:val="clear" w:color="auto" w:fill="FFFFFF"/>
              <w:kinsoku/>
              <w:wordWrap/>
              <w:overflowPunct/>
              <w:topLinePunct w:val="0"/>
              <w:bidi w:val="0"/>
              <w:adjustRightInd w:val="0"/>
              <w:snapToGrid w:val="0"/>
              <w:spacing w:line="594" w:lineRule="exact"/>
              <w:jc w:val="center"/>
              <w:textAlignment w:val="auto"/>
              <w:rPr>
                <w:rFonts w:hint="eastAsia" w:eastAsia="方正仿宋_GBK"/>
                <w:kern w:val="0"/>
                <w:sz w:val="22"/>
                <w:szCs w:val="22"/>
                <w:shd w:val="clear" w:color="auto" w:fill="FFFFFF"/>
                <w:lang w:val="en-US" w:eastAsia="zh-CN"/>
              </w:rPr>
            </w:pPr>
            <w:r>
              <w:rPr>
                <w:rFonts w:hint="eastAsia" w:eastAsia="方正仿宋_GBK"/>
                <w:kern w:val="0"/>
                <w:sz w:val="22"/>
                <w:szCs w:val="22"/>
                <w:shd w:val="clear" w:color="auto" w:fill="FFFFFF"/>
                <w:lang w:val="en-US" w:eastAsia="zh-CN"/>
              </w:rPr>
              <w:t>招商引资接待次数</w:t>
            </w:r>
          </w:p>
        </w:tc>
        <w:tc>
          <w:tcPr>
            <w:tcW w:w="1656" w:type="dxa"/>
            <w:vAlign w:val="center"/>
          </w:tcPr>
          <w:p>
            <w:pPr>
              <w:pageBreakBefore w:val="0"/>
              <w:widowControl/>
              <w:shd w:val="clear" w:color="auto" w:fill="FFFFFF"/>
              <w:kinsoku/>
              <w:wordWrap/>
              <w:overflowPunct/>
              <w:topLinePunct w:val="0"/>
              <w:bidi w:val="0"/>
              <w:adjustRightInd w:val="0"/>
              <w:snapToGrid w:val="0"/>
              <w:spacing w:line="594" w:lineRule="exact"/>
              <w:jc w:val="center"/>
              <w:textAlignment w:val="auto"/>
              <w:rPr>
                <w:rFonts w:hint="default" w:eastAsia="方正仿宋_GBK"/>
                <w:kern w:val="0"/>
                <w:sz w:val="22"/>
                <w:szCs w:val="22"/>
                <w:shd w:val="clear" w:color="auto" w:fill="FFFFFF"/>
                <w:lang w:val="en-US" w:eastAsia="zh-CN"/>
              </w:rPr>
            </w:pPr>
            <w:r>
              <w:rPr>
                <w:rFonts w:hint="eastAsia" w:eastAsia="方正仿宋_GBK"/>
                <w:kern w:val="0"/>
                <w:sz w:val="22"/>
                <w:szCs w:val="22"/>
                <w:shd w:val="clear" w:color="auto" w:fill="FFFFFF"/>
                <w:lang w:val="en-US" w:eastAsia="zh-CN"/>
              </w:rPr>
              <w:t>20</w:t>
            </w:r>
          </w:p>
        </w:tc>
        <w:tc>
          <w:tcPr>
            <w:tcW w:w="1656" w:type="dxa"/>
            <w:vAlign w:val="center"/>
          </w:tcPr>
          <w:p>
            <w:pPr>
              <w:pageBreakBefore w:val="0"/>
              <w:widowControl/>
              <w:shd w:val="clear" w:color="auto" w:fill="FFFFFF"/>
              <w:kinsoku/>
              <w:wordWrap/>
              <w:overflowPunct/>
              <w:topLinePunct w:val="0"/>
              <w:bidi w:val="0"/>
              <w:adjustRightInd w:val="0"/>
              <w:snapToGrid w:val="0"/>
              <w:spacing w:line="594" w:lineRule="exact"/>
              <w:jc w:val="center"/>
              <w:textAlignment w:val="auto"/>
              <w:rPr>
                <w:rFonts w:hint="default" w:eastAsia="方正仿宋_GBK"/>
                <w:kern w:val="0"/>
                <w:sz w:val="22"/>
                <w:szCs w:val="22"/>
                <w:shd w:val="clear" w:color="auto" w:fill="FFFFFF"/>
                <w:lang w:val="en-US" w:eastAsia="zh-CN"/>
              </w:rPr>
            </w:pPr>
            <w:r>
              <w:rPr>
                <w:rFonts w:hint="eastAsia" w:eastAsia="方正仿宋_GBK"/>
                <w:kern w:val="0"/>
                <w:sz w:val="22"/>
                <w:szCs w:val="22"/>
                <w:shd w:val="clear" w:color="auto" w:fill="FFFFFF"/>
                <w:lang w:val="en-US" w:eastAsia="zh-CN"/>
              </w:rPr>
              <w:t>20</w:t>
            </w:r>
          </w:p>
        </w:tc>
        <w:tc>
          <w:tcPr>
            <w:tcW w:w="1660" w:type="dxa"/>
            <w:vAlign w:val="center"/>
          </w:tcPr>
          <w:p>
            <w:pPr>
              <w:pageBreakBefore w:val="0"/>
              <w:widowControl/>
              <w:shd w:val="clear" w:color="auto" w:fill="FFFFFF"/>
              <w:kinsoku/>
              <w:wordWrap/>
              <w:overflowPunct/>
              <w:topLinePunct w:val="0"/>
              <w:bidi w:val="0"/>
              <w:adjustRightInd w:val="0"/>
              <w:snapToGrid w:val="0"/>
              <w:spacing w:line="594" w:lineRule="exact"/>
              <w:jc w:val="center"/>
              <w:textAlignment w:val="auto"/>
              <w:rPr>
                <w:rFonts w:hint="eastAsia" w:eastAsia="方正仿宋_GBK"/>
                <w:kern w:val="0"/>
                <w:sz w:val="22"/>
                <w:szCs w:val="22"/>
                <w:shd w:val="clear" w:color="auto" w:fill="FFFFFF"/>
                <w:lang w:val="en-US" w:eastAsia="zh-CN"/>
              </w:rPr>
            </w:pPr>
            <w:r>
              <w:rPr>
                <w:rFonts w:hint="eastAsia" w:eastAsia="方正仿宋_GBK"/>
                <w:kern w:val="0"/>
                <w:sz w:val="22"/>
                <w:szCs w:val="22"/>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3366" w:type="dxa"/>
            <w:vAlign w:val="center"/>
          </w:tcPr>
          <w:p>
            <w:pPr>
              <w:pageBreakBefore w:val="0"/>
              <w:widowControl/>
              <w:shd w:val="clear" w:color="auto" w:fill="FFFFFF"/>
              <w:kinsoku/>
              <w:wordWrap/>
              <w:overflowPunct/>
              <w:topLinePunct w:val="0"/>
              <w:bidi w:val="0"/>
              <w:adjustRightInd w:val="0"/>
              <w:snapToGrid w:val="0"/>
              <w:spacing w:line="594" w:lineRule="exact"/>
              <w:jc w:val="center"/>
              <w:textAlignment w:val="auto"/>
              <w:rPr>
                <w:rFonts w:hint="eastAsia" w:eastAsia="方正仿宋_GBK"/>
                <w:kern w:val="0"/>
                <w:sz w:val="22"/>
                <w:szCs w:val="22"/>
                <w:shd w:val="clear" w:color="auto" w:fill="FFFFFF"/>
                <w:lang w:val="en-US" w:eastAsia="zh-CN"/>
              </w:rPr>
            </w:pPr>
            <w:r>
              <w:rPr>
                <w:rFonts w:hint="eastAsia" w:eastAsia="方正仿宋_GBK"/>
                <w:kern w:val="0"/>
                <w:sz w:val="22"/>
                <w:szCs w:val="22"/>
                <w:shd w:val="clear" w:color="auto" w:fill="FFFFFF"/>
                <w:lang w:val="en-US" w:eastAsia="zh-CN"/>
              </w:rPr>
              <w:t>补助企业数量</w:t>
            </w:r>
          </w:p>
        </w:tc>
        <w:tc>
          <w:tcPr>
            <w:tcW w:w="1656" w:type="dxa"/>
            <w:vAlign w:val="center"/>
          </w:tcPr>
          <w:p>
            <w:pPr>
              <w:pageBreakBefore w:val="0"/>
              <w:widowControl/>
              <w:shd w:val="clear" w:color="auto" w:fill="FFFFFF"/>
              <w:kinsoku/>
              <w:wordWrap/>
              <w:overflowPunct/>
              <w:topLinePunct w:val="0"/>
              <w:bidi w:val="0"/>
              <w:adjustRightInd w:val="0"/>
              <w:snapToGrid w:val="0"/>
              <w:spacing w:line="594" w:lineRule="exact"/>
              <w:jc w:val="center"/>
              <w:textAlignment w:val="auto"/>
              <w:rPr>
                <w:rFonts w:hint="default" w:eastAsia="方正仿宋_GBK"/>
                <w:kern w:val="0"/>
                <w:sz w:val="22"/>
                <w:szCs w:val="22"/>
                <w:shd w:val="clear" w:color="auto" w:fill="FFFFFF"/>
                <w:lang w:val="en-US" w:eastAsia="zh-CN"/>
              </w:rPr>
            </w:pPr>
            <w:r>
              <w:rPr>
                <w:rFonts w:hint="eastAsia" w:eastAsia="方正仿宋_GBK"/>
                <w:kern w:val="0"/>
                <w:sz w:val="22"/>
                <w:szCs w:val="22"/>
                <w:shd w:val="clear" w:color="auto" w:fill="FFFFFF"/>
                <w:lang w:val="en-US" w:eastAsia="zh-CN"/>
              </w:rPr>
              <w:t>15</w:t>
            </w:r>
          </w:p>
        </w:tc>
        <w:tc>
          <w:tcPr>
            <w:tcW w:w="1656" w:type="dxa"/>
            <w:vAlign w:val="center"/>
          </w:tcPr>
          <w:p>
            <w:pPr>
              <w:pageBreakBefore w:val="0"/>
              <w:widowControl/>
              <w:shd w:val="clear" w:color="auto" w:fill="FFFFFF"/>
              <w:kinsoku/>
              <w:wordWrap/>
              <w:overflowPunct/>
              <w:topLinePunct w:val="0"/>
              <w:bidi w:val="0"/>
              <w:adjustRightInd w:val="0"/>
              <w:snapToGrid w:val="0"/>
              <w:spacing w:line="594" w:lineRule="exact"/>
              <w:jc w:val="center"/>
              <w:textAlignment w:val="auto"/>
              <w:rPr>
                <w:rFonts w:hint="default" w:eastAsia="方正仿宋_GBK"/>
                <w:kern w:val="0"/>
                <w:sz w:val="22"/>
                <w:szCs w:val="22"/>
                <w:shd w:val="clear" w:color="auto" w:fill="FFFFFF"/>
                <w:lang w:val="en-US" w:eastAsia="zh-CN"/>
              </w:rPr>
            </w:pPr>
            <w:r>
              <w:rPr>
                <w:rFonts w:hint="eastAsia" w:eastAsia="方正仿宋_GBK"/>
                <w:kern w:val="0"/>
                <w:sz w:val="22"/>
                <w:szCs w:val="22"/>
                <w:shd w:val="clear" w:color="auto" w:fill="FFFFFF"/>
                <w:lang w:val="en-US" w:eastAsia="zh-CN"/>
              </w:rPr>
              <w:t>15</w:t>
            </w:r>
          </w:p>
        </w:tc>
        <w:tc>
          <w:tcPr>
            <w:tcW w:w="1660" w:type="dxa"/>
            <w:vAlign w:val="center"/>
          </w:tcPr>
          <w:p>
            <w:pPr>
              <w:pageBreakBefore w:val="0"/>
              <w:widowControl/>
              <w:shd w:val="clear" w:color="auto" w:fill="FFFFFF"/>
              <w:kinsoku/>
              <w:wordWrap/>
              <w:overflowPunct/>
              <w:topLinePunct w:val="0"/>
              <w:bidi w:val="0"/>
              <w:adjustRightInd w:val="0"/>
              <w:snapToGrid w:val="0"/>
              <w:spacing w:line="594" w:lineRule="exact"/>
              <w:jc w:val="center"/>
              <w:textAlignment w:val="auto"/>
              <w:rPr>
                <w:rFonts w:hint="eastAsia" w:eastAsia="方正仿宋_GBK"/>
                <w:kern w:val="0"/>
                <w:sz w:val="22"/>
                <w:szCs w:val="22"/>
                <w:shd w:val="clear" w:color="auto" w:fill="FFFFFF"/>
                <w:lang w:val="en-US" w:eastAsia="zh-CN"/>
              </w:rPr>
            </w:pPr>
            <w:r>
              <w:rPr>
                <w:rFonts w:hint="eastAsia" w:eastAsia="方正仿宋_GBK"/>
                <w:kern w:val="0"/>
                <w:sz w:val="22"/>
                <w:szCs w:val="22"/>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3366" w:type="dxa"/>
            <w:vAlign w:val="center"/>
          </w:tcPr>
          <w:p>
            <w:pPr>
              <w:pageBreakBefore w:val="0"/>
              <w:widowControl/>
              <w:shd w:val="clear" w:color="auto" w:fill="FFFFFF"/>
              <w:kinsoku/>
              <w:wordWrap/>
              <w:overflowPunct/>
              <w:topLinePunct w:val="0"/>
              <w:bidi w:val="0"/>
              <w:adjustRightInd w:val="0"/>
              <w:snapToGrid w:val="0"/>
              <w:spacing w:line="594" w:lineRule="exact"/>
              <w:jc w:val="center"/>
              <w:textAlignment w:val="auto"/>
              <w:rPr>
                <w:rFonts w:hint="eastAsia" w:eastAsia="方正仿宋_GBK"/>
                <w:kern w:val="0"/>
                <w:sz w:val="22"/>
                <w:szCs w:val="22"/>
                <w:shd w:val="clear" w:color="auto" w:fill="FFFFFF"/>
                <w:lang w:val="en-US" w:eastAsia="zh-CN"/>
              </w:rPr>
            </w:pPr>
            <w:r>
              <w:rPr>
                <w:rFonts w:hint="eastAsia" w:eastAsia="方正仿宋_GBK"/>
                <w:kern w:val="0"/>
                <w:sz w:val="22"/>
                <w:szCs w:val="22"/>
                <w:shd w:val="clear" w:color="auto" w:fill="FFFFFF"/>
                <w:lang w:val="en-US" w:eastAsia="zh-CN"/>
              </w:rPr>
              <w:t>绩效管理率</w:t>
            </w:r>
          </w:p>
        </w:tc>
        <w:tc>
          <w:tcPr>
            <w:tcW w:w="1656" w:type="dxa"/>
            <w:vAlign w:val="center"/>
          </w:tcPr>
          <w:p>
            <w:pPr>
              <w:pageBreakBefore w:val="0"/>
              <w:widowControl/>
              <w:shd w:val="clear" w:color="auto" w:fill="FFFFFF"/>
              <w:kinsoku/>
              <w:wordWrap/>
              <w:overflowPunct/>
              <w:topLinePunct w:val="0"/>
              <w:bidi w:val="0"/>
              <w:adjustRightInd w:val="0"/>
              <w:snapToGrid w:val="0"/>
              <w:spacing w:line="594" w:lineRule="exact"/>
              <w:jc w:val="center"/>
              <w:textAlignment w:val="auto"/>
              <w:rPr>
                <w:rFonts w:hint="default" w:eastAsia="方正仿宋_GBK"/>
                <w:kern w:val="0"/>
                <w:sz w:val="22"/>
                <w:szCs w:val="22"/>
                <w:shd w:val="clear" w:color="auto" w:fill="FFFFFF"/>
                <w:lang w:val="en-US" w:eastAsia="zh-CN"/>
              </w:rPr>
            </w:pPr>
            <w:r>
              <w:rPr>
                <w:rFonts w:hint="eastAsia" w:eastAsia="方正仿宋_GBK"/>
                <w:kern w:val="0"/>
                <w:sz w:val="22"/>
                <w:szCs w:val="22"/>
                <w:shd w:val="clear" w:color="auto" w:fill="FFFFFF"/>
                <w:lang w:val="en-US" w:eastAsia="zh-CN"/>
              </w:rPr>
              <w:t>15</w:t>
            </w:r>
          </w:p>
        </w:tc>
        <w:tc>
          <w:tcPr>
            <w:tcW w:w="1656" w:type="dxa"/>
            <w:vAlign w:val="center"/>
          </w:tcPr>
          <w:p>
            <w:pPr>
              <w:pageBreakBefore w:val="0"/>
              <w:widowControl/>
              <w:shd w:val="clear" w:color="auto" w:fill="FFFFFF"/>
              <w:kinsoku/>
              <w:wordWrap/>
              <w:overflowPunct/>
              <w:topLinePunct w:val="0"/>
              <w:bidi w:val="0"/>
              <w:adjustRightInd w:val="0"/>
              <w:snapToGrid w:val="0"/>
              <w:spacing w:line="594" w:lineRule="exact"/>
              <w:jc w:val="center"/>
              <w:textAlignment w:val="auto"/>
              <w:rPr>
                <w:rFonts w:hint="default" w:eastAsia="方正仿宋_GBK"/>
                <w:kern w:val="0"/>
                <w:sz w:val="22"/>
                <w:szCs w:val="22"/>
                <w:shd w:val="clear" w:color="auto" w:fill="FFFFFF"/>
                <w:lang w:val="en-US" w:eastAsia="zh-CN"/>
              </w:rPr>
            </w:pPr>
            <w:r>
              <w:rPr>
                <w:rFonts w:hint="eastAsia" w:eastAsia="方正仿宋_GBK"/>
                <w:kern w:val="0"/>
                <w:sz w:val="22"/>
                <w:szCs w:val="22"/>
                <w:shd w:val="clear" w:color="auto" w:fill="FFFFFF"/>
                <w:lang w:val="en-US" w:eastAsia="zh-CN"/>
              </w:rPr>
              <w:t>15</w:t>
            </w:r>
          </w:p>
        </w:tc>
        <w:tc>
          <w:tcPr>
            <w:tcW w:w="1660" w:type="dxa"/>
            <w:vAlign w:val="center"/>
          </w:tcPr>
          <w:p>
            <w:pPr>
              <w:pageBreakBefore w:val="0"/>
              <w:widowControl/>
              <w:shd w:val="clear" w:color="auto" w:fill="FFFFFF"/>
              <w:kinsoku/>
              <w:wordWrap/>
              <w:overflowPunct/>
              <w:topLinePunct w:val="0"/>
              <w:bidi w:val="0"/>
              <w:adjustRightInd w:val="0"/>
              <w:snapToGrid w:val="0"/>
              <w:spacing w:line="594" w:lineRule="exact"/>
              <w:jc w:val="center"/>
              <w:textAlignment w:val="auto"/>
              <w:rPr>
                <w:rFonts w:hint="eastAsia" w:eastAsia="方正仿宋_GBK"/>
                <w:kern w:val="0"/>
                <w:sz w:val="22"/>
                <w:szCs w:val="22"/>
                <w:shd w:val="clear" w:color="auto" w:fill="FFFFFF"/>
                <w:lang w:val="en-US" w:eastAsia="zh-CN"/>
              </w:rPr>
            </w:pPr>
            <w:r>
              <w:rPr>
                <w:rFonts w:hint="eastAsia" w:eastAsia="方正仿宋_GBK"/>
                <w:kern w:val="0"/>
                <w:sz w:val="22"/>
                <w:szCs w:val="22"/>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3366" w:type="dxa"/>
            <w:vAlign w:val="center"/>
          </w:tcPr>
          <w:p>
            <w:pPr>
              <w:pageBreakBefore w:val="0"/>
              <w:widowControl/>
              <w:shd w:val="clear" w:color="auto" w:fill="FFFFFF"/>
              <w:kinsoku/>
              <w:wordWrap/>
              <w:overflowPunct/>
              <w:topLinePunct w:val="0"/>
              <w:bidi w:val="0"/>
              <w:adjustRightInd w:val="0"/>
              <w:snapToGrid w:val="0"/>
              <w:spacing w:line="594" w:lineRule="exact"/>
              <w:jc w:val="center"/>
              <w:textAlignment w:val="auto"/>
              <w:rPr>
                <w:rFonts w:hint="eastAsia" w:eastAsia="方正仿宋_GBK"/>
                <w:kern w:val="0"/>
                <w:sz w:val="22"/>
                <w:szCs w:val="22"/>
                <w:shd w:val="clear" w:color="auto" w:fill="FFFFFF"/>
                <w:lang w:val="en-US" w:eastAsia="zh-CN"/>
              </w:rPr>
            </w:pPr>
            <w:r>
              <w:rPr>
                <w:rFonts w:hint="eastAsia" w:eastAsia="方正仿宋_GBK"/>
                <w:kern w:val="0"/>
                <w:sz w:val="22"/>
                <w:szCs w:val="22"/>
                <w:shd w:val="clear" w:color="auto" w:fill="FFFFFF"/>
                <w:lang w:val="en-US" w:eastAsia="zh-CN"/>
              </w:rPr>
              <w:t>预决算公开率</w:t>
            </w:r>
          </w:p>
        </w:tc>
        <w:tc>
          <w:tcPr>
            <w:tcW w:w="1656" w:type="dxa"/>
            <w:vAlign w:val="center"/>
          </w:tcPr>
          <w:p>
            <w:pPr>
              <w:pageBreakBefore w:val="0"/>
              <w:widowControl/>
              <w:shd w:val="clear" w:color="auto" w:fill="FFFFFF"/>
              <w:kinsoku/>
              <w:wordWrap/>
              <w:overflowPunct/>
              <w:topLinePunct w:val="0"/>
              <w:bidi w:val="0"/>
              <w:adjustRightInd w:val="0"/>
              <w:snapToGrid w:val="0"/>
              <w:spacing w:line="594" w:lineRule="exact"/>
              <w:jc w:val="center"/>
              <w:textAlignment w:val="auto"/>
              <w:rPr>
                <w:rFonts w:hint="default" w:eastAsia="方正仿宋_GBK"/>
                <w:kern w:val="0"/>
                <w:sz w:val="22"/>
                <w:szCs w:val="22"/>
                <w:shd w:val="clear" w:color="auto" w:fill="FFFFFF"/>
                <w:lang w:val="en-US" w:eastAsia="zh-CN"/>
              </w:rPr>
            </w:pPr>
            <w:r>
              <w:rPr>
                <w:rFonts w:hint="eastAsia" w:eastAsia="方正仿宋_GBK"/>
                <w:kern w:val="0"/>
                <w:sz w:val="22"/>
                <w:szCs w:val="22"/>
                <w:shd w:val="clear" w:color="auto" w:fill="FFFFFF"/>
                <w:lang w:val="en-US" w:eastAsia="zh-CN"/>
              </w:rPr>
              <w:t>15</w:t>
            </w:r>
          </w:p>
        </w:tc>
        <w:tc>
          <w:tcPr>
            <w:tcW w:w="1656" w:type="dxa"/>
            <w:vAlign w:val="center"/>
          </w:tcPr>
          <w:p>
            <w:pPr>
              <w:pageBreakBefore w:val="0"/>
              <w:widowControl/>
              <w:shd w:val="clear" w:color="auto" w:fill="FFFFFF"/>
              <w:kinsoku/>
              <w:wordWrap/>
              <w:overflowPunct/>
              <w:topLinePunct w:val="0"/>
              <w:bidi w:val="0"/>
              <w:adjustRightInd w:val="0"/>
              <w:snapToGrid w:val="0"/>
              <w:spacing w:line="594" w:lineRule="exact"/>
              <w:jc w:val="center"/>
              <w:textAlignment w:val="auto"/>
              <w:rPr>
                <w:rFonts w:hint="default" w:eastAsia="方正仿宋_GBK"/>
                <w:kern w:val="0"/>
                <w:sz w:val="22"/>
                <w:szCs w:val="22"/>
                <w:shd w:val="clear" w:color="auto" w:fill="FFFFFF"/>
                <w:lang w:val="en-US" w:eastAsia="zh-CN"/>
              </w:rPr>
            </w:pPr>
            <w:r>
              <w:rPr>
                <w:rFonts w:hint="eastAsia" w:eastAsia="方正仿宋_GBK"/>
                <w:kern w:val="0"/>
                <w:sz w:val="22"/>
                <w:szCs w:val="22"/>
                <w:shd w:val="clear" w:color="auto" w:fill="FFFFFF"/>
                <w:lang w:val="en-US" w:eastAsia="zh-CN"/>
              </w:rPr>
              <w:t>15</w:t>
            </w:r>
          </w:p>
        </w:tc>
        <w:tc>
          <w:tcPr>
            <w:tcW w:w="1660" w:type="dxa"/>
            <w:vAlign w:val="center"/>
          </w:tcPr>
          <w:p>
            <w:pPr>
              <w:pageBreakBefore w:val="0"/>
              <w:widowControl/>
              <w:shd w:val="clear" w:color="auto" w:fill="FFFFFF"/>
              <w:kinsoku/>
              <w:wordWrap/>
              <w:overflowPunct/>
              <w:topLinePunct w:val="0"/>
              <w:bidi w:val="0"/>
              <w:adjustRightInd w:val="0"/>
              <w:snapToGrid w:val="0"/>
              <w:spacing w:line="594" w:lineRule="exact"/>
              <w:jc w:val="center"/>
              <w:textAlignment w:val="auto"/>
              <w:rPr>
                <w:rFonts w:hint="eastAsia" w:eastAsia="方正仿宋_GBK"/>
                <w:kern w:val="0"/>
                <w:sz w:val="22"/>
                <w:szCs w:val="22"/>
                <w:shd w:val="clear" w:color="auto" w:fill="FFFFFF"/>
                <w:lang w:val="en-US" w:eastAsia="zh-CN"/>
              </w:rPr>
            </w:pPr>
            <w:r>
              <w:rPr>
                <w:rFonts w:hint="eastAsia" w:eastAsia="方正仿宋_GBK"/>
                <w:kern w:val="0"/>
                <w:sz w:val="22"/>
                <w:szCs w:val="22"/>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3366" w:type="dxa"/>
            <w:vAlign w:val="center"/>
          </w:tcPr>
          <w:p>
            <w:pPr>
              <w:pageBreakBefore w:val="0"/>
              <w:widowControl/>
              <w:shd w:val="clear" w:color="auto" w:fill="FFFFFF"/>
              <w:kinsoku/>
              <w:wordWrap/>
              <w:overflowPunct/>
              <w:topLinePunct w:val="0"/>
              <w:bidi w:val="0"/>
              <w:adjustRightInd w:val="0"/>
              <w:snapToGrid w:val="0"/>
              <w:spacing w:line="594" w:lineRule="exact"/>
              <w:jc w:val="center"/>
              <w:textAlignment w:val="auto"/>
              <w:rPr>
                <w:rFonts w:hint="eastAsia" w:eastAsia="方正仿宋_GBK"/>
                <w:kern w:val="0"/>
                <w:sz w:val="22"/>
                <w:szCs w:val="22"/>
                <w:shd w:val="clear" w:color="auto" w:fill="FFFFFF"/>
                <w:lang w:val="en-US" w:eastAsia="zh-CN"/>
              </w:rPr>
            </w:pPr>
            <w:r>
              <w:rPr>
                <w:rFonts w:hint="eastAsia" w:eastAsia="方正仿宋_GBK"/>
                <w:kern w:val="0"/>
                <w:sz w:val="22"/>
                <w:szCs w:val="22"/>
                <w:shd w:val="clear" w:color="auto" w:fill="FFFFFF"/>
                <w:lang w:val="en-US" w:eastAsia="zh-CN"/>
              </w:rPr>
              <w:t>服务对象满意度</w:t>
            </w:r>
          </w:p>
        </w:tc>
        <w:tc>
          <w:tcPr>
            <w:tcW w:w="1656" w:type="dxa"/>
            <w:vAlign w:val="center"/>
          </w:tcPr>
          <w:p>
            <w:pPr>
              <w:pageBreakBefore w:val="0"/>
              <w:widowControl/>
              <w:shd w:val="clear" w:color="auto" w:fill="FFFFFF"/>
              <w:kinsoku/>
              <w:wordWrap/>
              <w:overflowPunct/>
              <w:topLinePunct w:val="0"/>
              <w:bidi w:val="0"/>
              <w:adjustRightInd w:val="0"/>
              <w:snapToGrid w:val="0"/>
              <w:spacing w:line="594" w:lineRule="exact"/>
              <w:jc w:val="center"/>
              <w:textAlignment w:val="auto"/>
              <w:rPr>
                <w:rFonts w:hint="default" w:eastAsia="方正仿宋_GBK"/>
                <w:kern w:val="0"/>
                <w:sz w:val="22"/>
                <w:szCs w:val="22"/>
                <w:shd w:val="clear" w:color="auto" w:fill="FFFFFF"/>
                <w:lang w:val="en-US" w:eastAsia="zh-CN"/>
              </w:rPr>
            </w:pPr>
            <w:r>
              <w:rPr>
                <w:rFonts w:hint="eastAsia" w:eastAsia="方正仿宋_GBK"/>
                <w:kern w:val="0"/>
                <w:sz w:val="22"/>
                <w:szCs w:val="22"/>
                <w:shd w:val="clear" w:color="auto" w:fill="FFFFFF"/>
                <w:lang w:val="en-US" w:eastAsia="zh-CN"/>
              </w:rPr>
              <w:t>10</w:t>
            </w:r>
          </w:p>
        </w:tc>
        <w:tc>
          <w:tcPr>
            <w:tcW w:w="1656" w:type="dxa"/>
            <w:vAlign w:val="center"/>
          </w:tcPr>
          <w:p>
            <w:pPr>
              <w:pageBreakBefore w:val="0"/>
              <w:widowControl/>
              <w:shd w:val="clear" w:color="auto" w:fill="FFFFFF"/>
              <w:kinsoku/>
              <w:wordWrap/>
              <w:overflowPunct/>
              <w:topLinePunct w:val="0"/>
              <w:bidi w:val="0"/>
              <w:adjustRightInd w:val="0"/>
              <w:snapToGrid w:val="0"/>
              <w:spacing w:line="594" w:lineRule="exact"/>
              <w:jc w:val="center"/>
              <w:textAlignment w:val="auto"/>
              <w:rPr>
                <w:rFonts w:hint="default" w:eastAsia="方正仿宋_GBK"/>
                <w:kern w:val="0"/>
                <w:sz w:val="22"/>
                <w:szCs w:val="22"/>
                <w:shd w:val="clear" w:color="auto" w:fill="FFFFFF"/>
                <w:lang w:val="en-US" w:eastAsia="zh-CN"/>
              </w:rPr>
            </w:pPr>
            <w:r>
              <w:rPr>
                <w:rFonts w:hint="eastAsia" w:eastAsia="方正仿宋_GBK"/>
                <w:kern w:val="0"/>
                <w:sz w:val="22"/>
                <w:szCs w:val="22"/>
                <w:shd w:val="clear" w:color="auto" w:fill="FFFFFF"/>
                <w:lang w:val="en-US" w:eastAsia="zh-CN"/>
              </w:rPr>
              <w:t>10</w:t>
            </w:r>
          </w:p>
        </w:tc>
        <w:tc>
          <w:tcPr>
            <w:tcW w:w="1660" w:type="dxa"/>
            <w:vAlign w:val="center"/>
          </w:tcPr>
          <w:p>
            <w:pPr>
              <w:pageBreakBefore w:val="0"/>
              <w:widowControl/>
              <w:shd w:val="clear" w:color="auto" w:fill="FFFFFF"/>
              <w:kinsoku/>
              <w:wordWrap/>
              <w:overflowPunct/>
              <w:topLinePunct w:val="0"/>
              <w:bidi w:val="0"/>
              <w:adjustRightInd w:val="0"/>
              <w:snapToGrid w:val="0"/>
              <w:spacing w:line="594" w:lineRule="exact"/>
              <w:jc w:val="center"/>
              <w:textAlignment w:val="auto"/>
              <w:rPr>
                <w:rFonts w:hint="eastAsia" w:eastAsia="方正仿宋_GBK"/>
                <w:kern w:val="0"/>
                <w:sz w:val="22"/>
                <w:szCs w:val="22"/>
                <w:shd w:val="clear" w:color="auto" w:fill="FFFFFF"/>
                <w:lang w:val="en-US" w:eastAsia="zh-CN"/>
              </w:rPr>
            </w:pPr>
            <w:r>
              <w:rPr>
                <w:rFonts w:hint="eastAsia" w:eastAsia="方正仿宋_GBK"/>
                <w:kern w:val="0"/>
                <w:sz w:val="22"/>
                <w:szCs w:val="22"/>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3366" w:type="dxa"/>
            <w:vAlign w:val="center"/>
          </w:tcPr>
          <w:p>
            <w:pPr>
              <w:pageBreakBefore w:val="0"/>
              <w:widowControl/>
              <w:shd w:val="clear" w:color="auto" w:fill="FFFFFF"/>
              <w:kinsoku/>
              <w:wordWrap/>
              <w:overflowPunct/>
              <w:topLinePunct w:val="0"/>
              <w:bidi w:val="0"/>
              <w:adjustRightInd w:val="0"/>
              <w:snapToGrid w:val="0"/>
              <w:spacing w:line="594" w:lineRule="exact"/>
              <w:jc w:val="center"/>
              <w:textAlignment w:val="auto"/>
              <w:rPr>
                <w:rFonts w:hint="eastAsia" w:eastAsia="方正仿宋_GBK"/>
                <w:kern w:val="0"/>
                <w:sz w:val="22"/>
                <w:szCs w:val="22"/>
                <w:shd w:val="clear" w:color="auto" w:fill="FFFFFF"/>
                <w:lang w:val="en-US" w:eastAsia="zh-CN"/>
              </w:rPr>
            </w:pPr>
            <w:r>
              <w:rPr>
                <w:rFonts w:hint="eastAsia" w:eastAsia="方正仿宋_GBK"/>
                <w:kern w:val="0"/>
                <w:sz w:val="22"/>
                <w:szCs w:val="22"/>
                <w:shd w:val="clear" w:color="auto" w:fill="FFFFFF"/>
                <w:lang w:val="en-US" w:eastAsia="zh-CN"/>
              </w:rPr>
              <w:t>指标合计</w:t>
            </w:r>
          </w:p>
        </w:tc>
        <w:tc>
          <w:tcPr>
            <w:tcW w:w="1656" w:type="dxa"/>
            <w:vAlign w:val="center"/>
          </w:tcPr>
          <w:p>
            <w:pPr>
              <w:pageBreakBefore w:val="0"/>
              <w:widowControl/>
              <w:shd w:val="clear" w:color="auto" w:fill="FFFFFF"/>
              <w:kinsoku/>
              <w:wordWrap/>
              <w:overflowPunct/>
              <w:topLinePunct w:val="0"/>
              <w:bidi w:val="0"/>
              <w:adjustRightInd w:val="0"/>
              <w:snapToGrid w:val="0"/>
              <w:spacing w:line="594" w:lineRule="exact"/>
              <w:jc w:val="center"/>
              <w:textAlignment w:val="auto"/>
              <w:rPr>
                <w:rFonts w:hint="default" w:eastAsia="方正仿宋_GBK"/>
                <w:kern w:val="0"/>
                <w:sz w:val="22"/>
                <w:szCs w:val="22"/>
                <w:shd w:val="clear" w:color="auto" w:fill="FFFFFF"/>
                <w:lang w:val="en-US" w:eastAsia="zh-CN"/>
              </w:rPr>
            </w:pPr>
            <w:r>
              <w:rPr>
                <w:rFonts w:hint="eastAsia" w:eastAsia="方正仿宋_GBK"/>
                <w:kern w:val="0"/>
                <w:sz w:val="22"/>
                <w:szCs w:val="22"/>
                <w:shd w:val="clear" w:color="auto" w:fill="FFFFFF"/>
                <w:lang w:val="en-US" w:eastAsia="zh-CN"/>
              </w:rPr>
              <w:t>100</w:t>
            </w:r>
          </w:p>
        </w:tc>
        <w:tc>
          <w:tcPr>
            <w:tcW w:w="1656" w:type="dxa"/>
            <w:vAlign w:val="center"/>
          </w:tcPr>
          <w:p>
            <w:pPr>
              <w:pageBreakBefore w:val="0"/>
              <w:widowControl/>
              <w:shd w:val="clear" w:color="auto" w:fill="FFFFFF"/>
              <w:kinsoku/>
              <w:wordWrap/>
              <w:overflowPunct/>
              <w:topLinePunct w:val="0"/>
              <w:bidi w:val="0"/>
              <w:adjustRightInd w:val="0"/>
              <w:snapToGrid w:val="0"/>
              <w:spacing w:line="594" w:lineRule="exact"/>
              <w:jc w:val="center"/>
              <w:textAlignment w:val="auto"/>
              <w:rPr>
                <w:rFonts w:hint="default" w:eastAsia="方正仿宋_GBK"/>
                <w:kern w:val="0"/>
                <w:sz w:val="22"/>
                <w:szCs w:val="22"/>
                <w:shd w:val="clear" w:color="auto" w:fill="FFFFFF"/>
                <w:lang w:val="en-US" w:eastAsia="zh-CN"/>
              </w:rPr>
            </w:pPr>
            <w:r>
              <w:rPr>
                <w:rFonts w:hint="eastAsia" w:eastAsia="方正仿宋_GBK"/>
                <w:kern w:val="0"/>
                <w:sz w:val="22"/>
                <w:szCs w:val="22"/>
                <w:shd w:val="clear" w:color="auto" w:fill="FFFFFF"/>
                <w:lang w:val="en-US" w:eastAsia="zh-CN"/>
              </w:rPr>
              <w:t>100</w:t>
            </w:r>
          </w:p>
        </w:tc>
        <w:tc>
          <w:tcPr>
            <w:tcW w:w="1660" w:type="dxa"/>
            <w:vAlign w:val="center"/>
          </w:tcPr>
          <w:p>
            <w:pPr>
              <w:pageBreakBefore w:val="0"/>
              <w:widowControl/>
              <w:shd w:val="clear" w:color="auto" w:fill="FFFFFF"/>
              <w:kinsoku/>
              <w:wordWrap/>
              <w:overflowPunct/>
              <w:topLinePunct w:val="0"/>
              <w:bidi w:val="0"/>
              <w:adjustRightInd w:val="0"/>
              <w:snapToGrid w:val="0"/>
              <w:spacing w:line="594" w:lineRule="exact"/>
              <w:jc w:val="center"/>
              <w:textAlignment w:val="auto"/>
              <w:rPr>
                <w:rFonts w:hint="eastAsia" w:eastAsia="方正仿宋_GBK"/>
                <w:kern w:val="0"/>
                <w:sz w:val="22"/>
                <w:szCs w:val="22"/>
                <w:shd w:val="clear" w:color="auto" w:fill="FFFFFF"/>
                <w:lang w:val="en-US" w:eastAsia="zh-CN"/>
              </w:rPr>
            </w:pPr>
            <w:r>
              <w:rPr>
                <w:rFonts w:hint="eastAsia" w:eastAsia="方正仿宋_GBK"/>
                <w:kern w:val="0"/>
                <w:sz w:val="22"/>
                <w:szCs w:val="22"/>
                <w:shd w:val="clear" w:color="auto" w:fill="FFFFFF"/>
                <w:lang w:val="en-US" w:eastAsia="zh-CN"/>
              </w:rPr>
              <w:t>100%</w:t>
            </w:r>
          </w:p>
        </w:tc>
      </w:tr>
    </w:tbl>
    <w:p>
      <w:pPr>
        <w:pageBreakBefore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1.年初预算执行率分析</w:t>
      </w:r>
    </w:p>
    <w:p>
      <w:pPr>
        <w:pageBreakBefore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单位预算经费1286.61万元，区财政局拨付下达共1286.61万元经费，资金执行率为100%。根据评价标准，该指标得100%权重分。</w:t>
      </w:r>
    </w:p>
    <w:p>
      <w:pPr>
        <w:pageBreakBefore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2.招商引资情况分析</w:t>
      </w:r>
    </w:p>
    <w:p>
      <w:pPr>
        <w:pageBreakBefore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优化招商引资流程，对招商项目实现全过程数字化管理，本年招商引资共计接待超过100次，协助管委会签约先进计算产业创新中心—GPU、云栖蓝谷康养小镇、西部（重庆）花卉苗木产业园、康佳数字经济产业园、易平方网络科技运营平台项目等现代服务业招商引资项目33个。根据评价标准，该指标得100%权重分。</w:t>
      </w:r>
    </w:p>
    <w:p>
      <w:pPr>
        <w:pageBreakBefore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3.补助企业数量分析</w:t>
      </w:r>
    </w:p>
    <w:p>
      <w:pPr>
        <w:pageBreakBefore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为营造良好的营商环境，我单位定期对企业进行走访，了解经营情况，解决企业经营难题。2021年预计对30家企业进行补助，实际完成40家。根据评价标准，该指标得100%权重分。</w:t>
      </w:r>
    </w:p>
    <w:p>
      <w:pPr>
        <w:pageBreakBefore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绩效管理率分析</w:t>
      </w:r>
    </w:p>
    <w:p>
      <w:pPr>
        <w:pageBreakBefore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绩效管理制度、</w:t>
      </w:r>
      <w:r>
        <w:rPr>
          <w:rFonts w:hint="default" w:ascii="方正仿宋_GBK" w:hAnsi="方正仿宋_GBK" w:eastAsia="方正仿宋_GBK" w:cs="方正仿宋_GBK"/>
          <w:b w:val="0"/>
          <w:bCs w:val="0"/>
          <w:kern w:val="2"/>
          <w:sz w:val="32"/>
          <w:szCs w:val="32"/>
          <w:lang w:val="en-US" w:eastAsia="zh-CN" w:bidi="ar-SA"/>
        </w:rPr>
        <w:t>内部财务管理制度、会计核算制度等管理制度健全，有本部门厉行节约制度，相关管理制度合法、合规、完整，相关管理制度得到有效执行。根据评价标准，该指标得100%权重分</w:t>
      </w:r>
      <w:r>
        <w:rPr>
          <w:rFonts w:hint="eastAsia" w:ascii="方正仿宋_GBK" w:hAnsi="方正仿宋_GBK" w:eastAsia="方正仿宋_GBK" w:cs="方正仿宋_GBK"/>
          <w:b w:val="0"/>
          <w:bCs w:val="0"/>
          <w:kern w:val="2"/>
          <w:sz w:val="32"/>
          <w:szCs w:val="32"/>
          <w:lang w:val="en-US" w:eastAsia="zh-CN" w:bidi="ar-SA"/>
        </w:rPr>
        <w:t>。</w:t>
      </w:r>
    </w:p>
    <w:p>
      <w:pPr>
        <w:pageBreakBefore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5.预决算公开率</w:t>
      </w:r>
    </w:p>
    <w:p>
      <w:pPr>
        <w:pageBreakBefore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根据决算公开相关说明，我单位按时完成了决算公开，公开内容涉秘信息除外，十分详尽细致。</w:t>
      </w:r>
      <w:r>
        <w:rPr>
          <w:rFonts w:hint="default" w:ascii="方正仿宋_GBK" w:hAnsi="方正仿宋_GBK" w:eastAsia="方正仿宋_GBK" w:cs="方正仿宋_GBK"/>
          <w:b w:val="0"/>
          <w:bCs w:val="0"/>
          <w:kern w:val="2"/>
          <w:sz w:val="32"/>
          <w:szCs w:val="32"/>
          <w:lang w:val="en-US" w:eastAsia="zh-CN" w:bidi="ar-SA"/>
        </w:rPr>
        <w:t>根据评价标准，该指标得100%权重分</w:t>
      </w:r>
      <w:r>
        <w:rPr>
          <w:rFonts w:hint="eastAsia" w:ascii="方正仿宋_GBK" w:hAnsi="方正仿宋_GBK" w:eastAsia="方正仿宋_GBK" w:cs="方正仿宋_GBK"/>
          <w:b w:val="0"/>
          <w:bCs w:val="0"/>
          <w:kern w:val="2"/>
          <w:sz w:val="32"/>
          <w:szCs w:val="32"/>
          <w:lang w:val="en-US" w:eastAsia="zh-CN" w:bidi="ar-SA"/>
        </w:rPr>
        <w:t>。</w:t>
      </w:r>
    </w:p>
    <w:p>
      <w:pPr>
        <w:pageBreakBefore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6.服务对象满意度分析</w:t>
      </w:r>
    </w:p>
    <w:p>
      <w:pPr>
        <w:pageBreakBefore w:val="0"/>
        <w:kinsoku/>
        <w:wordWrap/>
        <w:overflowPunct/>
        <w:topLinePunct w:val="0"/>
        <w:bidi w:val="0"/>
        <w:spacing w:line="594" w:lineRule="exact"/>
        <w:ind w:firstLine="640" w:firstLineChars="200"/>
        <w:textAlignment w:val="auto"/>
        <w:rPr>
          <w:rFonts w:hint="eastAsia" w:eastAsia="方正仿宋_GBK"/>
          <w:sz w:val="32"/>
          <w:szCs w:val="32"/>
          <w:lang w:val="en-US" w:eastAsia="zh-CN"/>
        </w:rPr>
      </w:pPr>
      <w:r>
        <w:rPr>
          <w:rFonts w:hint="eastAsia" w:ascii="方正仿宋_GBK" w:hAnsi="方正仿宋_GBK" w:eastAsia="方正仿宋_GBK" w:cs="方正仿宋_GBK"/>
          <w:b w:val="0"/>
          <w:bCs w:val="0"/>
          <w:kern w:val="2"/>
          <w:sz w:val="32"/>
          <w:szCs w:val="32"/>
          <w:lang w:val="en-US" w:eastAsia="zh-CN" w:bidi="ar-SA"/>
        </w:rPr>
        <w:t>我单位积极配合服务业发展区管委会的工作，获得群众的一致认可。根据评价标准，该指标得100%权重分。</w:t>
      </w:r>
      <w:r>
        <w:rPr>
          <w:rFonts w:hint="eastAsia" w:eastAsia="方正仿宋_GBK"/>
          <w:sz w:val="32"/>
          <w:szCs w:val="32"/>
          <w:lang w:val="en-US" w:eastAsia="zh-CN"/>
        </w:rPr>
        <w:t xml:space="preserve"> </w:t>
      </w:r>
    </w:p>
    <w:p>
      <w:pPr>
        <w:pStyle w:val="3"/>
        <w:pageBreakBefore w:val="0"/>
        <w:kinsoku/>
        <w:wordWrap/>
        <w:overflowPunct/>
        <w:topLinePunct w:val="0"/>
        <w:bidi w:val="0"/>
        <w:spacing w:before="0" w:beforeLines="0" w:after="0" w:afterLines="0" w:line="594" w:lineRule="exact"/>
        <w:ind w:firstLine="640" w:firstLineChars="200"/>
        <w:textAlignment w:val="auto"/>
        <w:rPr>
          <w:rFonts w:hint="eastAsia" w:ascii="方正黑体_GBK" w:hAnsi="方正黑体_GBK" w:eastAsia="方正黑体_GBK" w:cs="方正黑体_GBK"/>
          <w:b w:val="0"/>
          <w:bCs/>
          <w:sz w:val="32"/>
          <w:szCs w:val="32"/>
          <w:lang w:val="en-US" w:eastAsia="zh-CN"/>
        </w:rPr>
      </w:pPr>
      <w:bookmarkStart w:id="12" w:name="_Toc4983"/>
      <w:r>
        <w:rPr>
          <w:rFonts w:hint="eastAsia" w:ascii="方正黑体_GBK" w:hAnsi="方正黑体_GBK" w:eastAsia="方正黑体_GBK" w:cs="方正黑体_GBK"/>
          <w:b w:val="0"/>
          <w:bCs/>
          <w:sz w:val="32"/>
          <w:szCs w:val="32"/>
          <w:lang w:val="en-US" w:eastAsia="zh-CN"/>
        </w:rPr>
        <w:t>四、主要经验及做法</w:t>
      </w:r>
      <w:bookmarkEnd w:id="12"/>
    </w:p>
    <w:p>
      <w:pPr>
        <w:pageBreakBefore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1.党建工作方面，扎实开展党史学习教育，策划党史知识竞赛、领导干部微宣讲、参观红色教育基地、走访慰问老党员、庆祝建党100周年等系列活动，认真开展“我为群众办实事”实践活动。牢牢把握人才“第一资源”，公开招聘聘用制高层次人才8名，现有硕士研究生及以上学历高层次人才45名，用好管委会“读书会”“纠错会”等特色学习平台，评选岗位先锋、表彰优秀党员、选树榜样典型，激发职工比学赶超、干事创业热情。</w:t>
      </w:r>
    </w:p>
    <w:p>
      <w:pPr>
        <w:pageBreakBefore w:val="0"/>
        <w:kinsoku/>
        <w:wordWrap/>
        <w:overflowPunct/>
        <w:topLinePunct w:val="0"/>
        <w:bidi w:val="0"/>
        <w:spacing w:line="594"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2.优化体制结构方面，打破服务业发展区管委会、区服务业发展促进中心、配属国有企业职能及人员边界，在“1+3+4”组织架构的基础上，进一步整合“造城”“建市”力量。根据工作需要，“造城”工作组设“1+3”工作组织架构（“1”，即“造城”工作综合管理组；“3”，即“造城”工作事前组、“造城”工作事中组、“造城”工作事后组），“建市”工作组设“1+6”工作组织架构（“1”，即综合事业部；“6”，即大健康事业部、数字经济事业部、文旅事业部、科创金融事业部、商贸物流事业部、产教融合事业部），形成资源整合、分工配合、流程闭合的工作机制，推动工作效能最优化、效率最大化。</w:t>
      </w:r>
    </w:p>
    <w:p>
      <w:pPr>
        <w:pStyle w:val="3"/>
        <w:pageBreakBefore w:val="0"/>
        <w:kinsoku/>
        <w:wordWrap/>
        <w:overflowPunct/>
        <w:topLinePunct w:val="0"/>
        <w:bidi w:val="0"/>
        <w:spacing w:before="0" w:beforeLines="0" w:after="0" w:afterLines="0" w:line="594" w:lineRule="exact"/>
        <w:ind w:firstLine="640" w:firstLineChars="200"/>
        <w:textAlignment w:val="auto"/>
        <w:rPr>
          <w:rFonts w:hint="eastAsia" w:ascii="方正黑体_GBK" w:hAnsi="方正黑体_GBK" w:eastAsia="方正黑体_GBK" w:cs="方正黑体_GBK"/>
          <w:b w:val="0"/>
          <w:bCs/>
          <w:sz w:val="32"/>
          <w:szCs w:val="32"/>
          <w:lang w:val="en-US" w:eastAsia="zh-CN"/>
        </w:rPr>
      </w:pPr>
      <w:bookmarkStart w:id="13" w:name="_Toc20080"/>
      <w:r>
        <w:rPr>
          <w:rFonts w:hint="eastAsia" w:ascii="方正黑体_GBK" w:hAnsi="方正黑体_GBK" w:eastAsia="方正黑体_GBK" w:cs="方正黑体_GBK"/>
          <w:b w:val="0"/>
          <w:bCs/>
          <w:sz w:val="32"/>
          <w:szCs w:val="32"/>
          <w:lang w:val="en-US" w:eastAsia="zh-CN"/>
        </w:rPr>
        <w:t>五、存在的问题和建议</w:t>
      </w:r>
      <w:bookmarkEnd w:id="13"/>
    </w:p>
    <w:p>
      <w:pPr>
        <w:pStyle w:val="4"/>
        <w:pageBreakBefore w:val="0"/>
        <w:kinsoku/>
        <w:wordWrap/>
        <w:overflowPunct/>
        <w:topLinePunct w:val="0"/>
        <w:bidi w:val="0"/>
        <w:spacing w:before="0" w:beforeLines="0" w:after="0" w:afterLines="0" w:line="594" w:lineRule="exact"/>
        <w:ind w:firstLine="640" w:firstLineChars="200"/>
        <w:textAlignment w:val="auto"/>
        <w:rPr>
          <w:rFonts w:hint="eastAsia" w:ascii="方正楷体_GBK" w:hAnsi="方正楷体_GBK" w:eastAsia="方正楷体_GBK" w:cs="方正楷体_GBK"/>
          <w:b w:val="0"/>
          <w:bCs/>
          <w:lang w:val="en-US" w:eastAsia="zh-CN"/>
        </w:rPr>
      </w:pPr>
      <w:bookmarkStart w:id="14" w:name="_Toc17867"/>
      <w:bookmarkStart w:id="15" w:name="_Toc32188"/>
      <w:r>
        <w:rPr>
          <w:rFonts w:hint="eastAsia" w:ascii="方正楷体_GBK" w:hAnsi="方正楷体_GBK" w:eastAsia="方正楷体_GBK" w:cs="方正楷体_GBK"/>
          <w:b w:val="0"/>
          <w:bCs/>
          <w:lang w:val="en-US" w:eastAsia="zh-CN"/>
        </w:rPr>
        <w:t>（一）存在的问题</w:t>
      </w:r>
      <w:bookmarkEnd w:id="14"/>
      <w:bookmarkEnd w:id="15"/>
      <w:bookmarkStart w:id="16" w:name="_Toc4640"/>
    </w:p>
    <w:bookmarkEnd w:id="16"/>
    <w:p>
      <w:pPr>
        <w:pageBreakBefore w:val="0"/>
        <w:widowControl/>
        <w:kinsoku/>
        <w:wordWrap/>
        <w:overflowPunct/>
        <w:topLinePunct w:val="0"/>
        <w:autoSpaceDE w:val="0"/>
        <w:autoSpaceDN w:val="0"/>
        <w:bidi w:val="0"/>
        <w:spacing w:line="594" w:lineRule="exact"/>
        <w:ind w:firstLine="640" w:firstLineChars="200"/>
        <w:textAlignment w:val="auto"/>
        <w:rPr>
          <w:rFonts w:hint="eastAsia" w:ascii="方正仿宋_GBK" w:hAnsi="方正仿宋_GBK" w:eastAsia="方正仿宋_GBK" w:cs="方正仿宋_GBK"/>
          <w:kern w:val="0"/>
          <w:sz w:val="32"/>
          <w:szCs w:val="32"/>
          <w:shd w:val="clear" w:color="auto" w:fill="FFFFFF"/>
          <w:lang w:eastAsia="zh-CN"/>
        </w:rPr>
      </w:pPr>
      <w:r>
        <w:rPr>
          <w:rFonts w:hint="eastAsia" w:ascii="方正仿宋_GBK" w:hAnsi="方正仿宋_GBK" w:eastAsia="方正仿宋_GBK" w:cs="方正仿宋_GBK"/>
          <w:kern w:val="0"/>
          <w:sz w:val="32"/>
          <w:szCs w:val="32"/>
          <w:shd w:val="clear" w:color="auto" w:fill="FFFFFF"/>
        </w:rPr>
        <w:t>预算编制不够精准</w:t>
      </w:r>
      <w:r>
        <w:rPr>
          <w:rFonts w:hint="eastAsia" w:ascii="方正仿宋_GBK" w:hAnsi="方正仿宋_GBK" w:eastAsia="方正仿宋_GBK" w:cs="方正仿宋_GBK"/>
          <w:kern w:val="0"/>
          <w:sz w:val="32"/>
          <w:szCs w:val="32"/>
          <w:shd w:val="clear" w:color="auto" w:fill="FFFFFF"/>
          <w:lang w:eastAsia="zh-CN"/>
        </w:rPr>
        <w:t>：</w:t>
      </w:r>
      <w:r>
        <w:rPr>
          <w:rFonts w:hint="eastAsia" w:ascii="方正仿宋_GBK" w:hAnsi="方正仿宋_GBK" w:eastAsia="方正仿宋_GBK" w:cs="方正仿宋_GBK"/>
          <w:kern w:val="0"/>
          <w:sz w:val="32"/>
          <w:szCs w:val="32"/>
          <w:shd w:val="clear" w:color="auto" w:fill="FFFFFF"/>
        </w:rPr>
        <w:t>我单位在编制2021年度部门预算时，严格遵循“量入为出、统筹兼顾”的原则，</w:t>
      </w:r>
      <w:r>
        <w:rPr>
          <w:rFonts w:hint="eastAsia" w:ascii="方正仿宋_GBK" w:hAnsi="方正仿宋_GBK" w:eastAsia="方正仿宋_GBK" w:cs="方正仿宋_GBK"/>
          <w:kern w:val="0"/>
          <w:sz w:val="32"/>
          <w:szCs w:val="32"/>
          <w:shd w:val="clear" w:color="auto" w:fill="FFFFFF"/>
          <w:lang w:val="en-US" w:eastAsia="zh-CN"/>
        </w:rPr>
        <w:t>主要</w:t>
      </w:r>
      <w:r>
        <w:rPr>
          <w:rFonts w:hint="eastAsia" w:ascii="方正仿宋_GBK" w:hAnsi="方正仿宋_GBK" w:eastAsia="方正仿宋_GBK" w:cs="方正仿宋_GBK"/>
          <w:kern w:val="0"/>
          <w:sz w:val="32"/>
          <w:szCs w:val="32"/>
          <w:shd w:val="clear" w:color="auto" w:fill="FFFFFF"/>
        </w:rPr>
        <w:t>保障</w:t>
      </w:r>
      <w:r>
        <w:rPr>
          <w:rFonts w:hint="eastAsia" w:ascii="方正仿宋_GBK" w:hAnsi="方正仿宋_GBK" w:eastAsia="方正仿宋_GBK" w:cs="方正仿宋_GBK"/>
          <w:kern w:val="0"/>
          <w:sz w:val="32"/>
          <w:szCs w:val="32"/>
          <w:shd w:val="clear" w:color="auto" w:fill="FFFFFF"/>
          <w:lang w:val="en-US" w:eastAsia="zh-CN"/>
        </w:rPr>
        <w:t>人员经费</w:t>
      </w:r>
      <w:r>
        <w:rPr>
          <w:rFonts w:hint="eastAsia" w:ascii="方正仿宋_GBK" w:hAnsi="方正仿宋_GBK" w:eastAsia="方正仿宋_GBK" w:cs="方正仿宋_GBK"/>
          <w:kern w:val="0"/>
          <w:sz w:val="32"/>
          <w:szCs w:val="32"/>
          <w:shd w:val="clear" w:color="auto" w:fill="FFFFFF"/>
        </w:rPr>
        <w:t>，部门预算的编制基本合理，但预算仍存在匡算的情况，</w:t>
      </w:r>
      <w:r>
        <w:rPr>
          <w:rFonts w:hint="eastAsia" w:ascii="方正仿宋_GBK" w:hAnsi="方正仿宋_GBK" w:eastAsia="方正仿宋_GBK" w:cs="方正仿宋_GBK"/>
          <w:kern w:val="0"/>
          <w:sz w:val="32"/>
          <w:szCs w:val="32"/>
          <w:shd w:val="clear" w:color="auto" w:fill="FFFFFF"/>
          <w:lang w:val="en-US" w:eastAsia="zh-CN"/>
        </w:rPr>
        <w:t>对人员的引进缺少准确的预计</w:t>
      </w:r>
      <w:r>
        <w:rPr>
          <w:rFonts w:hint="eastAsia" w:ascii="方正仿宋_GBK" w:hAnsi="方正仿宋_GBK" w:eastAsia="方正仿宋_GBK" w:cs="方正仿宋_GBK"/>
          <w:kern w:val="0"/>
          <w:sz w:val="32"/>
          <w:szCs w:val="32"/>
          <w:shd w:val="clear" w:color="auto" w:fill="FFFFFF"/>
        </w:rPr>
        <w:t>，在预算执行过程中，预算调整率为</w:t>
      </w:r>
      <w:r>
        <w:rPr>
          <w:rFonts w:hint="eastAsia" w:ascii="方正仿宋_GBK" w:hAnsi="方正仿宋_GBK" w:eastAsia="方正仿宋_GBK" w:cs="方正仿宋_GBK"/>
          <w:kern w:val="0"/>
          <w:sz w:val="32"/>
          <w:szCs w:val="32"/>
          <w:shd w:val="clear" w:color="auto" w:fill="FFFFFF"/>
          <w:lang w:val="en-US" w:eastAsia="zh-CN"/>
        </w:rPr>
        <w:t>13.60</w:t>
      </w:r>
      <w:r>
        <w:rPr>
          <w:rFonts w:hint="eastAsia" w:ascii="方正仿宋_GBK" w:hAnsi="方正仿宋_GBK" w:eastAsia="方正仿宋_GBK" w:cs="方正仿宋_GBK"/>
          <w:kern w:val="0"/>
          <w:sz w:val="32"/>
          <w:szCs w:val="32"/>
          <w:shd w:val="clear" w:color="auto" w:fill="FFFFFF"/>
        </w:rPr>
        <w:t>%，反映出年初预算编制不够准确，预算编制管理水平仍有进一步提升的空间</w:t>
      </w:r>
      <w:r>
        <w:rPr>
          <w:rFonts w:hint="eastAsia" w:ascii="方正仿宋_GBK" w:hAnsi="方正仿宋_GBK" w:eastAsia="方正仿宋_GBK" w:cs="方正仿宋_GBK"/>
          <w:kern w:val="0"/>
          <w:sz w:val="32"/>
          <w:szCs w:val="32"/>
          <w:shd w:val="clear" w:color="auto" w:fill="FFFFFF"/>
          <w:lang w:eastAsia="zh-CN"/>
        </w:rPr>
        <w:t>。</w:t>
      </w:r>
    </w:p>
    <w:p>
      <w:pPr>
        <w:pStyle w:val="4"/>
        <w:pageBreakBefore w:val="0"/>
        <w:kinsoku/>
        <w:wordWrap/>
        <w:overflowPunct/>
        <w:topLinePunct w:val="0"/>
        <w:bidi w:val="0"/>
        <w:spacing w:before="0" w:beforeLines="0" w:after="0" w:afterLines="0" w:line="594" w:lineRule="exact"/>
        <w:ind w:firstLine="640" w:firstLineChars="200"/>
        <w:textAlignment w:val="auto"/>
        <w:rPr>
          <w:rFonts w:hint="eastAsia" w:ascii="方正楷体_GBK" w:hAnsi="方正楷体_GBK" w:eastAsia="方正楷体_GBK" w:cs="方正楷体_GBK"/>
          <w:b w:val="0"/>
          <w:bCs/>
          <w:lang w:val="en-US" w:eastAsia="zh-CN"/>
        </w:rPr>
      </w:pPr>
      <w:bookmarkStart w:id="17" w:name="_Toc13539"/>
      <w:bookmarkStart w:id="18" w:name="_Toc10078"/>
      <w:r>
        <w:rPr>
          <w:rFonts w:hint="eastAsia" w:ascii="方正楷体_GBK" w:hAnsi="方正楷体_GBK" w:eastAsia="方正楷体_GBK" w:cs="方正楷体_GBK"/>
          <w:b w:val="0"/>
          <w:bCs/>
          <w:lang w:val="en-US" w:eastAsia="zh-CN"/>
        </w:rPr>
        <w:t>（二）建议</w:t>
      </w:r>
      <w:bookmarkEnd w:id="17"/>
      <w:bookmarkEnd w:id="18"/>
    </w:p>
    <w:p>
      <w:pPr>
        <w:pageBreakBefore w:val="0"/>
        <w:widowControl/>
        <w:kinsoku/>
        <w:wordWrap/>
        <w:overflowPunct/>
        <w:topLinePunct w:val="0"/>
        <w:autoSpaceDE w:val="0"/>
        <w:autoSpaceDN w:val="0"/>
        <w:bidi w:val="0"/>
        <w:spacing w:line="594" w:lineRule="exact"/>
        <w:ind w:firstLine="640" w:firstLineChars="200"/>
        <w:textAlignment w:val="auto"/>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合理完整编制部门预算，提升预算精细化管理水平</w:t>
      </w:r>
      <w:r>
        <w:rPr>
          <w:rFonts w:hint="eastAsia" w:ascii="方正仿宋_GBK" w:hAnsi="方正仿宋_GBK" w:eastAsia="方正仿宋_GBK" w:cs="方正仿宋_GBK"/>
          <w:kern w:val="0"/>
          <w:sz w:val="32"/>
          <w:szCs w:val="32"/>
          <w:shd w:val="clear" w:color="auto" w:fill="FFFFFF"/>
          <w:lang w:eastAsia="zh-CN"/>
        </w:rPr>
        <w:t>。</w:t>
      </w:r>
      <w:r>
        <w:rPr>
          <w:rFonts w:hint="eastAsia" w:ascii="方正仿宋_GBK" w:hAnsi="方正仿宋_GBK" w:eastAsia="方正仿宋_GBK" w:cs="方正仿宋_GBK"/>
          <w:kern w:val="0"/>
          <w:sz w:val="32"/>
          <w:szCs w:val="32"/>
          <w:shd w:val="clear" w:color="auto" w:fill="FFFFFF"/>
        </w:rPr>
        <w:t>在往后年度编制部门预算时，将继续按照“量入为出、 统筹兼顾”的原则，</w:t>
      </w:r>
      <w:r>
        <w:rPr>
          <w:rFonts w:hint="eastAsia" w:ascii="方正仿宋_GBK" w:hAnsi="方正仿宋_GBK" w:eastAsia="方正仿宋_GBK" w:cs="方正仿宋_GBK"/>
          <w:kern w:val="0"/>
          <w:sz w:val="32"/>
          <w:szCs w:val="32"/>
          <w:shd w:val="clear" w:color="auto" w:fill="FFFFFF"/>
          <w:lang w:val="en-US" w:eastAsia="zh-CN"/>
        </w:rPr>
        <w:t>主要保障人员经费</w:t>
      </w:r>
      <w:r>
        <w:rPr>
          <w:rFonts w:hint="eastAsia" w:ascii="方正仿宋_GBK" w:hAnsi="方正仿宋_GBK" w:eastAsia="方正仿宋_GBK" w:cs="方正仿宋_GBK"/>
          <w:kern w:val="0"/>
          <w:sz w:val="32"/>
          <w:szCs w:val="32"/>
          <w:shd w:val="clear" w:color="auto" w:fill="FFFFFF"/>
        </w:rPr>
        <w:t>；基本支出预算严格按照定额标准及相关标准文件进行测算，结合往年执行情况，避免匡算、估算的现象出现，提高预算编制的科学合理性，提升预算精细化管理水平。</w:t>
      </w:r>
    </w:p>
    <w:p>
      <w:pPr>
        <w:pStyle w:val="2"/>
        <w:pageBreakBefore w:val="0"/>
        <w:kinsoku/>
        <w:wordWrap/>
        <w:overflowPunct/>
        <w:topLinePunct w:val="0"/>
        <w:bidi w:val="0"/>
        <w:spacing w:before="0" w:after="0" w:line="594" w:lineRule="exact"/>
        <w:textAlignment w:val="auto"/>
      </w:pPr>
    </w:p>
    <w:p>
      <w:pPr>
        <w:pageBreakBefore w:val="0"/>
        <w:kinsoku/>
        <w:wordWrap/>
        <w:overflowPunct/>
        <w:topLinePunct w:val="0"/>
        <w:bidi w:val="0"/>
        <w:spacing w:line="594" w:lineRule="exact"/>
        <w:textAlignment w:val="auto"/>
      </w:pPr>
    </w:p>
    <w:p>
      <w:pPr>
        <w:pageBreakBefore w:val="0"/>
        <w:widowControl/>
        <w:kinsoku/>
        <w:wordWrap/>
        <w:overflowPunct/>
        <w:topLinePunct w:val="0"/>
        <w:autoSpaceDE w:val="0"/>
        <w:autoSpaceDN w:val="0"/>
        <w:bidi w:val="0"/>
        <w:spacing w:line="594" w:lineRule="exact"/>
        <w:ind w:firstLine="640" w:firstLineChars="200"/>
        <w:jc w:val="right"/>
        <w:textAlignment w:val="auto"/>
        <w:rPr>
          <w:rFonts w:hint="eastAsia" w:ascii="方正仿宋_GBK" w:hAnsi="方正仿宋_GBK" w:eastAsia="方正仿宋_GBK" w:cs="方正仿宋_GBK"/>
          <w:kern w:val="0"/>
          <w:sz w:val="32"/>
          <w:szCs w:val="32"/>
          <w:shd w:val="clear" w:color="auto" w:fill="FFFFFF"/>
          <w:lang w:val="en-US" w:eastAsia="zh-CN"/>
        </w:rPr>
      </w:pPr>
      <w:r>
        <w:rPr>
          <w:rFonts w:hint="eastAsia" w:ascii="方正仿宋_GBK" w:hAnsi="方正仿宋_GBK" w:eastAsia="方正仿宋_GBK" w:cs="方正仿宋_GBK"/>
          <w:kern w:val="0"/>
          <w:sz w:val="32"/>
          <w:szCs w:val="32"/>
          <w:shd w:val="clear" w:color="auto" w:fill="FFFFFF"/>
        </w:rPr>
        <w:t>重庆</w:t>
      </w:r>
      <w:r>
        <w:rPr>
          <w:rFonts w:hint="eastAsia" w:ascii="方正仿宋_GBK" w:hAnsi="方正仿宋_GBK" w:eastAsia="方正仿宋_GBK" w:cs="方正仿宋_GBK"/>
          <w:kern w:val="0"/>
          <w:sz w:val="32"/>
          <w:szCs w:val="32"/>
          <w:shd w:val="clear" w:color="auto" w:fill="FFFFFF"/>
          <w:lang w:val="en-US" w:eastAsia="zh-CN"/>
        </w:rPr>
        <w:t>市</w:t>
      </w:r>
      <w:r>
        <w:rPr>
          <w:rFonts w:hint="eastAsia" w:ascii="方正仿宋_GBK" w:hAnsi="方正仿宋_GBK" w:eastAsia="方正仿宋_GBK" w:cs="方正仿宋_GBK"/>
          <w:kern w:val="0"/>
          <w:sz w:val="32"/>
          <w:szCs w:val="32"/>
          <w:shd w:val="clear" w:color="auto" w:fill="FFFFFF"/>
        </w:rPr>
        <w:t>璧山</w:t>
      </w:r>
      <w:r>
        <w:rPr>
          <w:rFonts w:hint="eastAsia" w:ascii="方正仿宋_GBK" w:hAnsi="方正仿宋_GBK" w:eastAsia="方正仿宋_GBK" w:cs="方正仿宋_GBK"/>
          <w:kern w:val="0"/>
          <w:sz w:val="32"/>
          <w:szCs w:val="32"/>
          <w:shd w:val="clear" w:color="auto" w:fill="FFFFFF"/>
          <w:lang w:val="en-US" w:eastAsia="zh-CN"/>
        </w:rPr>
        <w:t>区</w:t>
      </w:r>
      <w:r>
        <w:rPr>
          <w:rFonts w:hint="eastAsia" w:ascii="方正仿宋_GBK" w:hAnsi="方正仿宋_GBK" w:eastAsia="方正仿宋_GBK" w:cs="方正仿宋_GBK"/>
          <w:kern w:val="0"/>
          <w:sz w:val="32"/>
          <w:szCs w:val="32"/>
          <w:shd w:val="clear" w:color="auto" w:fill="FFFFFF"/>
        </w:rPr>
        <w:t>现代服务业发展</w:t>
      </w:r>
      <w:r>
        <w:rPr>
          <w:rFonts w:hint="eastAsia" w:ascii="方正仿宋_GBK" w:hAnsi="方正仿宋_GBK" w:eastAsia="方正仿宋_GBK" w:cs="方正仿宋_GBK"/>
          <w:kern w:val="0"/>
          <w:sz w:val="32"/>
          <w:szCs w:val="32"/>
          <w:shd w:val="clear" w:color="auto" w:fill="FFFFFF"/>
          <w:lang w:val="en-US" w:eastAsia="zh-CN"/>
        </w:rPr>
        <w:t>促进中心</w:t>
      </w:r>
    </w:p>
    <w:p>
      <w:pPr>
        <w:pageBreakBefore w:val="0"/>
        <w:widowControl/>
        <w:kinsoku/>
        <w:wordWrap/>
        <w:overflowPunct/>
        <w:topLinePunct w:val="0"/>
        <w:autoSpaceDE w:val="0"/>
        <w:autoSpaceDN w:val="0"/>
        <w:bidi w:val="0"/>
        <w:spacing w:line="594" w:lineRule="exact"/>
        <w:ind w:firstLine="640" w:firstLineChars="200"/>
        <w:textAlignment w:val="auto"/>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 xml:space="preserve">                               2022年3月28日</w:t>
      </w: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lZTQ2YzI0ODg3NDk4ODg4MjViMGNhYTY0YjBkOWEifQ=="/>
  </w:docVars>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225F8"/>
    <w:rsid w:val="00E25A0F"/>
    <w:rsid w:val="00E42BE7"/>
    <w:rsid w:val="00E55405"/>
    <w:rsid w:val="00E72086"/>
    <w:rsid w:val="00E91393"/>
    <w:rsid w:val="00EB0A75"/>
    <w:rsid w:val="00EF2A45"/>
    <w:rsid w:val="00F70C2E"/>
    <w:rsid w:val="00F9262E"/>
    <w:rsid w:val="00F93438"/>
    <w:rsid w:val="00FA41F0"/>
    <w:rsid w:val="00FD0041"/>
    <w:rsid w:val="00FE38F2"/>
    <w:rsid w:val="13A8607D"/>
    <w:rsid w:val="322070BA"/>
    <w:rsid w:val="619D1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2">
    <w:name w:val="heading 6"/>
    <w:basedOn w:val="1"/>
    <w:next w:val="1"/>
    <w:qFormat/>
    <w:uiPriority w:val="9"/>
    <w:pPr>
      <w:keepNext/>
      <w:keepLines/>
      <w:spacing w:before="240" w:after="64" w:line="320" w:lineRule="auto"/>
      <w:outlineLvl w:val="5"/>
    </w:pPr>
    <w:rPr>
      <w:rFonts w:ascii="Cambria" w:hAnsi="Cambria"/>
      <w:b/>
      <w:bCs/>
      <w:sz w:val="28"/>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style>
  <w:style w:type="paragraph" w:styleId="8">
    <w:name w:val="toc 2"/>
    <w:basedOn w:val="1"/>
    <w:next w:val="1"/>
    <w:qFormat/>
    <w:uiPriority w:val="39"/>
    <w:pPr>
      <w:ind w:left="420" w:leftChars="200"/>
    </w:pPr>
  </w:style>
  <w:style w:type="paragraph" w:styleId="9">
    <w:name w:val="Normal (Web)"/>
    <w:basedOn w:val="1"/>
    <w:uiPriority w:val="0"/>
    <w:pPr>
      <w:spacing w:before="100" w:beforeAutospacing="1" w:after="100" w:afterAutospacing="1"/>
      <w:ind w:left="0" w:right="0"/>
      <w:jc w:val="left"/>
    </w:pPr>
    <w:rPr>
      <w:kern w:val="0"/>
      <w:sz w:val="24"/>
      <w:lang w:val="en-US" w:eastAsia="zh-CN" w:bidi="ar"/>
    </w:rPr>
  </w:style>
  <w:style w:type="character" w:styleId="12">
    <w:name w:val="Strong"/>
    <w:basedOn w:val="11"/>
    <w:qFormat/>
    <w:uiPriority w:val="0"/>
    <w:rPr>
      <w:b/>
    </w:rPr>
  </w:style>
  <w:style w:type="character" w:styleId="13">
    <w:name w:val="Hyperlink"/>
    <w:basedOn w:val="11"/>
    <w:unhideWhenUsed/>
    <w:qFormat/>
    <w:uiPriority w:val="99"/>
    <w:rPr>
      <w:color w:val="0000FF" w:themeColor="hyperlink"/>
      <w:u w:val="single"/>
      <w14:textFill>
        <w14:solidFill>
          <w14:schemeClr w14:val="hlink"/>
        </w14:solidFill>
      </w14:textFill>
    </w:rPr>
  </w:style>
  <w:style w:type="paragraph" w:styleId="14">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15">
    <w:name w:val="页眉 Char"/>
    <w:basedOn w:val="11"/>
    <w:link w:val="6"/>
    <w:qFormat/>
    <w:uiPriority w:val="99"/>
    <w:rPr>
      <w:rFonts w:ascii="Times New Roman" w:hAnsi="Times New Roman" w:eastAsia="宋体" w:cs="Times New Roman"/>
      <w:sz w:val="18"/>
      <w:szCs w:val="18"/>
    </w:rPr>
  </w:style>
  <w:style w:type="character" w:customStyle="1" w:styleId="16">
    <w:name w:val="页脚 Char"/>
    <w:basedOn w:val="11"/>
    <w:link w:val="5"/>
    <w:qFormat/>
    <w:uiPriority w:val="99"/>
    <w:rPr>
      <w:rFonts w:ascii="Times New Roman" w:hAnsi="Times New Roman" w:eastAsia="宋体" w:cs="Times New Roman"/>
      <w:sz w:val="18"/>
      <w:szCs w:val="18"/>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12</Pages>
  <Words>4430</Words>
  <Characters>4705</Characters>
  <Lines>1</Lines>
  <Paragraphs>1</Paragraphs>
  <TotalTime>9</TotalTime>
  <ScaleCrop>false</ScaleCrop>
  <LinksUpToDate>false</LinksUpToDate>
  <CharactersWithSpaces>4795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florence</cp:lastModifiedBy>
  <cp:lastPrinted>2020-04-20T08:58:00Z</cp:lastPrinted>
  <dcterms:modified xsi:type="dcterms:W3CDTF">2022-10-12T09:07:07Z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70C8F734E33244AAB636E6765D8B5270</vt:lpwstr>
  </property>
</Properties>
</file>