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附件4</w:t>
      </w:r>
    </w:p>
    <w:p>
      <w:pPr>
        <w:spacing w:line="596" w:lineRule="exact"/>
        <w:jc w:val="center"/>
        <w:rPr>
          <w:rFonts w:hint="eastAsia" w:eastAsia="方正小标宋_GBK"/>
          <w:sz w:val="44"/>
          <w:szCs w:val="32"/>
          <w:lang w:eastAsia="zh-CN"/>
        </w:rPr>
      </w:pPr>
      <w:r>
        <w:rPr>
          <w:rFonts w:hint="eastAsia" w:eastAsia="方正小标宋_GBK"/>
          <w:sz w:val="44"/>
          <w:szCs w:val="32"/>
        </w:rPr>
        <w:t>璧山</w:t>
      </w:r>
      <w:r>
        <w:rPr>
          <w:rFonts w:eastAsia="方正小标宋_GBK"/>
          <w:sz w:val="44"/>
          <w:szCs w:val="32"/>
        </w:rPr>
        <w:t>区</w:t>
      </w:r>
      <w:r>
        <w:rPr>
          <w:rFonts w:hint="eastAsia" w:eastAsia="方正小标宋_GBK"/>
          <w:sz w:val="44"/>
          <w:szCs w:val="32"/>
          <w:lang w:eastAsia="zh-CN"/>
        </w:rPr>
        <w:t>救助站</w:t>
      </w:r>
    </w:p>
    <w:p>
      <w:pPr>
        <w:pStyle w:val="10"/>
        <w:spacing w:line="596" w:lineRule="exact"/>
        <w:ind w:left="359" w:leftChars="171" w:firstLine="1100" w:firstLineChars="250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pStyle w:val="10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spacing w:line="600" w:lineRule="exact"/>
        <w:ind w:firstLine="640" w:firstLineChars="200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>（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1</w:t>
      </w:r>
      <w:r>
        <w:rPr>
          <w:rFonts w:hint="eastAsia" w:ascii="方正仿宋_GBK" w:hAnsi="仿宋_GB2312" w:eastAsia="方正仿宋_GBK" w:cs="仿宋_GB2312"/>
          <w:sz w:val="32"/>
        </w:rPr>
        <w:t>）职能职责</w:t>
      </w:r>
    </w:p>
    <w:p>
      <w:pPr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依据《城市生活无着落的流浪乞讨人员救助管理办法》（国务院令381号）和《城市生活无着的流浪乞讨人员救助管理实施细则》（民政部第24号）令及《生活无着的流浪乞讨人员救助机构规程》及（民发〔2014〕132号）等文件规定，对生活无着的流浪乞讨人员及流浪“三无”病人、流浪精神病人、流浪未成年人等实施临时性的衣、食、住、行、送医、返乡、行为矫治教育等方面的自愿求助、无偿救助。</w:t>
      </w:r>
    </w:p>
    <w:p>
      <w:pPr>
        <w:pStyle w:val="11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>（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2</w:t>
      </w:r>
      <w:r>
        <w:rPr>
          <w:rFonts w:hint="eastAsia" w:ascii="方正仿宋_GBK" w:hAnsi="仿宋_GB2312" w:eastAsia="方正仿宋_GBK" w:cs="仿宋_GB2312"/>
          <w:sz w:val="32"/>
        </w:rPr>
        <w:t>）单位构成</w:t>
      </w:r>
    </w:p>
    <w:p>
      <w:pPr>
        <w:ind w:firstLine="579" w:firstLineChars="181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救助站是区民政局下属、由财政全额拨款的参公独立核算事业单位，无下属其他机构科室。平时无任何收入，也无执法权。现在编在岗6人，退休1人，临聘人员3人（驾驶员、保安员、保洁员各1人），公益岗位1人，有一辆救助专用车，其办公地位于璧泉街道双狮社区泰山街11号附11号。</w:t>
      </w:r>
    </w:p>
    <w:p>
      <w:pPr>
        <w:numPr>
          <w:ilvl w:val="0"/>
          <w:numId w:val="1"/>
        </w:num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预算及支出情况</w:t>
      </w:r>
      <w:r>
        <w:rPr>
          <w:rFonts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" w:leftChars="0" w:firstLine="419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院流浪精神病人医疗费及生活费49.822万元，由于是在2020年的10月份依照民〔2021〕132号及璧山府办发〔2006〕161号相关规定及费用结付办法，按当时仍留院医治时长已达1年至10多年期间的29名流浪精神病患者及其费用标准和相关文件要求预算的经费，后来依据文件要求对滞留达3月以上仍未查找到户籍的要妥善安置等要求，经多方协调将其29名集中安置到区社会福利院，由该单位全权负责所有费用等，所以将此项经费及时转到了区社会福利院，救助站未对其进行管理列支做账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" w:leftChars="0" w:firstLine="419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救助业务培训费2.594万元：在当时编制此项经费时，依据渝民办〔2020〕82号通知中的相关规定，按辖区内街镇、村居及从事救助工作人员和集中培训的有关费用标准所预算的经费，但在本年开展救助工作中，由于各种原因导致未能集中举办学习培训会。所以只执行了0.445万元，只执行了年初绩效目标管理的17.15 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" w:leftChars="0" w:firstLine="419" w:firstLineChars="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对于其他的3个小项目计13.536万元（其中流浪乞讨救助经费8.00万元，救助日常管理费5.136万元，救助人员体检费0.4万元），到本年底执行了13.536万元，执行率达100%，完成年初绩效目标任务。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hint="eastAsia" w:eastAsia="方正黑体_GBK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年度通过对年初预算下达的项目（救助）经费的合理按规使用和工作人员的共同努力，严格履职，对每一位受助对象的热心服务，使他们都能高兴来站，满意回家与家人团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，既促进了社会和谐稳定，也彰显了当今党和政府对弱势群体的关心关爱、社会主义制度的优越性。</w:t>
      </w:r>
    </w:p>
    <w:p>
      <w:pPr>
        <w:spacing w:line="596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（二）绩效评价原则</w:t>
      </w:r>
    </w:p>
    <w:p>
      <w:pPr>
        <w:spacing w:line="596" w:lineRule="exact"/>
        <w:ind w:firstLine="640" w:firstLineChars="20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我单位依照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科学规范原则、公开公正原则、分级分类原则、绩效相关原则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对本年度的项目绩效进行自评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。</w:t>
      </w:r>
    </w:p>
    <w:p>
      <w:pPr>
        <w:numPr>
          <w:ilvl w:val="0"/>
          <w:numId w:val="1"/>
        </w:numPr>
        <w:spacing w:line="596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绩效评价工作过程</w:t>
      </w:r>
    </w:p>
    <w:p>
      <w:pPr>
        <w:numPr>
          <w:ilvl w:val="0"/>
          <w:numId w:val="0"/>
        </w:numPr>
        <w:spacing w:line="596" w:lineRule="exact"/>
        <w:ind w:left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1、前期准备：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绩效自评通知下达后，按照通知要求，我单位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成立救助项目绩效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自评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组，负责绩效自评工作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和制定自评工作方案等。</w:t>
      </w:r>
    </w:p>
    <w:p>
      <w:pPr>
        <w:numPr>
          <w:ilvl w:val="0"/>
          <w:numId w:val="3"/>
        </w:num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组织实施：</w:t>
      </w:r>
    </w:p>
    <w:p>
      <w:pPr>
        <w:numPr>
          <w:ilvl w:val="0"/>
          <w:numId w:val="0"/>
        </w:num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自评工作小组按照相关部门的有关规定，结合开展自评部门的要求及项目经费的实际，按其工作进度逐月向财政报批用款计划。</w:t>
      </w:r>
    </w:p>
    <w:p>
      <w:pPr>
        <w:numPr>
          <w:ilvl w:val="0"/>
          <w:numId w:val="3"/>
        </w:numPr>
        <w:ind w:left="0" w:leftChars="0" w:firstLine="42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分析评价：</w:t>
      </w:r>
    </w:p>
    <w:p>
      <w:pPr>
        <w:numPr>
          <w:ilvl w:val="0"/>
          <w:numId w:val="0"/>
        </w:numPr>
        <w:ind w:left="420" w:leftChars="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3月初，自评小组依据《璧山区救助站2021年度部门整体支出绩效自评表》中的指标体系以及绩效管理工作总结的内容进行统一分析，收集资料，认真开展自评工作，形成部门整体绩效自评报告。</w:t>
      </w:r>
    </w:p>
    <w:p>
      <w:pPr>
        <w:ind w:firstLine="42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hint="eastAsia" w:ascii="黑体" w:hAnsi="仿宋" w:eastAsia="黑体"/>
          <w:sz w:val="32"/>
          <w:szCs w:val="32"/>
        </w:rPr>
        <w:t>绩效分析及评价结论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）投入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共投入项目资金161300元（16.13万元），均用于受助人员日常救助、受助人员返乡交通、日用品购置等费用（其中年初预算的救助业务培训费2.594万元，由于年中各种原因所致未开展此项培训，只执行了0.445万元），导致全年共支出139810元（13.98万元），使用率86.6%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）效果</w:t>
      </w:r>
    </w:p>
    <w:p>
      <w:pPr>
        <w:pStyle w:val="2"/>
        <w:numPr>
          <w:ilvl w:val="0"/>
          <w:numId w:val="0"/>
        </w:numPr>
        <w:spacing w:line="560" w:lineRule="exact"/>
        <w:ind w:left="840" w:left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社会公众满意度： </w:t>
      </w:r>
    </w:p>
    <w:p>
      <w:pPr>
        <w:pStyle w:val="2"/>
        <w:numPr>
          <w:ilvl w:val="0"/>
          <w:numId w:val="0"/>
        </w:numPr>
        <w:spacing w:line="560" w:lineRule="exact"/>
        <w:ind w:left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受助人员在经过我站无偿救助后，对于老、弱、病、残、幼的受助人员实行护送返乡或护送到户籍地的救助站，能自行回家的，我站为其购买车票或给与返乡费用，使其早日回家，与家人团聚。</w:t>
      </w:r>
    </w:p>
    <w:p>
      <w:pPr>
        <w:numPr>
          <w:ilvl w:val="0"/>
          <w:numId w:val="4"/>
        </w:num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>
      <w:pPr>
        <w:numPr>
          <w:ilvl w:val="0"/>
          <w:numId w:val="0"/>
        </w:numPr>
        <w:spacing w:line="596" w:lineRule="exact"/>
        <w:ind w:firstLine="960" w:firstLineChars="3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依据《璧山区救助站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2021年度部门整体支出绩效自评表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》中的指标体系分析中得出，本年度整体支出绩效自评总得分为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80分（主要是由于救助培训费，导致未完全达到年初的绩效目标）等级为良好，其他几个小项目均达到年初绩效预期目标。</w:t>
      </w:r>
    </w:p>
    <w:p>
      <w:pPr>
        <w:numPr>
          <w:ilvl w:val="0"/>
          <w:numId w:val="5"/>
        </w:num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主要经验及做法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（1）通过对绩效目标的有效管控，增强了对资金的使用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管力度，减少了资金的浪费和不必要的支出，从而既节约了开支，有办好了应办的事。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（2）充分合理合规使用有效的项目经费，通过工作人员热心尽职的为受助人员服务，使其切实感受到党和政府的关心关爱，达到了年初预算此项经费和工作开展的绩效目标。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eastAsia="方正黑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（3）通过对年初项目绩效目标管理的制定和预测，在过后的实施过程中做到了心中有数，工作有目标，经费支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合规合理又合法。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1.由于每年的9-10月份就要对次年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支进行预算编制，期间因各种原因及临时政策性变化或新的政策出台，对先预算的个别小项目经费又要去进行修改和更正等，造成一时难以批复，其经费使用审批过程较长。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2.由于公安、城管、卫生、交通等部门与其协同配合工作力度不够以及其他原因，个别经费报经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同意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使用后，因未开展此项工作，造成经费又退回到平台上等。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.由政府出面，分管领导负责召集公安、城管、卫生、民政等部门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间的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救助工作协调会，参会人员要切实的将救助政策向本单位所有工作人员宣传到位，彻底消除收容遣送时期的旧观念和旧理念，避免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相互间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造成不必要认识上的误会。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救助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宣传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广告牌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可以悬挂于人员密集的公共场所醒目位置及璧青路和黛山大道路边，扩大其知晓度。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.各级分管救助业务工作的领导要切实重视和关注救助工作，人员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心身健康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，当今弱势群体生产生活等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spacing w:line="596" w:lineRule="exact"/>
        <w:ind w:firstLine="640" w:firstLineChars="200"/>
        <w:jc w:val="center"/>
        <w:rPr>
          <w:rFonts w:hint="default" w:eastAsia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41DD92"/>
    <w:multiLevelType w:val="singleLevel"/>
    <w:tmpl w:val="9241DD9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193BD85"/>
    <w:multiLevelType w:val="singleLevel"/>
    <w:tmpl w:val="E193BD85"/>
    <w:lvl w:ilvl="0" w:tentative="0">
      <w:start w:val="1"/>
      <w:numFmt w:val="decimal"/>
      <w:suff w:val="nothing"/>
      <w:lvlText w:val="（%1）"/>
      <w:lvlJc w:val="left"/>
      <w:pPr>
        <w:ind w:left="421" w:leftChars="0" w:firstLine="0" w:firstLineChars="0"/>
      </w:pPr>
    </w:lvl>
  </w:abstractNum>
  <w:abstractNum w:abstractNumId="2">
    <w:nsid w:val="F0721F2B"/>
    <w:multiLevelType w:val="singleLevel"/>
    <w:tmpl w:val="F0721F2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4F99727"/>
    <w:multiLevelType w:val="singleLevel"/>
    <w:tmpl w:val="54F9972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8D317BC"/>
    <w:multiLevelType w:val="singleLevel"/>
    <w:tmpl w:val="68D317B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4330644"/>
    <w:rsid w:val="0F8B4F32"/>
    <w:rsid w:val="199E31A9"/>
    <w:rsid w:val="23EA60B9"/>
    <w:rsid w:val="2E7C7091"/>
    <w:rsid w:val="310036A4"/>
    <w:rsid w:val="33BD28B6"/>
    <w:rsid w:val="3AD24CBE"/>
    <w:rsid w:val="417700A2"/>
    <w:rsid w:val="529D60E1"/>
    <w:rsid w:val="68AF4B48"/>
    <w:rsid w:val="7C184193"/>
    <w:rsid w:val="7CFA33F2"/>
    <w:rsid w:val="7D7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2111</Words>
  <Characters>2235</Characters>
  <Lines>1</Lines>
  <Paragraphs>1</Paragraphs>
  <TotalTime>79</TotalTime>
  <ScaleCrop>false</ScaleCrop>
  <LinksUpToDate>false</LinksUpToDate>
  <CharactersWithSpaces>2244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A  尹子</cp:lastModifiedBy>
  <cp:lastPrinted>2022-03-30T06:46:11Z</cp:lastPrinted>
  <dcterms:modified xsi:type="dcterms:W3CDTF">2022-03-30T07:06:19Z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E07F379ED70B49CF99DB6B18E419DE11</vt:lpwstr>
  </property>
</Properties>
</file>