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left"/>
        <w:rPr>
          <w:rFonts w:hint="eastAsia" w:ascii="方正仿宋_GBK" w:hAnsi="方正仿宋_GBK" w:eastAsia="方正仿宋_GBK" w:cs="方正仿宋_GBK"/>
          <w:sz w:val="32"/>
          <w:szCs w:val="32"/>
          <w:lang w:val="en-US" w:eastAsia="zh-CN"/>
        </w:rPr>
      </w:pPr>
      <w:bookmarkStart w:id="0" w:name="_GoBack"/>
      <w:bookmarkEnd w:id="0"/>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2：</w:t>
      </w:r>
    </w:p>
    <w:p>
      <w:pPr>
        <w:adjustRightInd w:val="0"/>
        <w:snapToGrid w:val="0"/>
        <w:spacing w:line="6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中共重庆市璧山区委宣传部</w:t>
      </w:r>
    </w:p>
    <w:p>
      <w:pPr>
        <w:pStyle w:val="11"/>
        <w:spacing w:line="596" w:lineRule="exact"/>
        <w:ind w:left="359" w:leftChars="171" w:firstLine="1100" w:firstLineChars="250"/>
        <w:rPr>
          <w:rFonts w:hint="default" w:ascii="Times New Roman" w:hAnsi="Times New Roman" w:eastAsia="方正小标宋_GBK" w:cs="Times New Roman"/>
          <w:sz w:val="44"/>
          <w:szCs w:val="32"/>
        </w:rPr>
      </w:pPr>
      <w:r>
        <w:rPr>
          <w:rFonts w:hint="default" w:ascii="Times New Roman" w:hAnsi="Times New Roman" w:eastAsia="方正小标宋_GBK" w:cs="Times New Roman"/>
          <w:sz w:val="44"/>
          <w:szCs w:val="32"/>
        </w:rPr>
        <w:t>2021年度整体支出绩效自评报告</w:t>
      </w:r>
    </w:p>
    <w:p>
      <w:pPr>
        <w:keepNext w:val="0"/>
        <w:keepLines w:val="0"/>
        <w:pageBreakBefore w:val="0"/>
        <w:widowControl w:val="0"/>
        <w:kinsoku/>
        <w:wordWrap/>
        <w:overflowPunct/>
        <w:topLinePunct w:val="0"/>
        <w:autoSpaceDE/>
        <w:autoSpaceDN/>
        <w:bidi w:val="0"/>
        <w:adjustRightInd/>
        <w:snapToGrid/>
        <w:spacing w:before="313" w:beforeLines="100" w:line="59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根据《重庆市璧山区财政局关于开展2021年度绩效自评工作的通知》（璧财绩〔2022〕2号）文件要求，我单位对财政资金整体支出绩效进行了自评，具体情况如下：</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一、基本情况</w:t>
      </w:r>
    </w:p>
    <w:p>
      <w:pPr>
        <w:spacing w:line="596"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（一）单位基本情况</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1. 职能职责</w:t>
      </w:r>
    </w:p>
    <w:p>
      <w:pPr>
        <w:spacing w:line="596" w:lineRule="exact"/>
        <w:ind w:firstLine="640" w:firstLineChars="200"/>
        <w:rPr>
          <w:rFonts w:hint="eastAsia" w:ascii="方正仿宋_GBK" w:hAnsi="方正仿宋_GBK" w:eastAsia="方正仿宋_GBK" w:cs="方正仿宋_GBK"/>
          <w:i w:val="0"/>
          <w:iCs w:val="0"/>
          <w:caps w:val="0"/>
          <w:spacing w:val="0"/>
          <w:kern w:val="0"/>
          <w:sz w:val="32"/>
          <w:szCs w:val="32"/>
          <w:shd w:val="clear" w:fill="FFFFFF"/>
        </w:rPr>
      </w:pP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i w:val="0"/>
          <w:iCs w:val="0"/>
          <w:caps w:val="0"/>
          <w:spacing w:val="0"/>
          <w:kern w:val="0"/>
          <w:sz w:val="32"/>
          <w:szCs w:val="32"/>
          <w:shd w:val="clear" w:fill="FFFFFF"/>
        </w:rPr>
        <w:t>负责指导全区理论研究、理论学习、理论宣传工作；负责全区哲学社会科学的规划、立项、评奖工作。</w:t>
      </w:r>
    </w:p>
    <w:p>
      <w:pPr>
        <w:spacing w:line="596" w:lineRule="exact"/>
        <w:ind w:firstLine="640" w:firstLineChars="200"/>
        <w:rPr>
          <w:rFonts w:hint="eastAsia" w:ascii="方正仿宋_GBK" w:hAnsi="方正仿宋_GBK" w:eastAsia="方正仿宋_GBK" w:cs="方正仿宋_GBK"/>
          <w:i w:val="0"/>
          <w:iCs w:val="0"/>
          <w:caps w:val="0"/>
          <w:spacing w:val="0"/>
          <w:kern w:val="0"/>
          <w:sz w:val="32"/>
          <w:szCs w:val="32"/>
          <w:shd w:val="clear" w:fill="FFFFFF"/>
        </w:rPr>
      </w:pP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i w:val="0"/>
          <w:iCs w:val="0"/>
          <w:caps w:val="0"/>
          <w:spacing w:val="0"/>
          <w:kern w:val="0"/>
          <w:sz w:val="32"/>
          <w:szCs w:val="32"/>
          <w:shd w:val="clear" w:fill="FFFFFF"/>
        </w:rPr>
        <w:t>负责引导社会舆论，指导、协调各新闻出版单位的工作。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val="0"/>
        <w:spacing w:before="0" w:beforeAutospacing="0" w:after="0" w:afterAutospacing="0" w:line="594" w:lineRule="exact"/>
        <w:ind w:left="0" w:right="0" w:firstLine="640" w:firstLineChars="200"/>
        <w:jc w:val="both"/>
        <w:rPr>
          <w:rFonts w:hint="eastAsia" w:ascii="方正仿宋_GBK" w:hAnsi="方正仿宋_GBK" w:eastAsia="方正仿宋_GBK" w:cs="方正仿宋_GBK"/>
          <w:kern w:val="0"/>
          <w:sz w:val="32"/>
          <w:szCs w:val="32"/>
        </w:rPr>
      </w:pP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i w:val="0"/>
          <w:iCs w:val="0"/>
          <w:caps w:val="0"/>
          <w:spacing w:val="0"/>
          <w:kern w:val="0"/>
          <w:sz w:val="32"/>
          <w:szCs w:val="32"/>
          <w:shd w:val="clear" w:fill="FFFFFF"/>
        </w:rPr>
        <w:t>负责规划、部署全局性思想政治工作任务；会同有关部门研究和改进群众思想教育工作。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val="0"/>
        <w:spacing w:before="0" w:beforeAutospacing="0" w:after="0" w:afterAutospacing="0" w:line="594" w:lineRule="exact"/>
        <w:ind w:left="0" w:right="0" w:firstLine="640" w:firstLineChars="200"/>
        <w:jc w:val="both"/>
        <w:rPr>
          <w:rFonts w:hint="eastAsia" w:ascii="方正仿宋_GBK" w:hAnsi="方正仿宋_GBK" w:eastAsia="方正仿宋_GBK" w:cs="方正仿宋_GBK"/>
          <w:kern w:val="0"/>
          <w:sz w:val="32"/>
          <w:szCs w:val="32"/>
        </w:rPr>
      </w:pPr>
      <w:r>
        <w:rPr>
          <w:rFonts w:hint="default"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i w:val="0"/>
          <w:iCs w:val="0"/>
          <w:caps w:val="0"/>
          <w:spacing w:val="0"/>
          <w:kern w:val="0"/>
          <w:sz w:val="32"/>
          <w:szCs w:val="32"/>
          <w:shd w:val="clear" w:fill="FFFFFF"/>
        </w:rPr>
        <w:t>负责指导、协调全区对外宣传工作；负责管理互联网络新闻宣传工作。</w:t>
      </w:r>
    </w:p>
    <w:p>
      <w:pPr>
        <w:spacing w:line="596" w:lineRule="exact"/>
        <w:ind w:firstLine="640" w:firstLineChars="200"/>
        <w:rPr>
          <w:rFonts w:hint="eastAsia" w:ascii="方正仿宋_GBK" w:hAnsi="方正仿宋_GBK" w:eastAsia="方正仿宋_GBK" w:cs="方正仿宋_GBK"/>
          <w:i w:val="0"/>
          <w:iCs w:val="0"/>
          <w:caps w:val="0"/>
          <w:spacing w:val="0"/>
          <w:kern w:val="0"/>
          <w:sz w:val="32"/>
          <w:szCs w:val="32"/>
          <w:shd w:val="clear" w:fill="FFFFFF"/>
        </w:rPr>
      </w:pPr>
      <w:r>
        <w:rPr>
          <w:rFonts w:hint="default"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i w:val="0"/>
          <w:iCs w:val="0"/>
          <w:caps w:val="0"/>
          <w:spacing w:val="0"/>
          <w:kern w:val="0"/>
          <w:sz w:val="32"/>
          <w:szCs w:val="32"/>
          <w:shd w:val="clear" w:fill="FFFFFF"/>
        </w:rPr>
        <w:t>负责指导、协调全区的精神文明建设工作。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val="0"/>
        <w:spacing w:before="0" w:beforeAutospacing="0" w:after="0" w:afterAutospacing="0" w:line="594" w:lineRule="exact"/>
        <w:ind w:left="0" w:right="0" w:firstLine="640" w:firstLineChars="200"/>
        <w:jc w:val="both"/>
        <w:rPr>
          <w:rFonts w:hint="eastAsia" w:ascii="方正仿宋_GBK" w:hAnsi="方正仿宋_GBK" w:eastAsia="方正仿宋_GBK" w:cs="方正仿宋_GBK"/>
          <w:kern w:val="0"/>
          <w:sz w:val="32"/>
          <w:szCs w:val="32"/>
        </w:rPr>
      </w:pPr>
      <w:r>
        <w:rPr>
          <w:rFonts w:hint="default" w:ascii="Times New Roman" w:hAnsi="Times New Roman" w:eastAsia="方正仿宋_GBK" w:cs="Times New Roman"/>
          <w:sz w:val="32"/>
          <w:szCs w:val="32"/>
          <w:lang w:val="en-US" w:eastAsia="zh-CN"/>
        </w:rPr>
        <w:t>（6）</w:t>
      </w:r>
      <w:r>
        <w:rPr>
          <w:rFonts w:hint="eastAsia" w:ascii="方正仿宋_GBK" w:hAnsi="方正仿宋_GBK" w:eastAsia="方正仿宋_GBK" w:cs="方正仿宋_GBK"/>
          <w:i w:val="0"/>
          <w:iCs w:val="0"/>
          <w:caps w:val="0"/>
          <w:spacing w:val="0"/>
          <w:kern w:val="0"/>
          <w:sz w:val="32"/>
          <w:szCs w:val="32"/>
          <w:shd w:val="clear" w:fill="FFFFFF"/>
        </w:rPr>
        <w:t>负责提出全区宣传思想文化事业发展规划；按照区委的统一工作部署，协调宣传系统各部门之间的关系。</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val="0"/>
        <w:spacing w:before="0" w:beforeAutospacing="0" w:after="0" w:afterAutospacing="0" w:line="594" w:lineRule="exact"/>
        <w:ind w:left="0" w:right="0" w:firstLine="640" w:firstLineChars="200"/>
        <w:jc w:val="both"/>
        <w:rPr>
          <w:rFonts w:hint="eastAsia" w:ascii="方正仿宋_GBK" w:hAnsi="方正仿宋_GBK" w:eastAsia="方正仿宋_GBK" w:cs="方正仿宋_GBK"/>
          <w:i w:val="0"/>
          <w:iCs w:val="0"/>
          <w:caps w:val="0"/>
          <w:spacing w:val="0"/>
          <w:kern w:val="0"/>
          <w:sz w:val="32"/>
          <w:szCs w:val="32"/>
          <w:shd w:val="clear" w:fill="FFFFFF"/>
        </w:rPr>
      </w:pPr>
      <w:r>
        <w:rPr>
          <w:rFonts w:hint="default" w:ascii="Times New Roman" w:hAnsi="Times New Roman" w:eastAsia="方正仿宋_GBK" w:cs="Times New Roman"/>
          <w:sz w:val="32"/>
          <w:szCs w:val="32"/>
          <w:lang w:val="en-US" w:eastAsia="zh-CN"/>
        </w:rPr>
        <w:t>（7）</w:t>
      </w:r>
      <w:r>
        <w:rPr>
          <w:rFonts w:hint="eastAsia" w:ascii="方正仿宋_GBK" w:hAnsi="方正仿宋_GBK" w:eastAsia="方正仿宋_GBK" w:cs="方正仿宋_GBK"/>
          <w:i w:val="0"/>
          <w:iCs w:val="0"/>
          <w:caps w:val="0"/>
          <w:spacing w:val="0"/>
          <w:kern w:val="0"/>
          <w:sz w:val="32"/>
          <w:szCs w:val="32"/>
          <w:shd w:val="clear" w:fill="FFFFFF"/>
        </w:rPr>
        <w:t>完成市委宣传部及区委交办的其他任务。</w:t>
      </w:r>
    </w:p>
    <w:p>
      <w:pPr>
        <w:spacing w:line="596"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2. 单位构成</w:t>
      </w:r>
    </w:p>
    <w:p>
      <w:pPr>
        <w:spacing w:line="596"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中共重庆市璧山区委宣传部为正处级，列区委工作机关序列。内设机构设7个，分别是：办公室、理论科、新闻科、宣传教育科、精神文明科、文化艺术科、出版电影科，内设机构为正科级。</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val="0"/>
        <w:spacing w:before="0" w:beforeAutospacing="0" w:after="0" w:afterAutospacing="0" w:line="594" w:lineRule="exact"/>
        <w:ind w:left="0" w:right="0" w:firstLine="640" w:firstLineChars="200"/>
        <w:jc w:val="both"/>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i w:val="0"/>
          <w:iCs w:val="0"/>
          <w:caps w:val="0"/>
          <w:spacing w:val="0"/>
          <w:kern w:val="0"/>
          <w:sz w:val="32"/>
          <w:szCs w:val="32"/>
          <w:shd w:val="clear" w:fill="FFFFFF"/>
        </w:rPr>
        <w:t>代管参公事业单位1个：重庆市璧山区社会科学界联合会（未独立核算）；财政全额拨款正处级事业单位1个：重庆市璧山区文化艺术界联合会（未独立核算）；下设财政全额拨款正科级事业单位1个：重庆市璧山区新时代文明实践指导中心（未独立核算）。</w:t>
      </w:r>
    </w:p>
    <w:p>
      <w:pPr>
        <w:numPr>
          <w:ilvl w:val="0"/>
          <w:numId w:val="1"/>
        </w:numPr>
        <w:spacing w:line="596"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人员编制情况</w:t>
      </w:r>
    </w:p>
    <w:p>
      <w:pPr>
        <w:spacing w:line="596"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行政编制12名。其中：部长1名（由区领导兼任），副部长3名（其中，常务副部长1名，按正处级配备）。内设机构负责人职数7名（正职）</w:t>
      </w:r>
      <w:r>
        <w:rPr>
          <w:rFonts w:hint="eastAsia" w:eastAsia="方正仿宋_GBK" w:cs="Times New Roman"/>
          <w:sz w:val="32"/>
          <w:szCs w:val="32"/>
          <w:lang w:val="en-US" w:eastAsia="zh-CN"/>
        </w:rPr>
        <w:t>。</w:t>
      </w:r>
    </w:p>
    <w:p>
      <w:pPr>
        <w:spacing w:line="596" w:lineRule="exact"/>
        <w:ind w:firstLine="640" w:firstLineChars="200"/>
        <w:rPr>
          <w:rFonts w:hint="default" w:ascii="Times New Roman" w:hAnsi="Times New Roman" w:eastAsia="方正仿宋_GBK" w:cs="Times New Roman"/>
          <w:sz w:val="32"/>
          <w:szCs w:val="32"/>
          <w:highlight w:val="yellow"/>
        </w:rPr>
      </w:pPr>
      <w:r>
        <w:rPr>
          <w:rFonts w:hint="default" w:ascii="Times New Roman" w:hAnsi="Times New Roman" w:eastAsia="方正仿宋_GBK" w:cs="Times New Roman"/>
          <w:sz w:val="32"/>
          <w:szCs w:val="32"/>
          <w:highlight w:val="none"/>
        </w:rPr>
        <w:t>（二）预算及支出情况</w:t>
      </w:r>
    </w:p>
    <w:p>
      <w:pPr>
        <w:spacing w:line="596"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2021年度，我单位财政拨款收入45</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781</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427.74元，其中，一般公共预算财政拨款收入33</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566</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627.74元，政府性基金预算财政拨款收入12</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214</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800.00元；</w:t>
      </w:r>
      <w:r>
        <w:rPr>
          <w:rFonts w:hint="eastAsia" w:ascii="Times New Roman" w:hAnsi="Times New Roman" w:eastAsia="方正仿宋_GBK" w:cs="Times New Roman"/>
          <w:sz w:val="32"/>
          <w:szCs w:val="32"/>
          <w:highlight w:val="none"/>
          <w:lang w:val="en-US" w:eastAsia="zh-CN"/>
        </w:rPr>
        <w:t>截至</w:t>
      </w:r>
      <w:r>
        <w:rPr>
          <w:rFonts w:hint="default" w:ascii="Times New Roman" w:hAnsi="Times New Roman" w:eastAsia="方正仿宋_GBK" w:cs="Times New Roman"/>
          <w:sz w:val="32"/>
          <w:szCs w:val="32"/>
          <w:highlight w:val="none"/>
          <w:lang w:val="en-US" w:eastAsia="zh-CN"/>
        </w:rPr>
        <w:t>2021年12月31日，单位支出共计45</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781</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427.74元，其中，基本支出8</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593</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875.50元，项目支出37</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187</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552.24元。</w:t>
      </w:r>
    </w:p>
    <w:p>
      <w:pPr>
        <w:spacing w:line="59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二、绩效评价基本情况</w:t>
      </w:r>
    </w:p>
    <w:p>
      <w:pPr>
        <w:spacing w:line="59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（一）绩效评价目的</w:t>
      </w:r>
    </w:p>
    <w:p>
      <w:pPr>
        <w:spacing w:line="596"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通过开展2021年部门整体支出绩效自评、项目自评工作，规范财政资金管理，进一步增强本单位支出管理的责任，优化支出结构，提升预算管理水平，加强财政资金管理，合理、规范、有效使用财政资金，保障更好地履行职责，以达到改进预算管理、优化资源配置、控制节约成本、提高公共服务质量和财政资金使用效益，充分发挥本单位的职能作用。</w:t>
      </w:r>
    </w:p>
    <w:p>
      <w:pPr>
        <w:spacing w:line="59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（二）绩效评价原则</w:t>
      </w:r>
    </w:p>
    <w:p>
      <w:pPr>
        <w:spacing w:line="596"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highlight w:val="none"/>
          <w:lang w:val="en-US" w:eastAsia="zh-CN"/>
        </w:rPr>
        <w:t xml:space="preserve">1. </w:t>
      </w:r>
      <w:r>
        <w:rPr>
          <w:rFonts w:hint="default" w:ascii="Times New Roman" w:hAnsi="Times New Roman" w:eastAsia="仿宋_GB2312" w:cs="Times New Roman"/>
          <w:bCs/>
          <w:sz w:val="32"/>
          <w:szCs w:val="32"/>
          <w:highlight w:val="none"/>
        </w:rPr>
        <w:t>科</w:t>
      </w:r>
      <w:r>
        <w:rPr>
          <w:rFonts w:hint="default" w:ascii="Times New Roman" w:hAnsi="Times New Roman" w:eastAsia="仿宋_GB2312" w:cs="Times New Roman"/>
          <w:bCs/>
          <w:sz w:val="32"/>
          <w:szCs w:val="32"/>
        </w:rPr>
        <w:t>学规范原则。绩效评价应当严格执行规定的程序，按照科学可行的要求，采用定量与定性分析相结合的方法。</w:t>
      </w:r>
    </w:p>
    <w:p>
      <w:pPr>
        <w:spacing w:line="596"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 xml:space="preserve">2. </w:t>
      </w:r>
      <w:r>
        <w:rPr>
          <w:rFonts w:hint="default" w:ascii="Times New Roman" w:hAnsi="Times New Roman" w:eastAsia="仿宋_GB2312" w:cs="Times New Roman"/>
          <w:bCs/>
          <w:sz w:val="32"/>
          <w:szCs w:val="32"/>
        </w:rPr>
        <w:t>公正公开原则。绩效评价应当符合真实、客观、公正的要求，依法公开并接受监督。</w:t>
      </w:r>
    </w:p>
    <w:p>
      <w:pPr>
        <w:spacing w:line="596"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 xml:space="preserve">3. </w:t>
      </w:r>
      <w:r>
        <w:rPr>
          <w:rFonts w:hint="default" w:ascii="Times New Roman" w:hAnsi="Times New Roman" w:eastAsia="仿宋_GB2312" w:cs="Times New Roman"/>
          <w:bCs/>
          <w:sz w:val="32"/>
          <w:szCs w:val="32"/>
        </w:rPr>
        <w:t>绩效相关原则。绩效评价应当针对具体支出及其产出绩效进行，评价结果应当清晰反映支出和产出绩效之间的紧密对应关系。</w:t>
      </w:r>
    </w:p>
    <w:p>
      <w:pPr>
        <w:spacing w:line="59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（三）绩效评价工作过程</w:t>
      </w:r>
    </w:p>
    <w:p>
      <w:pPr>
        <w:spacing w:line="596"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1. 前期准备</w:t>
      </w:r>
    </w:p>
    <w:p>
      <w:pPr>
        <w:spacing w:line="596"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我单位接收到《重庆市璧山区财政局关于开展2021年度绩效自评工作的通知》（璧财绩〔2022〕2号）文件后，对文件内容及相关附件进行解读，了解2021年绩效自评工作相关要求，布置相关工作任务。</w:t>
      </w:r>
    </w:p>
    <w:p>
      <w:pPr>
        <w:numPr>
          <w:ilvl w:val="0"/>
          <w:numId w:val="2"/>
        </w:numPr>
        <w:spacing w:line="596"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组织实施</w:t>
      </w:r>
    </w:p>
    <w:p>
      <w:pPr>
        <w:spacing w:line="596"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我单位2021度绩效自评工作由办公室牵头组织实施，负责梳理财务数据，</w:t>
      </w:r>
      <w:r>
        <w:rPr>
          <w:rFonts w:hint="eastAsia" w:eastAsia="方正仿宋_GBK" w:cs="Times New Roman"/>
          <w:sz w:val="32"/>
          <w:szCs w:val="32"/>
          <w:lang w:val="en-US" w:eastAsia="zh-CN"/>
        </w:rPr>
        <w:t>汇总项目自评表，填写部门整体绩效自评表，</w:t>
      </w:r>
      <w:r>
        <w:rPr>
          <w:rFonts w:hint="default" w:ascii="Times New Roman" w:hAnsi="Times New Roman" w:eastAsia="方正仿宋_GBK" w:cs="Times New Roman"/>
          <w:sz w:val="32"/>
          <w:szCs w:val="32"/>
          <w:lang w:val="en-US" w:eastAsia="zh-CN"/>
        </w:rPr>
        <w:t>出具整体自评报告，各业务科室项目经办人负责</w:t>
      </w:r>
      <w:r>
        <w:rPr>
          <w:rFonts w:hint="eastAsia" w:eastAsia="方正仿宋_GBK" w:cs="Times New Roman"/>
          <w:sz w:val="32"/>
          <w:szCs w:val="32"/>
          <w:lang w:val="en-US" w:eastAsia="zh-CN"/>
        </w:rPr>
        <w:t>整理</w:t>
      </w:r>
      <w:r>
        <w:rPr>
          <w:rFonts w:hint="default" w:ascii="Times New Roman" w:hAnsi="Times New Roman" w:eastAsia="方正仿宋_GBK" w:cs="Times New Roman"/>
          <w:sz w:val="32"/>
          <w:szCs w:val="32"/>
          <w:lang w:val="en-US" w:eastAsia="zh-CN"/>
        </w:rPr>
        <w:t>项目执行过程资料，包括但不限于工作</w:t>
      </w:r>
      <w:r>
        <w:rPr>
          <w:rFonts w:hint="default" w:ascii="Times New Roman" w:hAnsi="Times New Roman" w:eastAsia="方正仿宋_GBK" w:cs="Times New Roman"/>
          <w:sz w:val="32"/>
          <w:szCs w:val="32"/>
          <w:lang w:eastAsia="zh-CN"/>
        </w:rPr>
        <w:t>计划、实施方案、</w:t>
      </w:r>
      <w:r>
        <w:rPr>
          <w:rFonts w:hint="default" w:ascii="Times New Roman" w:hAnsi="Times New Roman" w:eastAsia="方正仿宋_GBK" w:cs="Times New Roman"/>
          <w:sz w:val="32"/>
          <w:szCs w:val="32"/>
          <w:lang w:val="en-US" w:eastAsia="zh-CN"/>
        </w:rPr>
        <w:t>绩效目标、验收资料、合同等资料</w:t>
      </w:r>
      <w:r>
        <w:rPr>
          <w:rFonts w:hint="eastAsia" w:eastAsia="方正仿宋_GBK" w:cs="Times New Roman"/>
          <w:sz w:val="32"/>
          <w:szCs w:val="32"/>
          <w:lang w:val="en-US" w:eastAsia="zh-CN"/>
        </w:rPr>
        <w:t>，提取指标数据，填写项目绩效自评表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各科室项目负责人和单位领导负责审核自评表单及自评报告反映数据的真实性、准确性。</w:t>
      </w:r>
    </w:p>
    <w:p>
      <w:pPr>
        <w:numPr>
          <w:ilvl w:val="0"/>
          <w:numId w:val="2"/>
        </w:numPr>
        <w:spacing w:line="596" w:lineRule="exact"/>
        <w:ind w:left="0" w:leftChars="0"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分析评价</w:t>
      </w:r>
    </w:p>
    <w:p>
      <w:pPr>
        <w:spacing w:line="596"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办公室将各项目和部门整体绩效自评结果告知相关业务科室，科室内部对自评评分较差或完成情况未达到既定目标的项目进行分析评价，总结项目经验，提高工作执行效率。</w:t>
      </w:r>
    </w:p>
    <w:p>
      <w:pPr>
        <w:spacing w:line="596" w:lineRule="exact"/>
        <w:ind w:firstLine="640" w:firstLineChars="200"/>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三、绩效评价情况及结论</w:t>
      </w:r>
    </w:p>
    <w:p>
      <w:pPr>
        <w:spacing w:line="596"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绩效评价情况</w:t>
      </w:r>
    </w:p>
    <w:p>
      <w:pPr>
        <w:spacing w:line="596"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 预算执行率（10分）</w:t>
      </w:r>
    </w:p>
    <w:p>
      <w:pPr>
        <w:spacing w:line="596"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2021年度，我单位年初预算为44</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570</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711.46元，预算调整数为45</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781</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427.74元，实际支出45</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781</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427.74元，预算执行率达100%。该指标绩效评价综合得分10分。</w:t>
      </w:r>
    </w:p>
    <w:p>
      <w:pPr>
        <w:numPr>
          <w:ilvl w:val="0"/>
          <w:numId w:val="3"/>
        </w:numPr>
        <w:spacing w:line="596"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三公经费控制有效性（10分）</w:t>
      </w:r>
    </w:p>
    <w:p>
      <w:pPr>
        <w:spacing w:line="596"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2021年度，我单位三公经费预算数为330</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000.00元，其中，公务车购置及运行维护费120</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000.00元，公务接待费210</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000.00元；</w:t>
      </w:r>
      <w:r>
        <w:rPr>
          <w:rFonts w:hint="eastAsia" w:ascii="Times New Roman" w:hAnsi="Times New Roman" w:eastAsia="方正仿宋_GBK" w:cs="Times New Roman"/>
          <w:sz w:val="32"/>
          <w:szCs w:val="32"/>
          <w:lang w:val="en-US" w:eastAsia="zh-CN"/>
        </w:rPr>
        <w:t>截止</w:t>
      </w:r>
      <w:r>
        <w:rPr>
          <w:rFonts w:hint="default" w:ascii="Times New Roman" w:hAnsi="Times New Roman" w:eastAsia="方正仿宋_GBK" w:cs="Times New Roman"/>
          <w:sz w:val="32"/>
          <w:szCs w:val="32"/>
          <w:lang w:val="en-US" w:eastAsia="zh-CN"/>
        </w:rPr>
        <w:t>2021年12月31日，我单位共计使用三公经费98</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326.74元，其中，公务车购置及运行维护费34</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001.54元，公务接待费64</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325.20元。2021年我单位三公经费较上年减少20</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149.12元，主要原因系疫情使用公车外出减少，总体看来，2021年度，我单位三公经费使用控制情况较好，该指标绩效评价综合得分10分。</w:t>
      </w:r>
    </w:p>
    <w:p>
      <w:pPr>
        <w:numPr>
          <w:ilvl w:val="0"/>
          <w:numId w:val="3"/>
        </w:numPr>
        <w:spacing w:line="596" w:lineRule="exact"/>
        <w:ind w:left="0" w:leftChars="0"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对外宣传工作完成情况（20分）</w:t>
      </w:r>
    </w:p>
    <w:p>
      <w:pPr>
        <w:adjustRightInd w:val="0"/>
        <w:snapToGrid w:val="0"/>
        <w:spacing w:line="594" w:lineRule="exact"/>
        <w:ind w:firstLine="640" w:firstLineChars="200"/>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sz w:val="32"/>
          <w:szCs w:val="32"/>
          <w:lang w:val="en-US" w:eastAsia="zh-CN"/>
        </w:rPr>
        <w:t>2021年度，我单位积极开展对外宣传工作，在机制建立健全方面，</w:t>
      </w:r>
      <w:r>
        <w:rPr>
          <w:rFonts w:hint="default" w:ascii="Times New Roman" w:hAnsi="Times New Roman" w:eastAsia="方正仿宋_GBK" w:cs="Times New Roman"/>
          <w:sz w:val="32"/>
          <w:szCs w:val="32"/>
          <w:shd w:val="clear" w:color="auto" w:fill="FFFFFF"/>
        </w:rPr>
        <w:t>建立全区外宣工作联席会议机制，</w:t>
      </w:r>
      <w:r>
        <w:rPr>
          <w:rFonts w:hint="default" w:ascii="Times New Roman" w:hAnsi="Times New Roman" w:eastAsia="方正仿宋_GBK" w:cs="Times New Roman"/>
          <w:sz w:val="32"/>
          <w:szCs w:val="32"/>
        </w:rPr>
        <w:t>形成区委统一领导，宣传部门牵头，统战、外事、教育、商贸等部门联动的外宣格局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在对外文化交流方面，</w:t>
      </w:r>
      <w:r>
        <w:rPr>
          <w:rFonts w:hint="default" w:ascii="Times New Roman" w:hAnsi="Times New Roman" w:eastAsia="方正仿宋_GBK" w:cs="Times New Roman"/>
          <w:sz w:val="32"/>
          <w:szCs w:val="32"/>
        </w:rPr>
        <w:t>开展</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老外爱上渝菜</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系列对外文化交流活动，承办</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2021全国重点网络媒体重庆行</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2021年重庆客户端集群联盟大会</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中央大型融媒体活动《百年白城》</w:t>
      </w:r>
      <w:r>
        <w:rPr>
          <w:rFonts w:hint="default" w:ascii="Times New Roman" w:hAnsi="Times New Roman" w:eastAsia="方正仿宋_GBK" w:cs="Times New Roman"/>
          <w:sz w:val="32"/>
          <w:szCs w:val="32"/>
        </w:rPr>
        <w:t>等重大外宣活动，参与央视</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走进乡村看小康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栏目录制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在主流媒体运用方面，</w:t>
      </w:r>
      <w:r>
        <w:rPr>
          <w:rFonts w:hint="default" w:ascii="Times New Roman" w:hAnsi="Times New Roman" w:eastAsia="方正仿宋_GBK" w:cs="Times New Roman"/>
          <w:sz w:val="32"/>
          <w:szCs w:val="32"/>
        </w:rPr>
        <w:t>印发</w:t>
      </w:r>
      <w:r>
        <w:rPr>
          <w:rFonts w:hint="default" w:ascii="Times New Roman" w:hAnsi="Times New Roman" w:eastAsia="方正仿宋_GBK" w:cs="Times New Roman"/>
          <w:sz w:val="32"/>
          <w:szCs w:val="32"/>
          <w:shd w:val="clear" w:color="auto" w:fill="FFFFFF"/>
        </w:rPr>
        <w:t>《行政机关新闻发布工作办法》，</w:t>
      </w:r>
      <w:r>
        <w:rPr>
          <w:rFonts w:hint="default" w:ascii="Times New Roman" w:hAnsi="Times New Roman" w:eastAsia="方正仿宋_GBK" w:cs="Times New Roman"/>
          <w:sz w:val="32"/>
          <w:szCs w:val="32"/>
        </w:rPr>
        <w:t>积极构建新闻发布</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工作发布——舆论引导——问题解决反馈</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闭环管理格局；全市</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发言人来了——我为群众办实事</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新闻发布活动观摩推进会在璧召开；组织</w:t>
      </w:r>
      <w:r>
        <w:rPr>
          <w:rFonts w:hint="default" w:ascii="Times New Roman" w:hAnsi="Times New Roman" w:eastAsia="方正仿宋_GBK" w:cs="Times New Roman"/>
          <w:color w:val="000000"/>
          <w:sz w:val="32"/>
          <w:szCs w:val="32"/>
          <w:shd w:val="clear" w:color="auto" w:fill="FFFFFF"/>
        </w:rPr>
        <w:t>新闻发布会</w:t>
      </w:r>
      <w:r>
        <w:rPr>
          <w:rFonts w:hint="default" w:ascii="Times New Roman" w:hAnsi="Times New Roman" w:eastAsia="方正仿宋_GBK" w:cs="Times New Roman"/>
          <w:sz w:val="32"/>
          <w:szCs w:val="32"/>
        </w:rPr>
        <w:t>9</w:t>
      </w:r>
      <w:r>
        <w:rPr>
          <w:rFonts w:hint="default" w:ascii="Times New Roman" w:hAnsi="Times New Roman" w:eastAsia="方正仿宋_GBK" w:cs="Times New Roman"/>
          <w:color w:val="000000"/>
          <w:sz w:val="32"/>
          <w:szCs w:val="32"/>
          <w:shd w:val="clear" w:color="auto" w:fill="FFFFFF"/>
        </w:rPr>
        <w:t>场、</w:t>
      </w:r>
      <w:r>
        <w:rPr>
          <w:rFonts w:hint="eastAsia"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发言人来了</w:t>
      </w:r>
      <w:r>
        <w:rPr>
          <w:rFonts w:hint="eastAsia"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活动</w:t>
      </w:r>
      <w:r>
        <w:rPr>
          <w:rFonts w:hint="default" w:ascii="Times New Roman" w:hAnsi="Times New Roman" w:eastAsia="方正仿宋_GBK" w:cs="Times New Roman"/>
          <w:sz w:val="32"/>
          <w:szCs w:val="32"/>
        </w:rPr>
        <w:t>7</w:t>
      </w:r>
      <w:r>
        <w:rPr>
          <w:rFonts w:hint="default" w:ascii="Times New Roman" w:hAnsi="Times New Roman" w:eastAsia="方正仿宋_GBK" w:cs="Times New Roman"/>
          <w:color w:val="000000"/>
          <w:sz w:val="32"/>
          <w:szCs w:val="32"/>
          <w:shd w:val="clear" w:color="auto" w:fill="FFFFFF"/>
        </w:rPr>
        <w:t>场。</w:t>
      </w:r>
      <w:r>
        <w:rPr>
          <w:rFonts w:hint="default" w:ascii="Times New Roman" w:hAnsi="Times New Roman" w:eastAsia="方正仿宋_GBK" w:cs="Times New Roman"/>
          <w:color w:val="000000"/>
          <w:sz w:val="32"/>
          <w:szCs w:val="32"/>
          <w:shd w:val="clear" w:color="auto" w:fill="FFFFFF"/>
          <w:lang w:val="en-US" w:eastAsia="zh-CN"/>
        </w:rPr>
        <w:t>总体看来，我单位2021年度外宣工作开展情况较好，该指标绩效评价综合得分18分。</w:t>
      </w:r>
    </w:p>
    <w:p>
      <w:pPr>
        <w:numPr>
          <w:ilvl w:val="0"/>
          <w:numId w:val="3"/>
        </w:numPr>
        <w:spacing w:line="596" w:lineRule="exact"/>
        <w:ind w:left="0" w:leftChars="0"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庆祝中国共产党成立100周年活动完成率（10分）</w:t>
      </w:r>
    </w:p>
    <w:p>
      <w:pPr>
        <w:adjustRightInd w:val="0"/>
        <w:snapToGrid w:val="0"/>
        <w:spacing w:line="594"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2021年度，我单位精心做好庆祝中国共产党成立100周年各项工作，如：通过开展研讨会、刊发文章、发布公益广告、征集征文、开展主题宣讲等形式推进党史教育和社会宣传工作。此外，还</w:t>
      </w:r>
      <w:r>
        <w:rPr>
          <w:rFonts w:hint="default" w:ascii="Times New Roman" w:hAnsi="Times New Roman" w:eastAsia="方正仿宋_GBK" w:cs="Times New Roman"/>
          <w:sz w:val="32"/>
          <w:szCs w:val="32"/>
        </w:rPr>
        <w:t>开展党的十九届六中全会精神</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六进</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文艺宣传11场、文化进万家、送文化进基层活动660余场；创作党建题材歌曲17首、红色广播剧3部、纪实文学1篇、电视短剧10集；伊莎白与璧山</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世纪情缘</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系列文艺创作被市文联评为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十佳创新工作</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，书法作品《建党百年》获市第二十届美术书法摄影联展一等奖。</w:t>
      </w:r>
      <w:r>
        <w:rPr>
          <w:rFonts w:hint="default" w:ascii="Times New Roman" w:hAnsi="Times New Roman" w:eastAsia="方正仿宋_GBK" w:cs="Times New Roman"/>
          <w:sz w:val="32"/>
          <w:szCs w:val="32"/>
          <w:lang w:val="en-US" w:eastAsia="zh-CN"/>
        </w:rPr>
        <w:t>总体看来，2021年，单位庆祝中国共产党成立100周年活动完成率达95%以上，达到年初制定的绩效目标，该指标绩效评价综合得分10分。</w:t>
      </w:r>
    </w:p>
    <w:p>
      <w:pPr>
        <w:numPr>
          <w:ilvl w:val="0"/>
          <w:numId w:val="3"/>
        </w:numPr>
        <w:spacing w:line="596" w:lineRule="exact"/>
        <w:ind w:left="0" w:leftChars="0"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区委中心组日常学习次数（10分）</w:t>
      </w:r>
    </w:p>
    <w:p>
      <w:pPr>
        <w:spacing w:line="596"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2021年度，我单位组织区委中心组集中学习14次，</w:t>
      </w:r>
      <w:r>
        <w:rPr>
          <w:rFonts w:hint="default" w:ascii="Times New Roman" w:hAnsi="Times New Roman" w:eastAsia="方正仿宋_GBK" w:cs="Times New Roman"/>
          <w:sz w:val="32"/>
          <w:szCs w:val="32"/>
        </w:rPr>
        <w:t>镇街部门党委（党组）中心组学习900余次，讲专题党课356次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达到目标值，该指标绩效评价综合得分10分。</w:t>
      </w:r>
    </w:p>
    <w:p>
      <w:pPr>
        <w:numPr>
          <w:ilvl w:val="0"/>
          <w:numId w:val="3"/>
        </w:numPr>
        <w:spacing w:line="596" w:lineRule="exact"/>
        <w:ind w:left="0" w:leftChars="0"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全国文明城区系列创建系列活动、考核场次数（1</w:t>
      </w:r>
      <w:r>
        <w:rPr>
          <w:rFonts w:hint="eastAsia"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分）</w:t>
      </w:r>
    </w:p>
    <w:p>
      <w:pPr>
        <w:spacing w:line="596"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2021年度，</w:t>
      </w:r>
      <w:r>
        <w:rPr>
          <w:rFonts w:hint="default" w:ascii="Times New Roman" w:hAnsi="Times New Roman" w:eastAsia="方正仿宋_GBK" w:cs="Times New Roman"/>
          <w:sz w:val="32"/>
          <w:szCs w:val="32"/>
        </w:rPr>
        <w:t>成功创建全国文明城区提名城区；</w:t>
      </w:r>
      <w:r>
        <w:rPr>
          <w:rFonts w:hint="default" w:ascii="Times New Roman" w:hAnsi="Times New Roman" w:eastAsia="方正仿宋_GBK" w:cs="Times New Roman"/>
          <w:kern w:val="0"/>
          <w:sz w:val="32"/>
          <w:szCs w:val="32"/>
        </w:rPr>
        <w:t>获评市级文明村镇4个、文明单位4家、文明家庭2户、文明校园3所、文明风景区1家；</w:t>
      </w:r>
      <w:r>
        <w:rPr>
          <w:rFonts w:hint="default" w:ascii="Times New Roman" w:hAnsi="Times New Roman" w:eastAsia="方正仿宋_GBK" w:cs="Times New Roman"/>
          <w:bCs/>
          <w:sz w:val="32"/>
          <w:szCs w:val="32"/>
        </w:rPr>
        <w:t>开展</w:t>
      </w:r>
      <w:r>
        <w:rPr>
          <w:rFonts w:hint="default" w:ascii="Times New Roman" w:hAnsi="Times New Roman" w:eastAsia="方正仿宋_GBK" w:cs="Times New Roman"/>
          <w:sz w:val="32"/>
          <w:szCs w:val="32"/>
        </w:rPr>
        <w:t>《重庆市文明行为促进条例》宣传活动80余场次；获评</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文明在行动·满意在重庆</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岗位服务明星6人。</w:t>
      </w:r>
      <w:r>
        <w:rPr>
          <w:rFonts w:hint="default" w:ascii="Times New Roman" w:hAnsi="Times New Roman" w:eastAsia="方正仿宋_GBK" w:cs="Times New Roman"/>
          <w:sz w:val="32"/>
          <w:szCs w:val="32"/>
          <w:lang w:val="en-US" w:eastAsia="zh-CN"/>
        </w:rPr>
        <w:t>达到目标设定数值，该指标绩效评价综合得分1</w:t>
      </w:r>
      <w:r>
        <w:rPr>
          <w:rFonts w:hint="eastAsia"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分。</w:t>
      </w:r>
    </w:p>
    <w:p>
      <w:pPr>
        <w:numPr>
          <w:ilvl w:val="0"/>
          <w:numId w:val="3"/>
        </w:numPr>
        <w:spacing w:line="596" w:lineRule="exact"/>
        <w:ind w:left="0" w:leftChars="0"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形象品牌推广、媒体战略合作宣传推介覆盖率（15分）</w:t>
      </w:r>
    </w:p>
    <w:p>
      <w:pPr>
        <w:spacing w:line="596"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2021年度，我单位积极开展形象品牌推广、媒体战略合作宣传推介工作，</w:t>
      </w:r>
      <w:r>
        <w:rPr>
          <w:rFonts w:hint="default" w:ascii="Times New Roman" w:hAnsi="Times New Roman" w:eastAsia="方正仿宋_GBK" w:cs="Times New Roman"/>
          <w:sz w:val="32"/>
          <w:szCs w:val="32"/>
        </w:rPr>
        <w:t>打造</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一村一品</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文化活动品牌10个</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举办文旅品牌活动15场次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总体看来，形象品牌推广、媒体战略合作宣传推介覆盖率达95%以上，该指标绩效评价综合得分15分。</w:t>
      </w:r>
    </w:p>
    <w:p>
      <w:pPr>
        <w:numPr>
          <w:ilvl w:val="0"/>
          <w:numId w:val="3"/>
        </w:numPr>
        <w:spacing w:line="596" w:lineRule="exact"/>
        <w:ind w:left="0" w:leftChars="0"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宣教比赛、活动场次数（10分）</w:t>
      </w:r>
    </w:p>
    <w:p>
      <w:pPr>
        <w:spacing w:line="596"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2021年度，我单位大力开展各类宣教比赛，开展各项活动，总体看来，举办的宣教比赛、活动场次数超过120场，达到设定的绩效目标，该指标绩效评价综合得分10分。</w:t>
      </w:r>
    </w:p>
    <w:p>
      <w:pPr>
        <w:spacing w:line="596"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绩效评价结论</w:t>
      </w:r>
    </w:p>
    <w:p>
      <w:pPr>
        <w:spacing w:line="59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本次绩效评价综合得分</w:t>
      </w:r>
      <w:r>
        <w:rPr>
          <w:rFonts w:hint="default" w:ascii="Times New Roman" w:hAnsi="Times New Roman" w:eastAsia="方正仿宋_GBK" w:cs="Times New Roman"/>
          <w:sz w:val="32"/>
          <w:szCs w:val="32"/>
          <w:lang w:val="en-US" w:eastAsia="zh-CN"/>
        </w:rPr>
        <w:t>98</w:t>
      </w:r>
      <w:r>
        <w:rPr>
          <w:rFonts w:hint="default" w:ascii="Times New Roman" w:hAnsi="Times New Roman" w:eastAsia="方正仿宋_GBK" w:cs="Times New Roman"/>
          <w:sz w:val="32"/>
          <w:szCs w:val="32"/>
        </w:rPr>
        <w:t>分，绩效评价等级为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优</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w:t>
      </w:r>
    </w:p>
    <w:p>
      <w:pPr>
        <w:numPr>
          <w:ilvl w:val="0"/>
          <w:numId w:val="4"/>
        </w:numPr>
        <w:spacing w:line="596" w:lineRule="exact"/>
        <w:ind w:firstLine="640" w:firstLineChars="200"/>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主要经验及做法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left"/>
        <w:textAlignment w:val="center"/>
        <w:rPr>
          <w:rFonts w:hint="default" w:ascii="Times New Roman" w:hAnsi="Times New Roman" w:eastAsia="仿宋" w:cs="Times New Roman"/>
          <w:i w:val="0"/>
          <w:iCs w:val="0"/>
          <w:caps w:val="0"/>
          <w:color w:val="333333"/>
          <w:spacing w:val="0"/>
          <w:kern w:val="0"/>
          <w:sz w:val="32"/>
          <w:szCs w:val="32"/>
          <w:shd w:val="clear" w:fill="FFFFFF"/>
          <w:lang w:val="en-US" w:eastAsia="zh-CN" w:bidi="ar"/>
        </w:rPr>
      </w:pPr>
      <w:r>
        <w:rPr>
          <w:rFonts w:hint="default" w:ascii="Times New Roman" w:hAnsi="Times New Roman" w:eastAsia="仿宋" w:cs="Times New Roman"/>
          <w:i w:val="0"/>
          <w:iCs w:val="0"/>
          <w:caps w:val="0"/>
          <w:color w:val="333333"/>
          <w:spacing w:val="0"/>
          <w:kern w:val="0"/>
          <w:sz w:val="32"/>
          <w:szCs w:val="32"/>
          <w:shd w:val="clear" w:fill="FFFFFF"/>
          <w:lang w:val="en-US" w:eastAsia="zh-CN" w:bidi="ar"/>
        </w:rPr>
        <w:t>通过开展2021年绩效自评工作，总结了以下经验：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left"/>
        <w:textAlignment w:val="center"/>
        <w:rPr>
          <w:rFonts w:hint="default" w:ascii="Times New Roman" w:hAnsi="Times New Roman" w:eastAsia="宋体" w:cs="Times New Roman"/>
          <w:i w:val="0"/>
          <w:iCs w:val="0"/>
          <w:caps w:val="0"/>
          <w:color w:val="333333"/>
          <w:spacing w:val="0"/>
          <w:sz w:val="16"/>
          <w:szCs w:val="16"/>
        </w:rPr>
      </w:pPr>
      <w:r>
        <w:rPr>
          <w:rFonts w:hint="default" w:ascii="Times New Roman" w:hAnsi="Times New Roman" w:eastAsia="仿宋" w:cs="Times New Roman"/>
          <w:i w:val="0"/>
          <w:iCs w:val="0"/>
          <w:caps w:val="0"/>
          <w:color w:val="333333"/>
          <w:spacing w:val="0"/>
          <w:kern w:val="0"/>
          <w:sz w:val="32"/>
          <w:szCs w:val="32"/>
          <w:shd w:val="clear" w:fill="FFFFFF"/>
          <w:lang w:val="en-US" w:eastAsia="zh-CN" w:bidi="ar"/>
        </w:rPr>
        <w:t>（一）绩效管理需要从年初预算制定工作抓起，预算编制要结合本单位的事业发展计划、职责和任务，要科学合理地编制部门预算，确保部门预算编制真实、准确、完整，结合单位实际，便于预算的控制与执行。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left"/>
        <w:textAlignment w:val="center"/>
        <w:rPr>
          <w:rFonts w:hint="default" w:ascii="Times New Roman" w:hAnsi="Times New Roman" w:eastAsia="方正仿宋_GBK" w:cs="Times New Roman"/>
          <w:sz w:val="32"/>
          <w:szCs w:val="32"/>
          <w:lang w:val="en-US" w:eastAsia="zh-CN"/>
        </w:rPr>
      </w:pPr>
      <w:r>
        <w:rPr>
          <w:rFonts w:hint="default" w:ascii="Times New Roman" w:hAnsi="Times New Roman" w:eastAsia="仿宋" w:cs="Times New Roman"/>
          <w:i w:val="0"/>
          <w:iCs w:val="0"/>
          <w:caps w:val="0"/>
          <w:color w:val="333333"/>
          <w:spacing w:val="0"/>
          <w:kern w:val="0"/>
          <w:sz w:val="32"/>
          <w:szCs w:val="32"/>
          <w:shd w:val="clear" w:fill="FFFFFF"/>
          <w:lang w:val="en-US" w:eastAsia="zh-CN" w:bidi="ar"/>
        </w:rPr>
        <w:t>（二）在抓好财政支出工作的同时，要注重产出及效率，这样才能达到优化资源配置、控制节约成本、提高公共产品质量和公共服务水平的目的。要强化绩效管理考核，将绩效考核目标任务层层分解落实，签订目标管理责任状，形成</w:t>
      </w:r>
      <w:r>
        <w:rPr>
          <w:rFonts w:hint="eastAsia" w:eastAsia="仿宋"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仿宋" w:cs="Times New Roman"/>
          <w:i w:val="0"/>
          <w:iCs w:val="0"/>
          <w:caps w:val="0"/>
          <w:color w:val="333333"/>
          <w:spacing w:val="0"/>
          <w:kern w:val="0"/>
          <w:sz w:val="32"/>
          <w:szCs w:val="32"/>
          <w:shd w:val="clear" w:fill="FFFFFF"/>
          <w:lang w:val="en-US" w:eastAsia="zh-CN" w:bidi="ar"/>
        </w:rPr>
        <w:t>谁干事谁花钱，谁花钱谁担责</w:t>
      </w:r>
      <w:r>
        <w:rPr>
          <w:rFonts w:hint="eastAsia" w:eastAsia="仿宋"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仿宋" w:cs="Times New Roman"/>
          <w:i w:val="0"/>
          <w:iCs w:val="0"/>
          <w:caps w:val="0"/>
          <w:color w:val="333333"/>
          <w:spacing w:val="0"/>
          <w:kern w:val="0"/>
          <w:sz w:val="32"/>
          <w:szCs w:val="32"/>
          <w:shd w:val="clear" w:fill="FFFFFF"/>
          <w:lang w:val="en-US" w:eastAsia="zh-CN" w:bidi="ar"/>
        </w:rPr>
        <w:t>的权责机制，加强日常监管，对重点工作开展专项督查，建立健全绩效问责机制，确保各项绩效目标指标保质保量完成，提高财政资金的使用效益。</w:t>
      </w:r>
    </w:p>
    <w:p>
      <w:pPr>
        <w:spacing w:line="596" w:lineRule="exact"/>
        <w:ind w:firstLine="640" w:firstLineChars="200"/>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五、存在的问题</w:t>
      </w:r>
    </w:p>
    <w:p>
      <w:pPr>
        <w:spacing w:line="596"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单位部分工作人员对预算绩效管理认识不足，导致预算绩效管理与项目管理衔接不够紧密，预算绩效管理精细化程度还有待加强。</w:t>
      </w:r>
    </w:p>
    <w:p>
      <w:pPr>
        <w:spacing w:line="596"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六</w:t>
      </w:r>
      <w:r>
        <w:rPr>
          <w:rFonts w:hint="default" w:ascii="Times New Roman" w:hAnsi="Times New Roman" w:eastAsia="方正黑体_GBK" w:cs="Times New Roman"/>
          <w:sz w:val="32"/>
          <w:szCs w:val="32"/>
          <w:highlight w:val="none"/>
        </w:rPr>
        <w:t>、</w:t>
      </w:r>
      <w:r>
        <w:rPr>
          <w:rFonts w:hint="default" w:ascii="Times New Roman" w:hAnsi="Times New Roman" w:eastAsia="方正黑体_GBK" w:cs="Times New Roman"/>
          <w:sz w:val="32"/>
          <w:szCs w:val="32"/>
          <w:highlight w:val="none"/>
          <w:lang w:val="en-US" w:eastAsia="zh-CN"/>
        </w:rPr>
        <w:t>改进措施、建议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left"/>
        <w:textAlignment w:val="center"/>
        <w:rPr>
          <w:rFonts w:hint="default" w:ascii="Times New Roman" w:hAnsi="Times New Roman" w:eastAsia="宋体" w:cs="Times New Roman"/>
          <w:i w:val="0"/>
          <w:iCs w:val="0"/>
          <w:caps w:val="0"/>
          <w:color w:val="333333"/>
          <w:spacing w:val="0"/>
          <w:sz w:val="16"/>
          <w:szCs w:val="16"/>
        </w:rPr>
      </w:pPr>
      <w:r>
        <w:rPr>
          <w:rFonts w:hint="default" w:ascii="Times New Roman" w:hAnsi="Times New Roman" w:eastAsia="仿宋" w:cs="Times New Roman"/>
          <w:i w:val="0"/>
          <w:iCs w:val="0"/>
          <w:caps w:val="0"/>
          <w:color w:val="333333"/>
          <w:spacing w:val="0"/>
          <w:kern w:val="0"/>
          <w:sz w:val="32"/>
          <w:szCs w:val="32"/>
          <w:shd w:val="clear" w:fill="FFFFFF"/>
          <w:lang w:val="en-US" w:eastAsia="zh-CN" w:bidi="ar"/>
        </w:rPr>
        <w:t>（一）建议加强政治、业务学习，提高思想认识。组织单位人员认真学习预算绩效管理相关法规、制度，提高单位工作人员对全面预算管理的重视程度，增强预算意识，坚持先有预算、后有支出，没有预算不得支出的财政预算管理理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left"/>
        <w:textAlignment w:val="center"/>
        <w:rPr>
          <w:rFonts w:hint="default" w:ascii="Times New Roman" w:hAnsi="Times New Roman" w:eastAsia="宋体" w:cs="Times New Roman"/>
          <w:i w:val="0"/>
          <w:iCs w:val="0"/>
          <w:caps w:val="0"/>
          <w:color w:val="333333"/>
          <w:spacing w:val="0"/>
          <w:sz w:val="16"/>
          <w:szCs w:val="16"/>
        </w:rPr>
      </w:pPr>
      <w:r>
        <w:rPr>
          <w:rFonts w:hint="default" w:ascii="Times New Roman" w:hAnsi="Times New Roman" w:eastAsia="仿宋" w:cs="Times New Roman"/>
          <w:i w:val="0"/>
          <w:iCs w:val="0"/>
          <w:caps w:val="0"/>
          <w:color w:val="333333"/>
          <w:spacing w:val="0"/>
          <w:kern w:val="0"/>
          <w:sz w:val="32"/>
          <w:szCs w:val="32"/>
          <w:shd w:val="clear" w:fill="FFFFFF"/>
          <w:lang w:val="en-US" w:eastAsia="zh-CN" w:bidi="ar"/>
        </w:rPr>
        <w:t>（二）建议加强预算管理，提高预算科学性。预算编制前根据年度内单位可预见的工作任务，确定单位年度预算目标，细化预算指标，科学合理编制部门预算，推进预算编制科学化、准确化。加强预算执行管理，年度预算编制后，根据实际情况，定期做好预算执行分析，掌握预算执行进度，及时找出预算实际执行情况与预算目标之间存在的差异，采取有效措施纠正偏差，提高预算执行的时效性和均衡性，同时为下一次科学、准确地编制部门预算积累经验。严格控制年末结转结余，对于预算实施进度偏慢、支出进度较低、存量资金数额较大的项目，要加强组织领导，分工明确，落实相关责任，责任到人，同时加大监管力度，把预算执行工作抓紧抓好抓落实，达到提高财政资金使用效益的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left"/>
        <w:textAlignment w:val="center"/>
        <w:rPr>
          <w:rFonts w:hint="default" w:ascii="Times New Roman" w:hAnsi="Times New Roman" w:eastAsia="仿宋" w:cs="Times New Roman"/>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left"/>
        <w:textAlignment w:val="center"/>
        <w:rPr>
          <w:rFonts w:hint="default" w:ascii="Times New Roman" w:hAnsi="Times New Roman" w:eastAsia="仿宋" w:cs="Times New Roman"/>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left"/>
        <w:textAlignment w:val="center"/>
        <w:rPr>
          <w:rFonts w:hint="default" w:ascii="Times New Roman" w:hAnsi="Times New Roman" w:eastAsia="仿宋" w:cs="Times New Roman"/>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right"/>
        <w:textAlignment w:val="center"/>
        <w:rPr>
          <w:rFonts w:hint="default" w:ascii="Times New Roman" w:hAnsi="Times New Roman" w:eastAsia="仿宋" w:cs="Times New Roman"/>
          <w:i w:val="0"/>
          <w:iCs w:val="0"/>
          <w:caps w:val="0"/>
          <w:color w:val="333333"/>
          <w:spacing w:val="0"/>
          <w:kern w:val="0"/>
          <w:sz w:val="32"/>
          <w:szCs w:val="32"/>
          <w:shd w:val="clear" w:fill="FFFFFF"/>
          <w:lang w:val="en-US" w:eastAsia="zh-CN" w:bidi="ar"/>
        </w:rPr>
      </w:pPr>
      <w:r>
        <w:rPr>
          <w:rFonts w:hint="default" w:ascii="Times New Roman" w:hAnsi="Times New Roman" w:eastAsia="仿宋" w:cs="Times New Roman"/>
          <w:i w:val="0"/>
          <w:iCs w:val="0"/>
          <w:caps w:val="0"/>
          <w:color w:val="333333"/>
          <w:spacing w:val="0"/>
          <w:kern w:val="0"/>
          <w:sz w:val="32"/>
          <w:szCs w:val="32"/>
          <w:shd w:val="clear" w:fill="FFFFFF"/>
          <w:lang w:val="en-US" w:eastAsia="zh-CN" w:bidi="ar"/>
        </w:rPr>
        <w:t>中共重庆市璧山区委宣传部</w:t>
      </w:r>
    </w:p>
    <w:p>
      <w:pPr>
        <w:pStyle w:val="5"/>
        <w:jc w:val="right"/>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2022年3月</w:t>
      </w:r>
      <w:r>
        <w:rPr>
          <w:rFonts w:hint="eastAsia" w:ascii="Times New Roman" w:hAnsi="Times New Roman" w:eastAsia="方正仿宋_GBK" w:cs="Times New Roman"/>
          <w:b w:val="0"/>
          <w:bCs w:val="0"/>
          <w:kern w:val="2"/>
          <w:sz w:val="32"/>
          <w:szCs w:val="32"/>
          <w:lang w:val="en-US" w:eastAsia="zh-CN" w:bidi="ar-SA"/>
        </w:rPr>
        <w:t>23</w:t>
      </w:r>
      <w:r>
        <w:rPr>
          <w:rFonts w:hint="default" w:ascii="Times New Roman" w:hAnsi="Times New Roman" w:eastAsia="方正仿宋_GBK" w:cs="Times New Roman"/>
          <w:b w:val="0"/>
          <w:bCs w:val="0"/>
          <w:kern w:val="2"/>
          <w:sz w:val="32"/>
          <w:szCs w:val="32"/>
          <w:lang w:val="en-US" w:eastAsia="zh-CN" w:bidi="ar-SA"/>
        </w:rPr>
        <w:t>日</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05177209">
    <w:nsid w:val="3BE9C979"/>
    <w:multiLevelType w:val="singleLevel"/>
    <w:tmpl w:val="3BE9C979"/>
    <w:lvl w:ilvl="0" w:tentative="1">
      <w:start w:val="2"/>
      <w:numFmt w:val="decimal"/>
      <w:suff w:val="space"/>
      <w:lvlText w:val="%1."/>
      <w:lvlJc w:val="left"/>
    </w:lvl>
  </w:abstractNum>
  <w:abstractNum w:abstractNumId="4186006539">
    <w:nsid w:val="F981640B"/>
    <w:multiLevelType w:val="singleLevel"/>
    <w:tmpl w:val="F981640B"/>
    <w:lvl w:ilvl="0" w:tentative="1">
      <w:start w:val="2"/>
      <w:numFmt w:val="decimal"/>
      <w:suff w:val="space"/>
      <w:lvlText w:val="%1."/>
      <w:lvlJc w:val="left"/>
    </w:lvl>
  </w:abstractNum>
  <w:abstractNum w:abstractNumId="750137428">
    <w:nsid w:val="2CB63054"/>
    <w:multiLevelType w:val="singleLevel"/>
    <w:tmpl w:val="2CB63054"/>
    <w:lvl w:ilvl="0" w:tentative="1">
      <w:start w:val="3"/>
      <w:numFmt w:val="decimal"/>
      <w:suff w:val="space"/>
      <w:lvlText w:val="%1."/>
      <w:lvlJc w:val="left"/>
    </w:lvl>
  </w:abstractNum>
  <w:abstractNum w:abstractNumId="1590631795">
    <w:nsid w:val="5ECF1D73"/>
    <w:multiLevelType w:val="singleLevel"/>
    <w:tmpl w:val="5ECF1D73"/>
    <w:lvl w:ilvl="0" w:tentative="1">
      <w:start w:val="4"/>
      <w:numFmt w:val="chineseCounting"/>
      <w:suff w:val="nothing"/>
      <w:lvlText w:val="%1、"/>
      <w:lvlJc w:val="left"/>
      <w:rPr>
        <w:rFonts w:hint="eastAsia"/>
      </w:rPr>
    </w:lvl>
  </w:abstractNum>
  <w:num w:numId="1">
    <w:abstractNumId w:val="750137428"/>
  </w:num>
  <w:num w:numId="2">
    <w:abstractNumId w:val="4186006539"/>
  </w:num>
  <w:num w:numId="3">
    <w:abstractNumId w:val="1005177209"/>
  </w:num>
  <w:num w:numId="4">
    <w:abstractNumId w:val="15906317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jNTllOGIwYWUxMjY5YWM3ZGRjYjg0ZjE1ZDE4YmE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1E4264"/>
    <w:rsid w:val="00247BB1"/>
    <w:rsid w:val="002571F7"/>
    <w:rsid w:val="002641A6"/>
    <w:rsid w:val="002834C5"/>
    <w:rsid w:val="00293914"/>
    <w:rsid w:val="002C141E"/>
    <w:rsid w:val="002F6627"/>
    <w:rsid w:val="00304656"/>
    <w:rsid w:val="00305CE7"/>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911F9"/>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0D37"/>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1635C49"/>
    <w:rsid w:val="03190CB5"/>
    <w:rsid w:val="039C3694"/>
    <w:rsid w:val="03C36E72"/>
    <w:rsid w:val="04096F7B"/>
    <w:rsid w:val="04506958"/>
    <w:rsid w:val="047F723D"/>
    <w:rsid w:val="04BF202C"/>
    <w:rsid w:val="052B2F21"/>
    <w:rsid w:val="05942874"/>
    <w:rsid w:val="05C72C4A"/>
    <w:rsid w:val="0616772D"/>
    <w:rsid w:val="066E1317"/>
    <w:rsid w:val="06EF0895"/>
    <w:rsid w:val="072916E2"/>
    <w:rsid w:val="07E31891"/>
    <w:rsid w:val="08685FA6"/>
    <w:rsid w:val="08AF74D4"/>
    <w:rsid w:val="08EB6C4F"/>
    <w:rsid w:val="091A4149"/>
    <w:rsid w:val="093A7BD7"/>
    <w:rsid w:val="09412D13"/>
    <w:rsid w:val="096B7D90"/>
    <w:rsid w:val="09CC3BD3"/>
    <w:rsid w:val="0A157CFC"/>
    <w:rsid w:val="0A516F86"/>
    <w:rsid w:val="0AB17A25"/>
    <w:rsid w:val="0AF52007"/>
    <w:rsid w:val="0B550CF8"/>
    <w:rsid w:val="0BA61553"/>
    <w:rsid w:val="0BB05F2E"/>
    <w:rsid w:val="0C2C7CAB"/>
    <w:rsid w:val="0CEF0CD8"/>
    <w:rsid w:val="0CFF18C7"/>
    <w:rsid w:val="0D5A43A4"/>
    <w:rsid w:val="0E772D33"/>
    <w:rsid w:val="0E9B2EC6"/>
    <w:rsid w:val="0ECF0DC1"/>
    <w:rsid w:val="0F877762"/>
    <w:rsid w:val="0FA828C0"/>
    <w:rsid w:val="0FBA1E50"/>
    <w:rsid w:val="0FEF02AA"/>
    <w:rsid w:val="10833C11"/>
    <w:rsid w:val="10A73186"/>
    <w:rsid w:val="1142587A"/>
    <w:rsid w:val="11537A88"/>
    <w:rsid w:val="11EF56F0"/>
    <w:rsid w:val="12192A7F"/>
    <w:rsid w:val="12A643B3"/>
    <w:rsid w:val="12E12E71"/>
    <w:rsid w:val="12EF1A32"/>
    <w:rsid w:val="13ED62F9"/>
    <w:rsid w:val="14237BE5"/>
    <w:rsid w:val="145034D6"/>
    <w:rsid w:val="14531B4D"/>
    <w:rsid w:val="1497412F"/>
    <w:rsid w:val="14B46A8F"/>
    <w:rsid w:val="14E8498B"/>
    <w:rsid w:val="15C727F2"/>
    <w:rsid w:val="16777D74"/>
    <w:rsid w:val="167C3E7E"/>
    <w:rsid w:val="168801D3"/>
    <w:rsid w:val="17CA0378"/>
    <w:rsid w:val="18215961"/>
    <w:rsid w:val="18D23988"/>
    <w:rsid w:val="19393A07"/>
    <w:rsid w:val="19ED659F"/>
    <w:rsid w:val="1B177D78"/>
    <w:rsid w:val="1B9969DF"/>
    <w:rsid w:val="1BEC6B0F"/>
    <w:rsid w:val="1C7121A9"/>
    <w:rsid w:val="1D8B05A9"/>
    <w:rsid w:val="1E641526"/>
    <w:rsid w:val="1EE241F9"/>
    <w:rsid w:val="1EE2522B"/>
    <w:rsid w:val="1F446C62"/>
    <w:rsid w:val="1FA53BA4"/>
    <w:rsid w:val="1FD71884"/>
    <w:rsid w:val="1FDC333E"/>
    <w:rsid w:val="20482782"/>
    <w:rsid w:val="209D4AAC"/>
    <w:rsid w:val="20EC75B1"/>
    <w:rsid w:val="21090163"/>
    <w:rsid w:val="216B497A"/>
    <w:rsid w:val="21725D08"/>
    <w:rsid w:val="21894E00"/>
    <w:rsid w:val="224C47AB"/>
    <w:rsid w:val="22A53EBB"/>
    <w:rsid w:val="233D2346"/>
    <w:rsid w:val="235A2EF8"/>
    <w:rsid w:val="23645B24"/>
    <w:rsid w:val="23735D67"/>
    <w:rsid w:val="237B69CA"/>
    <w:rsid w:val="23B76E36"/>
    <w:rsid w:val="23C71C0F"/>
    <w:rsid w:val="23FC3FAF"/>
    <w:rsid w:val="24AA57B9"/>
    <w:rsid w:val="24E32A79"/>
    <w:rsid w:val="252C08C4"/>
    <w:rsid w:val="254E083A"/>
    <w:rsid w:val="255D282B"/>
    <w:rsid w:val="2560231B"/>
    <w:rsid w:val="25A8619C"/>
    <w:rsid w:val="26123B38"/>
    <w:rsid w:val="26215F4F"/>
    <w:rsid w:val="26325A66"/>
    <w:rsid w:val="26996C1D"/>
    <w:rsid w:val="270E4FB2"/>
    <w:rsid w:val="27196C26"/>
    <w:rsid w:val="27257379"/>
    <w:rsid w:val="284D4DD9"/>
    <w:rsid w:val="289C7436"/>
    <w:rsid w:val="28BC1F5F"/>
    <w:rsid w:val="28F60FCD"/>
    <w:rsid w:val="2A351FC9"/>
    <w:rsid w:val="2A84085A"/>
    <w:rsid w:val="2A8455CF"/>
    <w:rsid w:val="2AEA4B61"/>
    <w:rsid w:val="2B726905"/>
    <w:rsid w:val="2BD76F8B"/>
    <w:rsid w:val="2C4464F3"/>
    <w:rsid w:val="2C8608B9"/>
    <w:rsid w:val="2D234B86"/>
    <w:rsid w:val="2D7626DC"/>
    <w:rsid w:val="2D8862A8"/>
    <w:rsid w:val="2E3F6F72"/>
    <w:rsid w:val="2E6A7D67"/>
    <w:rsid w:val="2E8E7EF9"/>
    <w:rsid w:val="2E903C71"/>
    <w:rsid w:val="2FAF6379"/>
    <w:rsid w:val="2FB50EF1"/>
    <w:rsid w:val="2FF65D56"/>
    <w:rsid w:val="2FF67B04"/>
    <w:rsid w:val="302C1778"/>
    <w:rsid w:val="304753CF"/>
    <w:rsid w:val="309A0DD7"/>
    <w:rsid w:val="30D30997"/>
    <w:rsid w:val="30E6401D"/>
    <w:rsid w:val="30FC55EE"/>
    <w:rsid w:val="316A07AA"/>
    <w:rsid w:val="326F3B9E"/>
    <w:rsid w:val="32CE6B16"/>
    <w:rsid w:val="3321133C"/>
    <w:rsid w:val="3379104B"/>
    <w:rsid w:val="33BA3F4B"/>
    <w:rsid w:val="33E83C08"/>
    <w:rsid w:val="34796F56"/>
    <w:rsid w:val="349D49F2"/>
    <w:rsid w:val="357C7A47"/>
    <w:rsid w:val="358D2CB9"/>
    <w:rsid w:val="35B50461"/>
    <w:rsid w:val="36653975"/>
    <w:rsid w:val="36E0150E"/>
    <w:rsid w:val="37D83F93"/>
    <w:rsid w:val="382F44FB"/>
    <w:rsid w:val="391E031B"/>
    <w:rsid w:val="39AD1B7B"/>
    <w:rsid w:val="39D07618"/>
    <w:rsid w:val="39E02135"/>
    <w:rsid w:val="39FC040D"/>
    <w:rsid w:val="3A296D28"/>
    <w:rsid w:val="3AEB1E6D"/>
    <w:rsid w:val="3BE02D49"/>
    <w:rsid w:val="3C0F6D52"/>
    <w:rsid w:val="3C2123AD"/>
    <w:rsid w:val="3C634773"/>
    <w:rsid w:val="3CE60F00"/>
    <w:rsid w:val="3CF17FD1"/>
    <w:rsid w:val="3D0B53DD"/>
    <w:rsid w:val="3D7B789B"/>
    <w:rsid w:val="3D9F7A2D"/>
    <w:rsid w:val="3DC079A3"/>
    <w:rsid w:val="3E3A1504"/>
    <w:rsid w:val="3ED01E68"/>
    <w:rsid w:val="3ED92ACB"/>
    <w:rsid w:val="3F19380F"/>
    <w:rsid w:val="3F52287D"/>
    <w:rsid w:val="3FD31C10"/>
    <w:rsid w:val="3FDF05B5"/>
    <w:rsid w:val="40A1279E"/>
    <w:rsid w:val="40AB493B"/>
    <w:rsid w:val="414A7CB0"/>
    <w:rsid w:val="41504943"/>
    <w:rsid w:val="42F223AD"/>
    <w:rsid w:val="433F136A"/>
    <w:rsid w:val="437E5696"/>
    <w:rsid w:val="43B12268"/>
    <w:rsid w:val="43CA50D8"/>
    <w:rsid w:val="43ED0DC6"/>
    <w:rsid w:val="444E5D09"/>
    <w:rsid w:val="44FC39B7"/>
    <w:rsid w:val="452C4F46"/>
    <w:rsid w:val="45837C34"/>
    <w:rsid w:val="45BD3146"/>
    <w:rsid w:val="46674E60"/>
    <w:rsid w:val="478649EF"/>
    <w:rsid w:val="47C3256A"/>
    <w:rsid w:val="47CA56A6"/>
    <w:rsid w:val="47FA5C48"/>
    <w:rsid w:val="482E20D9"/>
    <w:rsid w:val="483E6094"/>
    <w:rsid w:val="48FD1AAC"/>
    <w:rsid w:val="491E6E77"/>
    <w:rsid w:val="496833C9"/>
    <w:rsid w:val="4A1C5F07"/>
    <w:rsid w:val="4A227A1C"/>
    <w:rsid w:val="4A7E6C1C"/>
    <w:rsid w:val="4A865A58"/>
    <w:rsid w:val="4A8C1339"/>
    <w:rsid w:val="4A9E6685"/>
    <w:rsid w:val="4AC61065"/>
    <w:rsid w:val="4ACA3C0F"/>
    <w:rsid w:val="4B0E7FA0"/>
    <w:rsid w:val="4B72052F"/>
    <w:rsid w:val="4B7623BB"/>
    <w:rsid w:val="4BEB208F"/>
    <w:rsid w:val="4BF73B1F"/>
    <w:rsid w:val="4BFE0015"/>
    <w:rsid w:val="4C553155"/>
    <w:rsid w:val="4CD07C03"/>
    <w:rsid w:val="4D5C3245"/>
    <w:rsid w:val="4D834C75"/>
    <w:rsid w:val="4D860EA2"/>
    <w:rsid w:val="4DB52955"/>
    <w:rsid w:val="4E434405"/>
    <w:rsid w:val="4E824F2D"/>
    <w:rsid w:val="4E850579"/>
    <w:rsid w:val="4EB17D98"/>
    <w:rsid w:val="4ED240DA"/>
    <w:rsid w:val="4EF456FF"/>
    <w:rsid w:val="4FC13833"/>
    <w:rsid w:val="5019366F"/>
    <w:rsid w:val="502F0DDF"/>
    <w:rsid w:val="51114346"/>
    <w:rsid w:val="516A3A56"/>
    <w:rsid w:val="51C15D6C"/>
    <w:rsid w:val="51DF61F2"/>
    <w:rsid w:val="520B348B"/>
    <w:rsid w:val="52466271"/>
    <w:rsid w:val="5257047F"/>
    <w:rsid w:val="528B0128"/>
    <w:rsid w:val="529544D8"/>
    <w:rsid w:val="52F12681"/>
    <w:rsid w:val="530921EA"/>
    <w:rsid w:val="5334256E"/>
    <w:rsid w:val="538A03E0"/>
    <w:rsid w:val="53AA43C3"/>
    <w:rsid w:val="54705828"/>
    <w:rsid w:val="55124B31"/>
    <w:rsid w:val="55603AEE"/>
    <w:rsid w:val="563F3703"/>
    <w:rsid w:val="568059A8"/>
    <w:rsid w:val="56CC3A20"/>
    <w:rsid w:val="56D305CF"/>
    <w:rsid w:val="570B7A8A"/>
    <w:rsid w:val="573249BD"/>
    <w:rsid w:val="576C677A"/>
    <w:rsid w:val="584724D0"/>
    <w:rsid w:val="586236D9"/>
    <w:rsid w:val="58A92390"/>
    <w:rsid w:val="58F307D5"/>
    <w:rsid w:val="59777658"/>
    <w:rsid w:val="59D6437F"/>
    <w:rsid w:val="59F82547"/>
    <w:rsid w:val="5A307F33"/>
    <w:rsid w:val="5A5A6D5E"/>
    <w:rsid w:val="5A6E57B7"/>
    <w:rsid w:val="5B751975"/>
    <w:rsid w:val="5BA34735"/>
    <w:rsid w:val="5BDF3FBF"/>
    <w:rsid w:val="5C0351D3"/>
    <w:rsid w:val="5D235B2D"/>
    <w:rsid w:val="5D296EBB"/>
    <w:rsid w:val="5D456E35"/>
    <w:rsid w:val="5D6D6D4D"/>
    <w:rsid w:val="5D755C5D"/>
    <w:rsid w:val="5DAB5B22"/>
    <w:rsid w:val="5E23390B"/>
    <w:rsid w:val="5F336C89"/>
    <w:rsid w:val="5F434264"/>
    <w:rsid w:val="5F8328B3"/>
    <w:rsid w:val="5FEA224C"/>
    <w:rsid w:val="610712C2"/>
    <w:rsid w:val="615A5895"/>
    <w:rsid w:val="61B0135C"/>
    <w:rsid w:val="61FE0917"/>
    <w:rsid w:val="6243457B"/>
    <w:rsid w:val="62AF1C11"/>
    <w:rsid w:val="63100901"/>
    <w:rsid w:val="634C7460"/>
    <w:rsid w:val="63B03E93"/>
    <w:rsid w:val="63CB65D6"/>
    <w:rsid w:val="64175CC0"/>
    <w:rsid w:val="653308D7"/>
    <w:rsid w:val="662B684D"/>
    <w:rsid w:val="66576847"/>
    <w:rsid w:val="66A03D4A"/>
    <w:rsid w:val="673B7F17"/>
    <w:rsid w:val="674C5C80"/>
    <w:rsid w:val="67BB4BB4"/>
    <w:rsid w:val="68633281"/>
    <w:rsid w:val="69771943"/>
    <w:rsid w:val="69E73067"/>
    <w:rsid w:val="6A184540"/>
    <w:rsid w:val="6A5135AE"/>
    <w:rsid w:val="6A5D1F52"/>
    <w:rsid w:val="6AC975E8"/>
    <w:rsid w:val="6B5415A7"/>
    <w:rsid w:val="6B574BF4"/>
    <w:rsid w:val="6B721A2E"/>
    <w:rsid w:val="6BB40298"/>
    <w:rsid w:val="6BBF2EC5"/>
    <w:rsid w:val="6BD66460"/>
    <w:rsid w:val="6C44161C"/>
    <w:rsid w:val="6C953C26"/>
    <w:rsid w:val="6CAD0F6F"/>
    <w:rsid w:val="6CE32BE3"/>
    <w:rsid w:val="6D5669EF"/>
    <w:rsid w:val="6D63491A"/>
    <w:rsid w:val="6D8A5754"/>
    <w:rsid w:val="6DBE53FE"/>
    <w:rsid w:val="6E153270"/>
    <w:rsid w:val="6E3F653F"/>
    <w:rsid w:val="6E4E22DE"/>
    <w:rsid w:val="6E7C509D"/>
    <w:rsid w:val="6E9B274D"/>
    <w:rsid w:val="6EB505AF"/>
    <w:rsid w:val="6F1E7F02"/>
    <w:rsid w:val="6F6F075E"/>
    <w:rsid w:val="6FAE12B7"/>
    <w:rsid w:val="713C4FB8"/>
    <w:rsid w:val="71A80DB9"/>
    <w:rsid w:val="71F96A05"/>
    <w:rsid w:val="72200435"/>
    <w:rsid w:val="72DF5BFA"/>
    <w:rsid w:val="72E74AAF"/>
    <w:rsid w:val="733C4DFB"/>
    <w:rsid w:val="73CA68AB"/>
    <w:rsid w:val="75695C4F"/>
    <w:rsid w:val="75DC28C5"/>
    <w:rsid w:val="763B583E"/>
    <w:rsid w:val="76FF686B"/>
    <w:rsid w:val="77955421"/>
    <w:rsid w:val="78347974"/>
    <w:rsid w:val="79077C59"/>
    <w:rsid w:val="7947274B"/>
    <w:rsid w:val="79EB2A00"/>
    <w:rsid w:val="79EF5BD6"/>
    <w:rsid w:val="7A214D4A"/>
    <w:rsid w:val="7A684727"/>
    <w:rsid w:val="7AAF05A8"/>
    <w:rsid w:val="7B734078"/>
    <w:rsid w:val="7B8A691F"/>
    <w:rsid w:val="7D7635FF"/>
    <w:rsid w:val="7DC50678"/>
    <w:rsid w:val="7E1E7F1F"/>
    <w:rsid w:val="7E431733"/>
    <w:rsid w:val="7EC108AA"/>
    <w:rsid w:val="7EC92489"/>
    <w:rsid w:val="7F8E0040"/>
    <w:rsid w:val="7FAE52D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line="525" w:lineRule="atLeast"/>
      <w:jc w:val="center"/>
      <w:outlineLvl w:val="0"/>
    </w:pPr>
    <w:rPr>
      <w:rFonts w:ascii="Arial" w:hAnsi="Arial" w:cs="Arial"/>
      <w:b/>
      <w:bCs/>
      <w:kern w:val="36"/>
      <w:sz w:val="36"/>
      <w:szCs w:val="36"/>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qFormat/>
    <w:uiPriority w:val="0"/>
    <w:pPr>
      <w:jc w:val="center"/>
      <w:outlineLvl w:val="0"/>
    </w:pPr>
    <w:rPr>
      <w:rFonts w:ascii="Arial" w:hAnsi="Arial" w:cs="Arial"/>
      <w:b/>
      <w:bCs/>
      <w:sz w:val="32"/>
      <w:szCs w:val="32"/>
    </w:rPr>
  </w:style>
  <w:style w:type="paragraph" w:customStyle="1"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页脚 Char"/>
    <w:basedOn w:val="6"/>
    <w:link w:val="3"/>
    <w:qFormat/>
    <w:uiPriority w:val="99"/>
    <w:rPr>
      <w:rFonts w:ascii="Times New Roman" w:hAnsi="Times New Roman" w:eastAsia="宋体" w:cs="Times New Roman"/>
      <w:sz w:val="18"/>
      <w:szCs w:val="18"/>
    </w:rPr>
  </w:style>
  <w:style w:type="paragraph" w:customStyle="1" w:styleId="11">
    <w:name w:val="List Paragraph"/>
    <w:basedOn w:val="1"/>
    <w:qFormat/>
    <w:uiPriority w:val="34"/>
    <w:pPr>
      <w:ind w:firstLine="420" w:firstLineChars="200"/>
    </w:pPr>
  </w:style>
  <w:style w:type="paragraph" w:customStyle="1" w:styleId="12">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3">
    <w:name w:val="16"/>
    <w:basedOn w:val="6"/>
    <w:qFormat/>
    <w:uiPriority w:val="0"/>
    <w:rPr>
      <w:rFonts w:hint="default" w:ascii="Wingdings" w:hAnsi="Wingdings" w:cs="Wingdings"/>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3730</Words>
  <Characters>4038</Characters>
  <Lines>1</Lines>
  <Paragraphs>1</Paragraphs>
  <TotalTime>0</TotalTime>
  <ScaleCrop>false</ScaleCrop>
  <LinksUpToDate>false</LinksUpToDate>
  <CharactersWithSpaces>4045</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Administrator</cp:lastModifiedBy>
  <cp:lastPrinted>2020-04-20T08:58:00Z</cp:lastPrinted>
  <dcterms:modified xsi:type="dcterms:W3CDTF">2022-10-12T08:59:08Z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4760C0EFB9494752B6D777834367DFA1</vt:lpwstr>
  </property>
</Properties>
</file>