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附件4</w:t>
      </w:r>
    </w:p>
    <w:p>
      <w:pPr>
        <w:pStyle w:val="7"/>
        <w:spacing w:line="360" w:lineRule="auto"/>
        <w:ind w:left="359" w:leftChars="171" w:firstLine="880"/>
        <w:jc w:val="center"/>
        <w:rPr>
          <w:rFonts w:eastAsia="方正小标宋_GBK"/>
          <w:sz w:val="44"/>
          <w:szCs w:val="32"/>
        </w:rPr>
      </w:pPr>
      <w:r>
        <w:rPr>
          <w:rFonts w:hint="eastAsia" w:eastAsia="方正小标宋_GBK"/>
          <w:sz w:val="44"/>
          <w:szCs w:val="32"/>
        </w:rPr>
        <w:t>中共重庆市璧山区委统战部</w:t>
      </w:r>
    </w:p>
    <w:p>
      <w:pPr>
        <w:pStyle w:val="7"/>
        <w:spacing w:line="360" w:lineRule="auto"/>
        <w:ind w:left="359" w:leftChars="171" w:firstLine="880"/>
        <w:jc w:val="center"/>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7"/>
        <w:spacing w:line="360" w:lineRule="auto"/>
        <w:ind w:left="359" w:leftChars="171" w:firstLine="880"/>
        <w:jc w:val="center"/>
        <w:rPr>
          <w:rFonts w:eastAsia="方正小标宋_GBK"/>
          <w:sz w:val="44"/>
          <w:szCs w:val="32"/>
        </w:rPr>
      </w:pPr>
    </w:p>
    <w:p>
      <w:pPr>
        <w:numPr>
          <w:ilvl w:val="0"/>
          <w:numId w:val="1"/>
        </w:numPr>
        <w:spacing w:line="360" w:lineRule="auto"/>
        <w:ind w:firstLine="640" w:firstLineChars="200"/>
        <w:rPr>
          <w:rFonts w:hint="eastAsia" w:eastAsia="方正黑体_GBK"/>
          <w:sz w:val="32"/>
          <w:szCs w:val="32"/>
        </w:rPr>
      </w:pPr>
      <w:r>
        <w:rPr>
          <w:rFonts w:eastAsia="方正黑体_GBK"/>
          <w:sz w:val="32"/>
          <w:szCs w:val="32"/>
        </w:rPr>
        <w:t>基本</w:t>
      </w:r>
      <w:r>
        <w:rPr>
          <w:rFonts w:hint="eastAsia" w:eastAsia="方正黑体_GBK"/>
          <w:sz w:val="32"/>
          <w:szCs w:val="32"/>
        </w:rPr>
        <w:t>情况</w:t>
      </w:r>
    </w:p>
    <w:p>
      <w:pPr>
        <w:numPr>
          <w:ilvl w:val="0"/>
          <w:numId w:val="2"/>
        </w:numPr>
        <w:spacing w:line="360" w:lineRule="auto"/>
        <w:ind w:firstLine="640" w:firstLineChars="200"/>
        <w:rPr>
          <w:rFonts w:hint="eastAsia" w:eastAsia="方正仿宋_GBK"/>
          <w:sz w:val="32"/>
          <w:szCs w:val="32"/>
          <w:lang w:val="en-US" w:eastAsia="zh-CN"/>
        </w:rPr>
      </w:pPr>
      <w:r>
        <w:rPr>
          <w:rFonts w:hint="eastAsia" w:eastAsia="方正仿宋_GBK"/>
          <w:sz w:val="32"/>
          <w:szCs w:val="32"/>
          <w:lang w:val="en-US" w:eastAsia="zh-CN"/>
        </w:rPr>
        <w:t>单位基本情况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单位职能职责</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1</w:t>
      </w:r>
      <w:r>
        <w:rPr>
          <w:rFonts w:hint="eastAsia" w:eastAsia="方正仿宋_GBK"/>
          <w:sz w:val="32"/>
          <w:szCs w:val="32"/>
          <w:lang w:eastAsia="zh-CN"/>
        </w:rPr>
        <w:t>）</w:t>
      </w:r>
      <w:r>
        <w:rPr>
          <w:rFonts w:hint="eastAsia" w:eastAsia="方正仿宋_GBK"/>
          <w:sz w:val="32"/>
          <w:szCs w:val="32"/>
        </w:rPr>
        <w:t>调查研究统一战线的理论和重大的方针政策，组织贯彻执行中央、重庆市委和璧山区委关于统一战线的方针、政策；</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w:t>
      </w:r>
      <w:r>
        <w:rPr>
          <w:rFonts w:hint="eastAsia" w:eastAsia="方正仿宋_GBK"/>
          <w:sz w:val="32"/>
          <w:szCs w:val="32"/>
        </w:rPr>
        <w:t>负责联系各民主党派和无党派代表人士，及时通报情况，反映他们的意见和建议；研究、贯彻党领导的多党合作和政治协商制度及对民主党派的方针、政策；落实中央、重庆市委和璧山区委关于发挥民主党派、无党派人士参政议政和民主监督作用的工作；支持、帮助各民主党派加强自身建设。</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3</w:t>
      </w:r>
      <w:r>
        <w:rPr>
          <w:rFonts w:hint="eastAsia" w:eastAsia="方正仿宋_GBK"/>
          <w:sz w:val="32"/>
          <w:szCs w:val="32"/>
          <w:lang w:eastAsia="zh-CN"/>
        </w:rPr>
        <w:t>）</w:t>
      </w:r>
      <w:r>
        <w:rPr>
          <w:rFonts w:hint="eastAsia" w:eastAsia="方正仿宋_GBK"/>
          <w:sz w:val="32"/>
          <w:szCs w:val="32"/>
        </w:rPr>
        <w:t>负责调查研究、协调检查有关民族、宗教工作的重大方针、政策问题；联系少数民族和宗教界的代表人物；协助有关部门做好少数民族干部的培养和举荐工作；协同有关部门同国内外敌对势力分裂祖国的活动进行斗争。</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4</w:t>
      </w:r>
      <w:r>
        <w:rPr>
          <w:rFonts w:hint="eastAsia" w:eastAsia="方正仿宋_GBK"/>
          <w:sz w:val="32"/>
          <w:szCs w:val="32"/>
          <w:lang w:eastAsia="zh-CN"/>
        </w:rPr>
        <w:t>）</w:t>
      </w:r>
      <w:r>
        <w:rPr>
          <w:rFonts w:hint="eastAsia" w:eastAsia="方正仿宋_GBK"/>
          <w:sz w:val="32"/>
          <w:szCs w:val="32"/>
        </w:rPr>
        <w:t>负责开展以祖国统一为重点的海外统战工作；做好台胞、台属的有关工作。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5</w:t>
      </w:r>
      <w:r>
        <w:rPr>
          <w:rFonts w:hint="eastAsia" w:eastAsia="方正仿宋_GBK"/>
          <w:sz w:val="32"/>
          <w:szCs w:val="32"/>
          <w:lang w:eastAsia="zh-CN"/>
        </w:rPr>
        <w:t>）</w:t>
      </w:r>
      <w:r>
        <w:rPr>
          <w:rFonts w:hint="eastAsia" w:eastAsia="方正仿宋_GBK"/>
          <w:sz w:val="32"/>
          <w:szCs w:val="32"/>
        </w:rPr>
        <w:t>负责党外人士的安排，会同有关部门做好培养、选拔、推荐党外人士的工作。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6</w:t>
      </w:r>
      <w:r>
        <w:rPr>
          <w:rFonts w:hint="eastAsia" w:eastAsia="方正仿宋_GBK"/>
          <w:sz w:val="32"/>
          <w:szCs w:val="32"/>
          <w:lang w:eastAsia="zh-CN"/>
        </w:rPr>
        <w:t>）</w:t>
      </w:r>
      <w:r>
        <w:rPr>
          <w:rFonts w:hint="eastAsia" w:eastAsia="方正仿宋_GBK"/>
          <w:sz w:val="32"/>
          <w:szCs w:val="32"/>
        </w:rPr>
        <w:t>负责联系工商联，联系港、澳、台代表人士。调查、研究并反映非公有制经济代表人物的情况，协调关系，提出政策建议。 　　　</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7</w:t>
      </w:r>
      <w:r>
        <w:rPr>
          <w:rFonts w:hint="eastAsia" w:eastAsia="方正仿宋_GBK"/>
          <w:sz w:val="32"/>
          <w:szCs w:val="32"/>
          <w:lang w:eastAsia="zh-CN"/>
        </w:rPr>
        <w:t>）</w:t>
      </w:r>
      <w:r>
        <w:rPr>
          <w:rFonts w:hint="eastAsia" w:eastAsia="方正仿宋_GBK"/>
          <w:sz w:val="32"/>
          <w:szCs w:val="32"/>
        </w:rPr>
        <w:t>调查研究党外知识分子的情况，反映意见，协调关系，提出政策建议；联系党外知识分子的代表人物。</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单位构成</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中共重庆市璧山区委统战部是中共重庆市璧山区委主管统一战线工作的职能部门，负有协调、监督和检查璧山区统战工作的重要职责。 </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根据职责，中共重庆市璧山区委统战部设以下机构：　</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eastAsia="方正仿宋_GBK"/>
          <w:b w:val="0"/>
          <w:bCs w:val="0"/>
          <w:sz w:val="32"/>
          <w:szCs w:val="32"/>
        </w:rPr>
      </w:pPr>
      <w:r>
        <w:rPr>
          <w:rFonts w:hint="eastAsia" w:eastAsia="方正仿宋_GBK"/>
          <w:b w:val="0"/>
          <w:bCs w:val="0"/>
          <w:sz w:val="32"/>
          <w:szCs w:val="32"/>
        </w:rPr>
        <w:t>综合科：负责内外联系及日常协调工作，承担督查、信息、调研、宣传工作。承担公文处理、有关文稿起草。负责会务、信访、档案、财务、接待、后勤保障、国有资产管理、安全、保密、党建、老干部、社会服务等机关日常事务工作。负责部机关、所属事业单位机构、编制和干部人事管理工作。负责全区非公有制经济统战工作。参与制定、推动落实党中央、市委和区委鼓励支持引导非公有制经济发展的方针和政策，了解贯彻落实情况并提出工作建议。开展全区非公有制经济领域统战工作调查研究，提出政策建议。联系、培养我区非公有制经济代表人士，开展思想政治工作，了解、反映意见建议，推动构建“亲”“清”新型政商关系。联系区工商联（区总商会）。其他有关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b w:val="0"/>
          <w:bCs w:val="0"/>
          <w:sz w:val="32"/>
          <w:szCs w:val="32"/>
        </w:rPr>
      </w:pPr>
      <w:r>
        <w:rPr>
          <w:rFonts w:hint="eastAsia" w:eastAsia="方正仿宋_GBK"/>
          <w:b w:val="0"/>
          <w:bCs w:val="0"/>
          <w:sz w:val="32"/>
          <w:szCs w:val="32"/>
        </w:rPr>
        <w:t>党外人士科：联系在璧各民主党派组织及民主党派代表人士，反映意见建议。对坚持、完善中国共产党领导的多党合作和政治协商制度及民主党派工作进行调研并提出建议。贯彻落实党对民主党派工作的方针政策，协调做好民主党派组织履行参政议政、民主监督、参加中国共产党领导的政治协商职能的相关工作。负责党外代表人士的政治安排和担任政府、司法机关等领导职务的党外人士的培养、选拔、考察、推荐等工作。做好党外代表人士和优秀年轻干部队伍建设工作。负责联系、培养全区无党派代表人士和党外知识分子代表人士。调查研究全区无党派人士工作并提出政策建议，支持无党派人士发挥作用、加强自身建设。调查了解党外知识分子的情况，反映动态。做好全区出国和归国留学人员统战工作。承担区新的社会阶层人士统战工作联席会议办公室日常工作，负责党外代表人士、统战干部的教育培训。协调、指导有关单位和人民团体、统战团体、社会组织等开展新的社会阶层人士统战工作。联系、培养新的社会阶层代表人士。联系璧山党外知识分子联谊会。联系区欧美同学会。联系区新专联。联系区社会主义学院。其他有关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b w:val="0"/>
          <w:bCs w:val="0"/>
          <w:sz w:val="32"/>
          <w:szCs w:val="32"/>
        </w:rPr>
      </w:pPr>
      <w:r>
        <w:rPr>
          <w:rFonts w:hint="eastAsia" w:eastAsia="方正仿宋_GBK"/>
          <w:b w:val="0"/>
          <w:bCs w:val="0"/>
          <w:sz w:val="32"/>
          <w:szCs w:val="32"/>
        </w:rPr>
        <w:t>民宗侨台科（行政审批科）：负责民族、宗教、侨务、对台方面的政策宣传、贯彻、调研工作。承担区民族宗教事务委员会具体工作，联系、培养少数民族和宗教界代表人士，牵头开展民族团结进步教育，做好少数民族干部工作。处理民族宗教领域中的重大问题及突发事件，抵御境外利用宗教进行渗透等专项工作，配合有关部门做好防范和处理邪教工作。指导宗教团体依法依章程开展工作、加强自身建设。联系海外华侨、华人、归侨侨眷代表人士和港澳台有关社团及代表人士，联系培养新生代代表人士，做好归侨、侨眷、台胞、台属有关工作，承担华侨回国定居报批工作。联系区级宗教团体。联系区台胞联谊组。联系区侨联。承担本部门行政执法。其他有关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eastAsia="方正仿宋_GBK"/>
          <w:b w:val="0"/>
          <w:bCs w:val="0"/>
          <w:sz w:val="32"/>
          <w:szCs w:val="32"/>
          <w:lang w:val="en-US" w:eastAsia="zh-CN"/>
        </w:rPr>
      </w:pPr>
      <w:r>
        <w:rPr>
          <w:rFonts w:hint="eastAsia" w:eastAsia="方正仿宋_GBK"/>
          <w:b w:val="0"/>
          <w:bCs w:val="0"/>
          <w:sz w:val="32"/>
          <w:szCs w:val="32"/>
          <w:lang w:val="en-US" w:eastAsia="zh-CN"/>
        </w:rPr>
        <w:t>统战服务中心：协助中共重庆市璧山区委统战部服务全区统一战线工作。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人员编制情况</w:t>
      </w:r>
    </w:p>
    <w:p>
      <w:pPr>
        <w:widowControl/>
        <w:shd w:val="clear" w:color="auto" w:fill="FFFFFF"/>
        <w:spacing w:after="180" w:line="420" w:lineRule="atLeast"/>
        <w:ind w:firstLine="640" w:firstLineChars="200"/>
        <w:rPr>
          <w:rFonts w:hint="default" w:eastAsia="方正仿宋_GBK"/>
          <w:b w:val="0"/>
          <w:bCs w:val="0"/>
          <w:sz w:val="32"/>
          <w:szCs w:val="32"/>
          <w:lang w:val="en-US" w:eastAsia="zh-CN"/>
        </w:rPr>
      </w:pPr>
      <w:r>
        <w:rPr>
          <w:rFonts w:hint="eastAsia" w:eastAsia="方正仿宋_GBK"/>
          <w:b w:val="0"/>
          <w:bCs w:val="0"/>
          <w:sz w:val="32"/>
          <w:szCs w:val="32"/>
          <w:lang w:val="en-US" w:eastAsia="zh-CN"/>
        </w:rPr>
        <w:t>截止2021年12月31日，我单位在职人员共计16人，其中行政编制7人，事业编制9人。</w:t>
      </w:r>
    </w:p>
    <w:p>
      <w:pPr>
        <w:spacing w:line="360" w:lineRule="auto"/>
        <w:ind w:firstLine="640" w:firstLineChars="200"/>
        <w:rPr>
          <w:rFonts w:eastAsia="方正仿宋_GBK"/>
          <w:sz w:val="32"/>
          <w:szCs w:val="32"/>
        </w:rPr>
      </w:pPr>
      <w:r>
        <w:rPr>
          <w:rFonts w:eastAsia="方正仿宋_GBK"/>
          <w:sz w:val="32"/>
          <w:szCs w:val="32"/>
        </w:rPr>
        <w:t>（</w:t>
      </w:r>
      <w:r>
        <w:rPr>
          <w:rFonts w:hint="eastAsia" w:eastAsia="方正仿宋_GBK"/>
          <w:sz w:val="32"/>
          <w:szCs w:val="32"/>
          <w:lang w:val="en-US" w:eastAsia="zh-CN"/>
        </w:rPr>
        <w:t>二</w:t>
      </w:r>
      <w:r>
        <w:rPr>
          <w:rFonts w:eastAsia="方正仿宋_GBK"/>
          <w:sz w:val="32"/>
          <w:szCs w:val="32"/>
        </w:rPr>
        <w:t>）</w:t>
      </w:r>
      <w:r>
        <w:rPr>
          <w:rFonts w:hint="eastAsia" w:eastAsia="方正仿宋_GBK"/>
          <w:sz w:val="32"/>
          <w:szCs w:val="32"/>
        </w:rPr>
        <w:t>预算及支出情况</w:t>
      </w:r>
      <w:r>
        <w:rPr>
          <w:rFonts w:eastAsia="方正仿宋_GBK"/>
          <w:sz w:val="32"/>
          <w:szCs w:val="32"/>
        </w:rPr>
        <w:t>。</w:t>
      </w:r>
    </w:p>
    <w:p>
      <w:pPr>
        <w:spacing w:line="360" w:lineRule="auto"/>
        <w:ind w:firstLine="640" w:firstLineChars="200"/>
        <w:rPr>
          <w:rFonts w:eastAsia="方正仿宋_GBK"/>
          <w:sz w:val="32"/>
          <w:szCs w:val="32"/>
        </w:rPr>
      </w:pPr>
      <w:r>
        <w:rPr>
          <w:rFonts w:hint="eastAsia" w:eastAsia="方正仿宋_GBK"/>
          <w:sz w:val="32"/>
          <w:szCs w:val="32"/>
        </w:rPr>
        <w:t>2．部门整体实际收支情况</w:t>
      </w:r>
    </w:p>
    <w:p>
      <w:pPr>
        <w:spacing w:line="360" w:lineRule="auto"/>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021</w:t>
      </w:r>
      <w:r>
        <w:rPr>
          <w:rFonts w:hint="eastAsia" w:eastAsia="方正仿宋_GBK"/>
          <w:sz w:val="32"/>
          <w:szCs w:val="32"/>
        </w:rPr>
        <w:t>年部门</w:t>
      </w:r>
      <w:r>
        <w:rPr>
          <w:rFonts w:hint="eastAsia" w:eastAsia="方正仿宋_GBK"/>
          <w:sz w:val="32"/>
          <w:szCs w:val="32"/>
          <w:lang w:val="en-US" w:eastAsia="zh-CN"/>
        </w:rPr>
        <w:t>财政收入</w:t>
      </w:r>
      <w:r>
        <w:rPr>
          <w:rFonts w:eastAsia="方正仿宋_GBK"/>
          <w:sz w:val="32"/>
          <w:szCs w:val="32"/>
        </w:rPr>
        <w:t>849</w:t>
      </w:r>
      <w:r>
        <w:rPr>
          <w:rFonts w:hint="eastAsia" w:eastAsia="方正仿宋_GBK"/>
          <w:sz w:val="32"/>
          <w:szCs w:val="32"/>
        </w:rPr>
        <w:t>.</w:t>
      </w:r>
      <w:r>
        <w:rPr>
          <w:rFonts w:eastAsia="方正仿宋_GBK"/>
          <w:sz w:val="32"/>
          <w:szCs w:val="32"/>
        </w:rPr>
        <w:t>35</w:t>
      </w:r>
      <w:r>
        <w:rPr>
          <w:rFonts w:hint="eastAsia" w:eastAsia="方正仿宋_GBK"/>
          <w:sz w:val="32"/>
          <w:szCs w:val="32"/>
        </w:rPr>
        <w:t>万元。其中一般公共预算财政拨款</w:t>
      </w:r>
      <w:r>
        <w:rPr>
          <w:rFonts w:eastAsia="方正仿宋_GBK"/>
          <w:sz w:val="32"/>
          <w:szCs w:val="32"/>
        </w:rPr>
        <w:t>785</w:t>
      </w:r>
      <w:r>
        <w:rPr>
          <w:rFonts w:hint="eastAsia" w:eastAsia="方正仿宋_GBK"/>
          <w:sz w:val="32"/>
          <w:szCs w:val="32"/>
        </w:rPr>
        <w:t>.</w:t>
      </w:r>
      <w:r>
        <w:rPr>
          <w:rFonts w:eastAsia="方正仿宋_GBK"/>
          <w:sz w:val="32"/>
          <w:szCs w:val="32"/>
        </w:rPr>
        <w:t>77</w:t>
      </w:r>
      <w:r>
        <w:rPr>
          <w:rFonts w:hint="eastAsia" w:eastAsia="方正仿宋_GBK"/>
          <w:sz w:val="32"/>
          <w:szCs w:val="32"/>
        </w:rPr>
        <w:t>万元，政府性基金预算财政拨款</w:t>
      </w:r>
      <w:r>
        <w:rPr>
          <w:rFonts w:eastAsia="方正仿宋_GBK"/>
          <w:sz w:val="32"/>
          <w:szCs w:val="32"/>
        </w:rPr>
        <w:t>63.58</w:t>
      </w:r>
      <w:r>
        <w:rPr>
          <w:rFonts w:hint="eastAsia" w:eastAsia="方正仿宋_GBK"/>
          <w:sz w:val="32"/>
          <w:szCs w:val="32"/>
        </w:rPr>
        <w:t>万元。2</w:t>
      </w:r>
      <w:r>
        <w:rPr>
          <w:rFonts w:eastAsia="方正仿宋_GBK"/>
          <w:sz w:val="32"/>
          <w:szCs w:val="32"/>
        </w:rPr>
        <w:t>021</w:t>
      </w:r>
      <w:r>
        <w:rPr>
          <w:rFonts w:hint="eastAsia" w:eastAsia="方正仿宋_GBK"/>
          <w:sz w:val="32"/>
          <w:szCs w:val="32"/>
        </w:rPr>
        <w:t>年部门支出总额</w:t>
      </w:r>
      <w:r>
        <w:rPr>
          <w:rFonts w:eastAsia="方正仿宋_GBK"/>
          <w:sz w:val="32"/>
          <w:szCs w:val="32"/>
        </w:rPr>
        <w:t>849</w:t>
      </w:r>
      <w:r>
        <w:rPr>
          <w:rFonts w:hint="eastAsia" w:eastAsia="方正仿宋_GBK"/>
          <w:sz w:val="32"/>
          <w:szCs w:val="32"/>
        </w:rPr>
        <w:t>.</w:t>
      </w:r>
      <w:r>
        <w:rPr>
          <w:rFonts w:eastAsia="方正仿宋_GBK"/>
          <w:sz w:val="32"/>
          <w:szCs w:val="32"/>
        </w:rPr>
        <w:t>35</w:t>
      </w:r>
      <w:r>
        <w:rPr>
          <w:rFonts w:hint="eastAsia" w:eastAsia="方正仿宋_GBK"/>
          <w:sz w:val="32"/>
          <w:szCs w:val="32"/>
        </w:rPr>
        <w:t>万元，其中基本支出</w:t>
      </w:r>
      <w:r>
        <w:rPr>
          <w:rFonts w:hint="eastAsia" w:eastAsia="方正仿宋_GBK"/>
          <w:sz w:val="32"/>
          <w:szCs w:val="32"/>
          <w:lang w:val="en-US" w:eastAsia="zh-CN"/>
        </w:rPr>
        <w:t>490.39</w:t>
      </w:r>
      <w:r>
        <w:rPr>
          <w:rFonts w:hint="eastAsia" w:eastAsia="方正仿宋_GBK"/>
          <w:sz w:val="32"/>
          <w:szCs w:val="32"/>
        </w:rPr>
        <w:t>万元，项目支出</w:t>
      </w:r>
      <w:r>
        <w:rPr>
          <w:rFonts w:hint="eastAsia" w:eastAsia="方正仿宋_GBK"/>
          <w:sz w:val="32"/>
          <w:szCs w:val="32"/>
          <w:lang w:val="en-US" w:eastAsia="zh-CN"/>
        </w:rPr>
        <w:t>358.96</w:t>
      </w:r>
      <w:r>
        <w:rPr>
          <w:rFonts w:hint="eastAsia" w:eastAsia="方正仿宋_GBK"/>
          <w:sz w:val="32"/>
          <w:szCs w:val="32"/>
        </w:rPr>
        <w:t>万元。</w:t>
      </w:r>
    </w:p>
    <w:p>
      <w:pPr>
        <w:spacing w:line="360" w:lineRule="auto"/>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360" w:lineRule="auto"/>
        <w:ind w:firstLine="640" w:firstLineChars="200"/>
        <w:rPr>
          <w:rFonts w:eastAsia="方正仿宋_GBK"/>
          <w:sz w:val="32"/>
          <w:szCs w:val="32"/>
        </w:rPr>
      </w:pPr>
      <w:r>
        <w:rPr>
          <w:rFonts w:eastAsia="方正仿宋_GBK"/>
          <w:sz w:val="32"/>
          <w:szCs w:val="32"/>
        </w:rPr>
        <w:t>（一）绩效评价目的</w:t>
      </w:r>
    </w:p>
    <w:p>
      <w:pPr>
        <w:spacing w:line="360" w:lineRule="auto"/>
        <w:ind w:firstLine="640" w:firstLineChars="200"/>
        <w:rPr>
          <w:rFonts w:eastAsia="方正仿宋_GBK"/>
          <w:sz w:val="32"/>
          <w:szCs w:val="32"/>
        </w:rPr>
      </w:pPr>
      <w:r>
        <w:rPr>
          <w:rFonts w:hint="eastAsia" w:eastAsia="方正仿宋_GBK"/>
          <w:sz w:val="32"/>
          <w:szCs w:val="32"/>
        </w:rPr>
        <w:t>通过绩效评价掌握中共重庆市璧山区委统战部2</w:t>
      </w:r>
      <w:r>
        <w:rPr>
          <w:rFonts w:eastAsia="方正仿宋_GBK"/>
          <w:sz w:val="32"/>
          <w:szCs w:val="32"/>
        </w:rPr>
        <w:t>021</w:t>
      </w:r>
      <w:r>
        <w:rPr>
          <w:rFonts w:hint="eastAsia" w:eastAsia="方正仿宋_GBK"/>
          <w:sz w:val="32"/>
          <w:szCs w:val="32"/>
        </w:rPr>
        <w:t>年基本支出、项目支出及资产运行情况，以及实际履行职责的情况及取得的成效。从部门整体投入、过程管理、单位职责履职情况、单位整体履职效益及绩效评价资料报送情况等方面找出部门整体运作中存在的问题，并提出相应的改进意见和建议，以此完善制度、创新机制、加强管理、强化监督、保证部门整体运行及资金使用管理的规范性、安全性和有效性更具针对性提高工作系统的能力和效率，向公众和社会提供优质高效的公共服务。</w:t>
      </w:r>
    </w:p>
    <w:p>
      <w:pPr>
        <w:spacing w:line="360" w:lineRule="auto"/>
        <w:ind w:firstLine="640" w:firstLineChars="200"/>
        <w:rPr>
          <w:rFonts w:eastAsia="方正仿宋_GBK"/>
          <w:sz w:val="32"/>
          <w:szCs w:val="32"/>
        </w:rPr>
      </w:pPr>
      <w:r>
        <w:rPr>
          <w:rFonts w:eastAsia="方正仿宋_GBK"/>
          <w:sz w:val="32"/>
          <w:szCs w:val="32"/>
        </w:rPr>
        <w:t>（二）绩效评价原则</w:t>
      </w:r>
    </w:p>
    <w:p>
      <w:pPr>
        <w:spacing w:line="360" w:lineRule="auto"/>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科学规范原则。绩效评价应当严格执行规定的程序，按照科学可行的要求，采用定量与定性分析相结合的方法。</w:t>
      </w:r>
    </w:p>
    <w:p>
      <w:pPr>
        <w:spacing w:line="360" w:lineRule="auto"/>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公正公开原则。绩效评价应当符合真实、客观、公正的要求，依法公开并接受监督。</w:t>
      </w:r>
    </w:p>
    <w:p>
      <w:pPr>
        <w:spacing w:line="360" w:lineRule="auto"/>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绩效相关原则。绩效评价应当针对具体支出及其产出绩效进行，评价结果应当清晰反映支出和产出绩效之间的紧密对应关系。</w:t>
      </w:r>
    </w:p>
    <w:p>
      <w:pPr>
        <w:spacing w:line="360" w:lineRule="auto"/>
        <w:ind w:firstLine="640" w:firstLineChars="200"/>
        <w:rPr>
          <w:rFonts w:eastAsia="方正仿宋_GBK"/>
          <w:sz w:val="32"/>
          <w:szCs w:val="32"/>
          <w:highlight w:val="none"/>
        </w:rPr>
      </w:pPr>
      <w:r>
        <w:rPr>
          <w:rFonts w:eastAsia="方正仿宋_GBK"/>
          <w:sz w:val="32"/>
          <w:szCs w:val="32"/>
          <w:highlight w:val="none"/>
        </w:rPr>
        <w:t>（三）绩效评价工作过程</w:t>
      </w:r>
    </w:p>
    <w:p>
      <w:pPr>
        <w:spacing w:line="360" w:lineRule="auto"/>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前期准备</w:t>
      </w:r>
    </w:p>
    <w:p>
      <w:pPr>
        <w:spacing w:line="360" w:lineRule="auto"/>
        <w:ind w:firstLine="640" w:firstLineChars="200"/>
        <w:rPr>
          <w:rFonts w:eastAsia="方正仿宋_GBK"/>
          <w:sz w:val="32"/>
          <w:szCs w:val="32"/>
        </w:rPr>
      </w:pPr>
      <w:r>
        <w:rPr>
          <w:rFonts w:hint="eastAsia" w:eastAsia="方正仿宋_GBK"/>
          <w:sz w:val="32"/>
          <w:szCs w:val="32"/>
        </w:rPr>
        <w:t>学习重庆市璧山区下发的《璧山区财政局关于开展2</w:t>
      </w:r>
      <w:r>
        <w:rPr>
          <w:rFonts w:eastAsia="方正仿宋_GBK"/>
          <w:sz w:val="32"/>
          <w:szCs w:val="32"/>
        </w:rPr>
        <w:t>021</w:t>
      </w:r>
      <w:r>
        <w:rPr>
          <w:rFonts w:hint="eastAsia" w:eastAsia="方正仿宋_GBK"/>
          <w:sz w:val="32"/>
          <w:szCs w:val="32"/>
        </w:rPr>
        <w:t>年度绩效自评工作的通知》，根据绩效自评的范围和对象，确定纳入绩效自评的2</w:t>
      </w:r>
      <w:r>
        <w:rPr>
          <w:rFonts w:eastAsia="方正仿宋_GBK"/>
          <w:sz w:val="32"/>
          <w:szCs w:val="32"/>
        </w:rPr>
        <w:t>021</w:t>
      </w:r>
      <w:r>
        <w:rPr>
          <w:rFonts w:hint="eastAsia" w:eastAsia="方正仿宋_GBK"/>
          <w:sz w:val="32"/>
          <w:szCs w:val="32"/>
        </w:rPr>
        <w:t>年度预算项目。拟定组织实施方案，将纳入绩效自评的项目分配到对应的预算申报部门，下发开展绩效自评工作的通知，明确开展绩效自评的指标体系、工作流程、工作时限、自评结果应用等内容，认真开展绩效自评的工作。</w:t>
      </w:r>
    </w:p>
    <w:p>
      <w:pPr>
        <w:spacing w:line="36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组织实施</w:t>
      </w:r>
    </w:p>
    <w:p>
      <w:pPr>
        <w:spacing w:line="360" w:lineRule="auto"/>
        <w:ind w:firstLine="640" w:firstLineChars="200"/>
        <w:rPr>
          <w:rFonts w:eastAsia="方正仿宋_GBK"/>
          <w:sz w:val="32"/>
          <w:szCs w:val="32"/>
        </w:rPr>
      </w:pPr>
      <w:r>
        <w:rPr>
          <w:rFonts w:hint="eastAsia" w:eastAsia="方正仿宋_GBK"/>
          <w:sz w:val="32"/>
          <w:szCs w:val="32"/>
        </w:rPr>
        <w:t>在对照《璧山区财政局关于开展2</w:t>
      </w:r>
      <w:r>
        <w:rPr>
          <w:rFonts w:eastAsia="方正仿宋_GBK"/>
          <w:sz w:val="32"/>
          <w:szCs w:val="32"/>
        </w:rPr>
        <w:t>021</w:t>
      </w:r>
      <w:r>
        <w:rPr>
          <w:rFonts w:hint="eastAsia" w:eastAsia="方正仿宋_GBK"/>
          <w:sz w:val="32"/>
          <w:szCs w:val="32"/>
        </w:rPr>
        <w:t>年度绩效自评工作的通知》确定部门整体支出和项目支出绩效评价共性指标体系框架基础上，结合年初预算批复的部门整体支出和项目支出绩效指标、部门职责及项目特点、项目预算执行情况等要素，补充设计个性指标，总结经验和问题形成绩效自评报告</w:t>
      </w:r>
    </w:p>
    <w:p>
      <w:pPr>
        <w:spacing w:line="360" w:lineRule="auto"/>
        <w:ind w:firstLine="640" w:firstLineChars="200"/>
        <w:rPr>
          <w:rFonts w:eastAsia="方正仿宋_GBK"/>
          <w:sz w:val="32"/>
          <w:szCs w:val="32"/>
          <w:highlight w:val="none"/>
        </w:rPr>
      </w:pPr>
      <w:r>
        <w:rPr>
          <w:rFonts w:hint="eastAsia" w:eastAsia="方正仿宋_GBK"/>
          <w:sz w:val="32"/>
          <w:szCs w:val="32"/>
          <w:highlight w:val="none"/>
        </w:rPr>
        <w:t>3</w:t>
      </w:r>
      <w:r>
        <w:rPr>
          <w:rFonts w:eastAsia="方正仿宋_GBK"/>
          <w:sz w:val="32"/>
          <w:szCs w:val="32"/>
          <w:highlight w:val="none"/>
        </w:rPr>
        <w:t>.</w:t>
      </w:r>
      <w:r>
        <w:rPr>
          <w:rFonts w:hint="eastAsia" w:eastAsia="方正仿宋_GBK"/>
          <w:sz w:val="32"/>
          <w:szCs w:val="32"/>
          <w:highlight w:val="none"/>
        </w:rPr>
        <w:t>分析评价</w:t>
      </w:r>
    </w:p>
    <w:p>
      <w:pPr>
        <w:spacing w:line="360" w:lineRule="auto"/>
        <w:ind w:firstLine="640"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各科室项目负责人对自评结果进行分析论证，对执行效果不佳的项目分析原因，总结项目经验。</w:t>
      </w:r>
    </w:p>
    <w:p>
      <w:pPr>
        <w:spacing w:line="360" w:lineRule="auto"/>
        <w:ind w:firstLine="640" w:firstLineChars="200"/>
        <w:rPr>
          <w:rFonts w:eastAsia="方正黑体_GBK"/>
          <w:sz w:val="32"/>
          <w:szCs w:val="32"/>
          <w:highlight w:val="none"/>
        </w:rPr>
      </w:pPr>
      <w:r>
        <w:rPr>
          <w:rFonts w:eastAsia="方正黑体_GBK"/>
          <w:sz w:val="32"/>
          <w:szCs w:val="32"/>
          <w:highlight w:val="none"/>
        </w:rPr>
        <w:t>三、</w:t>
      </w:r>
      <w:r>
        <w:rPr>
          <w:rFonts w:hint="eastAsia" w:eastAsia="方正黑体_GBK"/>
          <w:sz w:val="32"/>
          <w:szCs w:val="32"/>
          <w:highlight w:val="none"/>
        </w:rPr>
        <w:t>绩效</w:t>
      </w:r>
      <w:r>
        <w:rPr>
          <w:rFonts w:eastAsia="方正黑体_GBK"/>
          <w:sz w:val="32"/>
          <w:szCs w:val="32"/>
          <w:highlight w:val="none"/>
        </w:rPr>
        <w:t>评价情况及结论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rPr>
        <w:t>1. 影响民族宗教领域安全稳定事件发生数</w:t>
      </w:r>
      <w:r>
        <w:rPr>
          <w:rFonts w:hint="eastAsia" w:eastAsia="方正仿宋_GBK"/>
          <w:sz w:val="32"/>
          <w:szCs w:val="32"/>
          <w:lang w:eastAsia="zh-CN"/>
        </w:rPr>
        <w:t>（</w:t>
      </w:r>
      <w:r>
        <w:rPr>
          <w:rFonts w:hint="eastAsia" w:eastAsia="方正仿宋_GBK"/>
          <w:sz w:val="32"/>
          <w:szCs w:val="32"/>
          <w:lang w:val="en-US" w:eastAsia="zh-CN"/>
        </w:rPr>
        <w:t>20分</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2021年度，落实“不忘合作初心，继续携手前进”制度</w:t>
      </w:r>
      <w:r>
        <w:rPr>
          <w:rFonts w:eastAsia="方正仿宋_GBK"/>
          <w:sz w:val="32"/>
          <w:szCs w:val="32"/>
        </w:rPr>
        <w:t>，推动各民主党派建立健全思想政治工作长效机制</w:t>
      </w:r>
      <w:r>
        <w:rPr>
          <w:rFonts w:hint="eastAsia" w:eastAsia="方正仿宋_GBK"/>
          <w:sz w:val="32"/>
          <w:szCs w:val="32"/>
        </w:rPr>
        <w:t>，各民主党派组织开展“四史”学习教育120余场次</w:t>
      </w:r>
      <w:r>
        <w:rPr>
          <w:rFonts w:eastAsia="方正仿宋_GBK"/>
          <w:sz w:val="32"/>
          <w:szCs w:val="32"/>
        </w:rPr>
        <w:t>。</w:t>
      </w:r>
      <w:r>
        <w:rPr>
          <w:rFonts w:hint="eastAsia" w:eastAsia="方正仿宋_GBK"/>
          <w:sz w:val="32"/>
          <w:szCs w:val="32"/>
        </w:rPr>
        <w:t>落实中国特色社会主义参政党建设有关文件要求，支持</w:t>
      </w:r>
      <w:r>
        <w:rPr>
          <w:rFonts w:eastAsia="方正仿宋_GBK"/>
          <w:sz w:val="32"/>
          <w:szCs w:val="32"/>
        </w:rPr>
        <w:t>各民主党派</w:t>
      </w:r>
      <w:r>
        <w:rPr>
          <w:rFonts w:hint="eastAsia" w:eastAsia="方正仿宋_GBK"/>
          <w:sz w:val="32"/>
          <w:szCs w:val="32"/>
        </w:rPr>
        <w:t>开展“作风建设年”活动，健全完善成员发展规划、民主生活会、述职评议和纪律处分等制度6项。有效确保不发生民族宗教领域安全稳定事件</w:t>
      </w:r>
      <w:r>
        <w:rPr>
          <w:rFonts w:eastAsia="方正仿宋_GBK"/>
          <w:sz w:val="32"/>
          <w:szCs w:val="32"/>
        </w:rPr>
        <w:t>，该指标绩效评价得分20分。</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服务台资企业（</w:t>
      </w:r>
      <w:r>
        <w:rPr>
          <w:rFonts w:eastAsia="方正仿宋_GBK"/>
          <w:sz w:val="32"/>
          <w:szCs w:val="32"/>
        </w:rPr>
        <w:t>15</w:t>
      </w:r>
      <w:r>
        <w:rPr>
          <w:rFonts w:hint="eastAsia"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2021年度，加强民营经济人士教育引导，聚焦打造营商环境新高地，充分利用“企业吹哨、部门报到”互动机制和“企业之家”线下平台，协同开辟融资新路径，在全区中小微企业和个体工商户积极推广运用“信用金融服务平台”，服务台资企业数年初目标8</w:t>
      </w:r>
      <w:r>
        <w:rPr>
          <w:rFonts w:eastAsia="方正仿宋_GBK"/>
          <w:sz w:val="32"/>
          <w:szCs w:val="32"/>
        </w:rPr>
        <w:t>5</w:t>
      </w:r>
      <w:r>
        <w:rPr>
          <w:rFonts w:hint="eastAsia" w:eastAsia="方正仿宋_GBK"/>
          <w:sz w:val="32"/>
          <w:szCs w:val="32"/>
        </w:rPr>
        <w:t>家，</w:t>
      </w:r>
      <w:r>
        <w:rPr>
          <w:rFonts w:hint="eastAsia" w:eastAsia="方正仿宋_GBK"/>
          <w:sz w:val="32"/>
          <w:szCs w:val="32"/>
          <w:lang w:val="en-US" w:eastAsia="zh-CN"/>
        </w:rPr>
        <w:t>2021年全年实际完成年初目标，</w:t>
      </w:r>
      <w:r>
        <w:rPr>
          <w:rFonts w:eastAsia="方正仿宋_GBK"/>
          <w:sz w:val="32"/>
          <w:szCs w:val="32"/>
        </w:rPr>
        <w:t>该指标绩效评价得分为15分。</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民主党派正常运转率（</w:t>
      </w:r>
      <w:r>
        <w:rPr>
          <w:rFonts w:eastAsia="方正仿宋_GBK"/>
          <w:sz w:val="32"/>
          <w:szCs w:val="32"/>
        </w:rPr>
        <w:t>5</w:t>
      </w:r>
      <w:r>
        <w:rPr>
          <w:rFonts w:hint="eastAsia"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我单位构建以区领导“重点走访”、区级部门“对口走访”、镇街党（工）委“辖区走访”的走访谈心体系，与区内各民主党派成员交心谈心500余人次，收集意见建议310条，推动解决270条，发放经费，保障民主党派正常运转率≥9</w:t>
      </w:r>
      <w:r>
        <w:rPr>
          <w:rFonts w:eastAsia="方正仿宋_GBK"/>
          <w:sz w:val="32"/>
          <w:szCs w:val="32"/>
        </w:rPr>
        <w:t>0%，</w:t>
      </w:r>
      <w:r>
        <w:rPr>
          <w:rFonts w:hint="eastAsia" w:eastAsia="方正仿宋_GBK"/>
          <w:sz w:val="32"/>
          <w:szCs w:val="32"/>
        </w:rPr>
        <w:t>为全区“十四五”开好局、起好步凝聚起团结奋进的磅礴力量，</w:t>
      </w:r>
      <w:r>
        <w:rPr>
          <w:rFonts w:eastAsia="方正仿宋_GBK"/>
          <w:sz w:val="32"/>
          <w:szCs w:val="32"/>
        </w:rPr>
        <w:t>该指标绩效评价得分为5分。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4</w:t>
      </w:r>
      <w:r>
        <w:rPr>
          <w:rFonts w:eastAsia="方正仿宋_GBK"/>
          <w:sz w:val="32"/>
          <w:szCs w:val="32"/>
        </w:rPr>
        <w:t>.</w:t>
      </w:r>
      <w:r>
        <w:rPr>
          <w:rFonts w:hint="eastAsia" w:eastAsia="方正仿宋_GBK"/>
          <w:sz w:val="32"/>
          <w:szCs w:val="32"/>
        </w:rPr>
        <w:t xml:space="preserve"> 培训统战成员（</w:t>
      </w:r>
      <w:r>
        <w:rPr>
          <w:rFonts w:eastAsia="方正仿宋_GBK"/>
          <w:sz w:val="32"/>
          <w:szCs w:val="32"/>
        </w:rPr>
        <w:t>10</w:t>
      </w:r>
      <w:r>
        <w:rPr>
          <w:rFonts w:hint="eastAsia"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我单位着力</w:t>
      </w:r>
      <w:r>
        <w:rPr>
          <w:rFonts w:eastAsia="方正仿宋_GBK"/>
          <w:sz w:val="32"/>
          <w:szCs w:val="32"/>
        </w:rPr>
        <w:t>加强党的政治建设，持续开展机关党建工作</w:t>
      </w:r>
      <w:r>
        <w:rPr>
          <w:rFonts w:hint="eastAsia" w:eastAsia="方正仿宋_GBK"/>
          <w:sz w:val="32"/>
          <w:szCs w:val="32"/>
        </w:rPr>
        <w:t>“三基”</w:t>
      </w:r>
      <w:r>
        <w:rPr>
          <w:rFonts w:eastAsia="方正仿宋_GBK"/>
          <w:sz w:val="32"/>
          <w:szCs w:val="32"/>
        </w:rPr>
        <w:t>建设</w:t>
      </w:r>
      <w:r>
        <w:rPr>
          <w:rFonts w:hint="eastAsia" w:eastAsia="方正仿宋_GBK"/>
          <w:sz w:val="32"/>
          <w:szCs w:val="32"/>
        </w:rPr>
        <w:t>，全面落实“三会一课”要求，扎实开好民主生活会和组织生活会</w:t>
      </w:r>
      <w:r>
        <w:rPr>
          <w:rFonts w:eastAsia="方正仿宋_GBK"/>
          <w:sz w:val="32"/>
          <w:szCs w:val="32"/>
        </w:rPr>
        <w:t>。</w:t>
      </w:r>
      <w:r>
        <w:rPr>
          <w:rFonts w:hint="eastAsia" w:eastAsia="方正仿宋_GBK"/>
          <w:sz w:val="32"/>
          <w:szCs w:val="32"/>
        </w:rPr>
        <w:t>做好“党建引领、小区治理”“党建引领、乡风治理”</w:t>
      </w:r>
      <w:r>
        <w:rPr>
          <w:rFonts w:eastAsia="方正仿宋_GBK"/>
          <w:sz w:val="32"/>
          <w:szCs w:val="32"/>
        </w:rPr>
        <w:t>工作</w:t>
      </w:r>
      <w:r>
        <w:rPr>
          <w:rFonts w:hint="eastAsia" w:eastAsia="方正仿宋_GBK"/>
          <w:sz w:val="32"/>
          <w:szCs w:val="32"/>
        </w:rPr>
        <w:t>，共培训统战成员</w:t>
      </w:r>
      <w:r>
        <w:rPr>
          <w:rFonts w:hint="eastAsia" w:eastAsia="方正仿宋_GBK"/>
          <w:sz w:val="32"/>
          <w:szCs w:val="32"/>
          <w:lang w:val="en-US" w:eastAsia="zh-CN"/>
        </w:rPr>
        <w:t>超过</w:t>
      </w:r>
      <w:r>
        <w:rPr>
          <w:rFonts w:hint="eastAsia" w:eastAsia="方正仿宋_GBK"/>
          <w:sz w:val="32"/>
          <w:szCs w:val="32"/>
        </w:rPr>
        <w:t>2</w:t>
      </w:r>
      <w:r>
        <w:rPr>
          <w:rFonts w:eastAsia="方正仿宋_GBK"/>
          <w:sz w:val="32"/>
          <w:szCs w:val="32"/>
        </w:rPr>
        <w:t>00</w:t>
      </w:r>
      <w:r>
        <w:rPr>
          <w:rFonts w:hint="eastAsia" w:eastAsia="方正仿宋_GBK"/>
          <w:sz w:val="32"/>
          <w:szCs w:val="32"/>
        </w:rPr>
        <w:t>人，</w:t>
      </w:r>
      <w:r>
        <w:rPr>
          <w:rFonts w:eastAsia="方正仿宋_GBK"/>
          <w:sz w:val="32"/>
          <w:szCs w:val="32"/>
        </w:rPr>
        <w:t>该指标绩效评价得分为</w:t>
      </w:r>
      <w:r>
        <w:rPr>
          <w:rFonts w:hint="eastAsia" w:eastAsia="方正仿宋_GBK"/>
          <w:sz w:val="32"/>
          <w:szCs w:val="32"/>
        </w:rPr>
        <w:t>10</w:t>
      </w:r>
      <w:r>
        <w:rPr>
          <w:rFonts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left="0" w:firstLine="640" w:firstLineChars="200"/>
        <w:textAlignment w:val="auto"/>
        <w:rPr>
          <w:rFonts w:eastAsia="方正仿宋_GBK"/>
          <w:sz w:val="32"/>
          <w:szCs w:val="32"/>
        </w:rPr>
      </w:pPr>
      <w:r>
        <w:rPr>
          <w:rFonts w:hint="eastAsia" w:eastAsia="方正仿宋_GBK"/>
          <w:sz w:val="32"/>
          <w:szCs w:val="32"/>
        </w:rPr>
        <w:t>5</w:t>
      </w:r>
      <w:r>
        <w:rPr>
          <w:rFonts w:eastAsia="方正仿宋_GBK"/>
          <w:sz w:val="32"/>
          <w:szCs w:val="32"/>
        </w:rPr>
        <w:t>.</w:t>
      </w:r>
      <w:r>
        <w:rPr>
          <w:rFonts w:hint="eastAsia" w:eastAsia="方正仿宋_GBK"/>
          <w:sz w:val="32"/>
          <w:szCs w:val="32"/>
        </w:rPr>
        <w:t xml:space="preserve"> 项目绩效管理率（</w:t>
      </w:r>
      <w:r>
        <w:rPr>
          <w:rFonts w:eastAsia="方正仿宋_GBK"/>
          <w:sz w:val="32"/>
          <w:szCs w:val="32"/>
        </w:rPr>
        <w:t>10</w:t>
      </w:r>
      <w:r>
        <w:rPr>
          <w:rFonts w:hint="eastAsia"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2021年度，我单位根据实际情况，按时、规范的进行绩效管理，年初目标值≥9</w:t>
      </w:r>
      <w:r>
        <w:rPr>
          <w:rFonts w:eastAsia="方正仿宋_GBK"/>
          <w:sz w:val="32"/>
          <w:szCs w:val="32"/>
        </w:rPr>
        <w:t>0%</w:t>
      </w:r>
      <w:r>
        <w:rPr>
          <w:rFonts w:hint="eastAsia" w:eastAsia="方正仿宋_GBK"/>
          <w:sz w:val="32"/>
          <w:szCs w:val="32"/>
        </w:rPr>
        <w:t>，实际完成值≥</w:t>
      </w:r>
      <w:r>
        <w:rPr>
          <w:rFonts w:eastAsia="方正仿宋_GBK"/>
          <w:sz w:val="32"/>
          <w:szCs w:val="32"/>
        </w:rPr>
        <w:t>90%</w:t>
      </w:r>
      <w:r>
        <w:rPr>
          <w:rFonts w:hint="eastAsia" w:eastAsia="方正仿宋_GBK"/>
          <w:sz w:val="32"/>
          <w:szCs w:val="32"/>
        </w:rPr>
        <w:t>，</w:t>
      </w:r>
      <w:r>
        <w:rPr>
          <w:rFonts w:eastAsia="方正仿宋_GBK"/>
          <w:sz w:val="32"/>
          <w:szCs w:val="32"/>
        </w:rPr>
        <w:t>该指标绩效评价得分为10分。</w:t>
      </w:r>
    </w:p>
    <w:p>
      <w:pPr>
        <w:keepNext w:val="0"/>
        <w:keepLines w:val="0"/>
        <w:pageBreakBefore w:val="0"/>
        <w:widowControl w:val="0"/>
        <w:numPr>
          <w:ilvl w:val="0"/>
          <w:numId w:val="5"/>
        </w:numPr>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预决算公开率（涉密信息除外）（10分）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2021年度，我单位预决算公开率1</w:t>
      </w:r>
      <w:r>
        <w:rPr>
          <w:rFonts w:eastAsia="方正仿宋_GBK"/>
          <w:sz w:val="32"/>
          <w:szCs w:val="32"/>
        </w:rPr>
        <w:t>00%</w:t>
      </w:r>
      <w:r>
        <w:rPr>
          <w:rFonts w:hint="eastAsia" w:eastAsia="方正仿宋_GBK"/>
          <w:sz w:val="32"/>
          <w:szCs w:val="32"/>
        </w:rPr>
        <w:t>，按照相关要求进行公开，</w:t>
      </w:r>
      <w:r>
        <w:rPr>
          <w:rFonts w:eastAsia="方正仿宋_GBK"/>
          <w:sz w:val="32"/>
          <w:szCs w:val="32"/>
        </w:rPr>
        <w:t>该指标绩效评价得分为</w:t>
      </w:r>
      <w:r>
        <w:rPr>
          <w:rFonts w:hint="eastAsia" w:eastAsia="方正仿宋_GBK"/>
          <w:sz w:val="32"/>
          <w:szCs w:val="32"/>
        </w:rPr>
        <w:t>1</w:t>
      </w:r>
      <w:r>
        <w:rPr>
          <w:rFonts w:eastAsia="方正仿宋_GBK"/>
          <w:sz w:val="32"/>
          <w:szCs w:val="32"/>
        </w:rPr>
        <w:t>0分。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eastAsia="方正仿宋_GBK"/>
          <w:sz w:val="32"/>
          <w:szCs w:val="32"/>
        </w:rPr>
        <w:t>7.</w:t>
      </w:r>
      <w:r>
        <w:rPr>
          <w:rFonts w:hint="eastAsia" w:eastAsia="方正仿宋_GBK"/>
          <w:sz w:val="32"/>
          <w:szCs w:val="32"/>
        </w:rPr>
        <w:t>本单位职工满意度（</w:t>
      </w:r>
      <w:r>
        <w:rPr>
          <w:rFonts w:eastAsia="方正仿宋_GBK"/>
          <w:sz w:val="32"/>
          <w:szCs w:val="32"/>
        </w:rPr>
        <w:t>15</w:t>
      </w:r>
      <w:r>
        <w:rPr>
          <w:rFonts w:hint="eastAsia"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绩效自评工作小组对本单位职工进行了内部调查，</w:t>
      </w:r>
      <w:r>
        <w:rPr>
          <w:rFonts w:hint="eastAsia" w:eastAsia="方正仿宋_GBK"/>
          <w:sz w:val="32"/>
          <w:szCs w:val="32"/>
          <w:lang w:val="en-US" w:eastAsia="zh-CN"/>
        </w:rPr>
        <w:t>单位</w:t>
      </w:r>
      <w:r>
        <w:rPr>
          <w:rFonts w:hint="eastAsia" w:eastAsia="方正仿宋_GBK"/>
          <w:sz w:val="32"/>
          <w:szCs w:val="32"/>
        </w:rPr>
        <w:t>职工对我单位的相关工作满意度达9</w:t>
      </w:r>
      <w:r>
        <w:rPr>
          <w:rFonts w:eastAsia="方正仿宋_GBK"/>
          <w:sz w:val="32"/>
          <w:szCs w:val="32"/>
        </w:rPr>
        <w:t>0</w:t>
      </w:r>
      <w:r>
        <w:rPr>
          <w:rFonts w:hint="eastAsia" w:eastAsia="方正仿宋_GBK"/>
          <w:sz w:val="32"/>
          <w:szCs w:val="32"/>
        </w:rPr>
        <w:t>%以上，该指标绩效评价得分为1</w:t>
      </w:r>
      <w:r>
        <w:rPr>
          <w:rFonts w:hint="eastAsia" w:eastAsia="方正仿宋_GBK"/>
          <w:sz w:val="32"/>
          <w:szCs w:val="32"/>
          <w:lang w:val="en-US" w:eastAsia="zh-CN"/>
        </w:rPr>
        <w:t>5</w:t>
      </w:r>
      <w:r>
        <w:rPr>
          <w:rFonts w:hint="eastAsia" w:eastAsia="方正仿宋_GBK"/>
          <w:sz w:val="32"/>
          <w:szCs w:val="32"/>
        </w:rPr>
        <w:t>分。</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eastAsia="方正仿宋_GBK"/>
          <w:sz w:val="32"/>
          <w:szCs w:val="32"/>
        </w:rPr>
        <w:t>8.</w:t>
      </w:r>
      <w:r>
        <w:rPr>
          <w:rFonts w:hint="eastAsia" w:eastAsia="方正仿宋_GBK"/>
          <w:sz w:val="32"/>
          <w:szCs w:val="32"/>
        </w:rPr>
        <w:t xml:space="preserve"> 供养人员满意度（</w:t>
      </w:r>
      <w:r>
        <w:rPr>
          <w:rFonts w:eastAsia="方正仿宋_GBK"/>
          <w:sz w:val="32"/>
          <w:szCs w:val="32"/>
        </w:rPr>
        <w:t>15</w:t>
      </w:r>
      <w:r>
        <w:rPr>
          <w:rFonts w:hint="eastAsia"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sz w:val="32"/>
          <w:szCs w:val="32"/>
        </w:rPr>
      </w:pPr>
      <w:r>
        <w:rPr>
          <w:rFonts w:hint="eastAsia" w:eastAsia="方正仿宋_GBK"/>
          <w:sz w:val="32"/>
          <w:szCs w:val="32"/>
        </w:rPr>
        <w:t>绩效自评工作小组对供养人员进行了社会调查，供养人员对我单位的相关工作满意度达9</w:t>
      </w:r>
      <w:r>
        <w:rPr>
          <w:rFonts w:eastAsia="方正仿宋_GBK"/>
          <w:sz w:val="32"/>
          <w:szCs w:val="32"/>
        </w:rPr>
        <w:t>0</w:t>
      </w:r>
      <w:r>
        <w:rPr>
          <w:rFonts w:hint="eastAsia" w:eastAsia="方正仿宋_GBK"/>
          <w:sz w:val="32"/>
          <w:szCs w:val="32"/>
        </w:rPr>
        <w:t>%以上，</w:t>
      </w:r>
      <w:r>
        <w:rPr>
          <w:rFonts w:eastAsia="方正仿宋_GBK"/>
          <w:sz w:val="32"/>
          <w:szCs w:val="32"/>
        </w:rPr>
        <w:t>该指标绩效评价得分为</w:t>
      </w:r>
      <w:r>
        <w:rPr>
          <w:rFonts w:hint="eastAsia" w:eastAsia="方正仿宋_GBK"/>
          <w:sz w:val="32"/>
          <w:szCs w:val="32"/>
        </w:rPr>
        <w:t>1</w:t>
      </w:r>
      <w:r>
        <w:rPr>
          <w:rFonts w:hint="eastAsia" w:eastAsia="方正仿宋_GBK"/>
          <w:sz w:val="32"/>
          <w:szCs w:val="32"/>
          <w:lang w:val="en-US" w:eastAsia="zh-CN"/>
        </w:rPr>
        <w:t>5</w:t>
      </w:r>
      <w:r>
        <w:rPr>
          <w:rFonts w:eastAsia="方正仿宋_GBK"/>
          <w:sz w:val="32"/>
          <w:szCs w:val="32"/>
        </w:rPr>
        <w:t>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eastAsia="方正仿宋_GBK"/>
          <w:sz w:val="32"/>
          <w:szCs w:val="32"/>
        </w:rPr>
      </w:pPr>
      <w:r>
        <w:rPr>
          <w:rFonts w:hint="eastAsia" w:eastAsia="方正仿宋_GBK"/>
          <w:sz w:val="32"/>
          <w:szCs w:val="32"/>
        </w:rPr>
        <w:t>（二）绩效评价结论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eastAsia="方正仿宋_GBK"/>
          <w:sz w:val="32"/>
          <w:szCs w:val="32"/>
          <w:highlight w:val="none"/>
        </w:rPr>
      </w:pPr>
      <w:r>
        <w:rPr>
          <w:rFonts w:hint="eastAsia" w:eastAsia="方正仿宋_GBK"/>
          <w:sz w:val="32"/>
          <w:szCs w:val="32"/>
          <w:highlight w:val="none"/>
        </w:rPr>
        <w:t>本次绩效评价综合得分</w:t>
      </w:r>
      <w:r>
        <w:rPr>
          <w:rFonts w:eastAsia="方正仿宋_GBK"/>
          <w:sz w:val="32"/>
          <w:szCs w:val="32"/>
          <w:highlight w:val="none"/>
        </w:rPr>
        <w:t>100</w:t>
      </w:r>
      <w:r>
        <w:rPr>
          <w:rFonts w:hint="eastAsia" w:eastAsia="方正仿宋_GBK"/>
          <w:sz w:val="32"/>
          <w:szCs w:val="32"/>
          <w:highlight w:val="none"/>
        </w:rPr>
        <w:t>分，绩效评价等级为“优”。</w:t>
      </w:r>
    </w:p>
    <w:p>
      <w:pPr>
        <w:numPr>
          <w:ilvl w:val="0"/>
          <w:numId w:val="6"/>
        </w:numPr>
        <w:spacing w:line="360" w:lineRule="auto"/>
        <w:ind w:firstLine="640" w:firstLineChars="200"/>
        <w:rPr>
          <w:rFonts w:eastAsia="方正黑体_GBK"/>
          <w:sz w:val="32"/>
          <w:szCs w:val="32"/>
          <w:highlight w:val="none"/>
        </w:rPr>
      </w:pPr>
      <w:r>
        <w:rPr>
          <w:rFonts w:eastAsia="方正黑体_GBK"/>
          <w:sz w:val="32"/>
          <w:szCs w:val="32"/>
          <w:highlight w:val="none"/>
        </w:rPr>
        <w:t>主要经验及做法</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eastAsia="方正仿宋_GBK"/>
          <w:sz w:val="32"/>
          <w:szCs w:val="32"/>
          <w:highlight w:val="none"/>
          <w:lang w:val="en-US" w:eastAsia="zh-CN"/>
        </w:rPr>
      </w:pPr>
      <w:r>
        <w:rPr>
          <w:rFonts w:hint="eastAsia" w:eastAsia="方正仿宋_GBK"/>
          <w:sz w:val="32"/>
          <w:szCs w:val="32"/>
          <w:highlight w:val="none"/>
        </w:rPr>
        <w:t>制定</w:t>
      </w:r>
      <w:r>
        <w:rPr>
          <w:rFonts w:hint="eastAsia" w:eastAsia="方正仿宋_GBK"/>
          <w:sz w:val="32"/>
          <w:szCs w:val="32"/>
          <w:highlight w:val="none"/>
          <w:lang w:val="en-US" w:eastAsia="zh-CN"/>
        </w:rPr>
        <w:t>预算绩效管理</w:t>
      </w:r>
      <w:r>
        <w:rPr>
          <w:rFonts w:hint="eastAsia" w:eastAsia="方正仿宋_GBK"/>
          <w:sz w:val="32"/>
          <w:szCs w:val="32"/>
          <w:highlight w:val="none"/>
        </w:rPr>
        <w:t>内部控制制度，为提高部门履职效益提供保障</w:t>
      </w:r>
      <w:r>
        <w:rPr>
          <w:rFonts w:hint="eastAsia" w:eastAsia="方正仿宋_GBK"/>
          <w:sz w:val="32"/>
          <w:szCs w:val="32"/>
          <w:highlight w:val="none"/>
          <w:lang w:eastAsia="zh-CN"/>
        </w:rPr>
        <w:t>，</w:t>
      </w:r>
      <w:r>
        <w:rPr>
          <w:rFonts w:hint="eastAsia" w:eastAsia="方正仿宋_GBK"/>
          <w:sz w:val="32"/>
          <w:szCs w:val="32"/>
          <w:highlight w:val="none"/>
        </w:rPr>
        <w:t>规范日常工作和业务工作的执行，</w:t>
      </w:r>
      <w:r>
        <w:rPr>
          <w:rFonts w:hint="eastAsia" w:eastAsia="方正仿宋_GBK"/>
          <w:sz w:val="32"/>
          <w:szCs w:val="32"/>
          <w:highlight w:val="none"/>
          <w:lang w:val="en-US" w:eastAsia="zh-CN"/>
        </w:rPr>
        <w:t>加强部门项目预算绩效管理的可操作性、规范性。</w:t>
      </w:r>
    </w:p>
    <w:p>
      <w:pPr>
        <w:spacing w:line="360" w:lineRule="auto"/>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spacing w:line="360" w:lineRule="auto"/>
        <w:ind w:firstLine="640" w:firstLineChars="200"/>
        <w:rPr>
          <w:rFonts w:eastAsia="方正仿宋_GBK"/>
          <w:sz w:val="32"/>
          <w:szCs w:val="32"/>
        </w:rPr>
      </w:pPr>
      <w:r>
        <w:rPr>
          <w:rFonts w:hint="eastAsia" w:eastAsia="方正仿宋_GBK"/>
          <w:sz w:val="32"/>
          <w:szCs w:val="32"/>
        </w:rPr>
        <w:t>（一）存在的问题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通过开展2021年绩效自评工作，发现我单位在预算绩效管理方面存在的问题有：个别项目绩效指标设置不够清晰、不够细化，导致绩效指标难以量化，使得绩效考核缺乏明确、细化的指标依据。</w:t>
      </w:r>
    </w:p>
    <w:p>
      <w:pPr>
        <w:spacing w:line="360" w:lineRule="auto"/>
        <w:ind w:firstLine="640" w:firstLineChars="200"/>
        <w:rPr>
          <w:rFonts w:eastAsia="方正仿宋_GBK"/>
          <w:sz w:val="32"/>
          <w:szCs w:val="32"/>
        </w:rPr>
      </w:pPr>
      <w:r>
        <w:rPr>
          <w:rFonts w:hint="eastAsia" w:eastAsia="方正仿宋_GBK"/>
          <w:sz w:val="32"/>
          <w:szCs w:val="32"/>
        </w:rPr>
        <w:t>（二）有关建议</w:t>
      </w:r>
    </w:p>
    <w:p>
      <w:pPr>
        <w:pStyle w:val="4"/>
        <w:shd w:val="clear" w:color="auto" w:fill="FFFFFF"/>
        <w:spacing w:before="0" w:beforeAutospacing="0" w:after="0" w:afterAutospacing="0" w:line="560" w:lineRule="atLeast"/>
        <w:ind w:firstLine="640"/>
        <w:jc w:val="both"/>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 科学合理编制预算，严格执行预算。进一步提高预算编制到位率，做准做全基本支出预算，做全项目支出预算，加强预算支出的审核、跟踪及预算执行情况分析，提高预算编制严谨性和可控性。</w:t>
      </w:r>
    </w:p>
    <w:p>
      <w:pPr>
        <w:pStyle w:val="4"/>
        <w:shd w:val="clear" w:color="auto" w:fill="FFFFFF"/>
        <w:spacing w:before="0" w:beforeAutospacing="0" w:after="0" w:afterAutospacing="0" w:line="560" w:lineRule="atLeast"/>
        <w:ind w:firstLine="640"/>
        <w:jc w:val="both"/>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 进一步加强项目资金管理。严格实行项目管理程序化，实现项目申报、实施、拨付、评价全流程监督与控制，规范专项资金管理，提高专项资金的使用效益。</w:t>
      </w:r>
    </w:p>
    <w:p>
      <w:pPr>
        <w:spacing w:line="360" w:lineRule="auto"/>
        <w:ind w:firstLine="640" w:firstLineChars="200"/>
        <w:rPr>
          <w:rFonts w:eastAsia="方正黑体_GBK"/>
          <w:sz w:val="32"/>
          <w:szCs w:val="32"/>
        </w:rPr>
      </w:pPr>
    </w:p>
    <w:p>
      <w:pPr>
        <w:spacing w:line="360" w:lineRule="auto"/>
        <w:ind w:firstLine="640" w:firstLineChars="200"/>
        <w:rPr>
          <w:rFonts w:eastAsia="方正黑体_GBK"/>
          <w:sz w:val="32"/>
          <w:szCs w:val="32"/>
        </w:rPr>
      </w:pPr>
    </w:p>
    <w:p>
      <w:pPr>
        <w:spacing w:line="360" w:lineRule="auto"/>
        <w:ind w:firstLine="640" w:firstLineChars="200"/>
        <w:rPr>
          <w:rFonts w:eastAsia="方正黑体_GBK"/>
          <w:sz w:val="32"/>
          <w:szCs w:val="32"/>
        </w:rPr>
      </w:pPr>
    </w:p>
    <w:p>
      <w:pPr>
        <w:pStyle w:val="7"/>
        <w:spacing w:line="360" w:lineRule="auto"/>
        <w:ind w:left="359" w:leftChars="171" w:firstLine="88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中共重庆市璧山区委统战部</w:t>
      </w:r>
    </w:p>
    <w:p>
      <w:pPr>
        <w:pStyle w:val="7"/>
        <w:spacing w:line="360" w:lineRule="auto"/>
        <w:ind w:left="359" w:leftChars="171" w:firstLine="880"/>
        <w:jc w:val="center"/>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2022年3月23日</w:t>
      </w:r>
    </w:p>
    <w:p>
      <w:pPr>
        <w:spacing w:line="360" w:lineRule="auto"/>
        <w:ind w:firstLine="640" w:firstLineChars="200"/>
        <w:rPr>
          <w:rFonts w:hint="eastAsia" w:eastAsia="方正黑体_GBK"/>
          <w:sz w:val="32"/>
          <w:szCs w:val="32"/>
          <w:lang w:val="en-US" w:eastAsia="zh-CN"/>
        </w:rPr>
      </w:pPr>
    </w:p>
    <w:p>
      <w:pPr>
        <w:spacing w:line="360" w:lineRule="auto"/>
        <w:ind w:firstLine="640" w:firstLineChars="200"/>
        <w:jc w:val="right"/>
        <w:rPr>
          <w:rFonts w:eastAsia="方正仿宋_GBK"/>
          <w:sz w:val="32"/>
          <w:szCs w:val="32"/>
        </w:rPr>
      </w:pPr>
      <w:bookmarkStart w:id="0" w:name="_GoBack"/>
      <w:bookmarkEnd w:id="0"/>
    </w:p>
    <w:p>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51332143">
    <w:nsid w:val="26D28A2F"/>
    <w:multiLevelType w:val="singleLevel"/>
    <w:tmpl w:val="26D28A2F"/>
    <w:lvl w:ilvl="0" w:tentative="1">
      <w:start w:val="1"/>
      <w:numFmt w:val="chineseCounting"/>
      <w:suff w:val="nothing"/>
      <w:lvlText w:val="%1、"/>
      <w:lvlJc w:val="left"/>
      <w:rPr>
        <w:rFonts w:hint="eastAsia"/>
      </w:rPr>
    </w:lvl>
  </w:abstractNum>
  <w:abstractNum w:abstractNumId="2785183233">
    <w:nsid w:val="A6028601"/>
    <w:multiLevelType w:val="singleLevel"/>
    <w:tmpl w:val="A6028601"/>
    <w:lvl w:ilvl="0" w:tentative="1">
      <w:start w:val="1"/>
      <w:numFmt w:val="chineseCounting"/>
      <w:suff w:val="nothing"/>
      <w:lvlText w:val="（%1）"/>
      <w:lvlJc w:val="left"/>
      <w:rPr>
        <w:rFonts w:hint="eastAsia"/>
      </w:rPr>
    </w:lvl>
  </w:abstractNum>
  <w:abstractNum w:abstractNumId="2682101952">
    <w:nsid w:val="9FDDA0C0"/>
    <w:multiLevelType w:val="singleLevel"/>
    <w:tmpl w:val="9FDDA0C0"/>
    <w:lvl w:ilvl="0" w:tentative="1">
      <w:start w:val="1"/>
      <w:numFmt w:val="decimal"/>
      <w:suff w:val="space"/>
      <w:lvlText w:val="%1."/>
      <w:lvlJc w:val="left"/>
    </w:lvl>
  </w:abstractNum>
  <w:abstractNum w:abstractNumId="2377262191">
    <w:nsid w:val="8DB2246F"/>
    <w:multiLevelType w:val="singleLevel"/>
    <w:tmpl w:val="8DB2246F"/>
    <w:lvl w:ilvl="0" w:tentative="1">
      <w:start w:val="2"/>
      <w:numFmt w:val="decimal"/>
      <w:suff w:val="space"/>
      <w:lvlText w:val="%1."/>
      <w:lvlJc w:val="left"/>
    </w:lvl>
  </w:abstractNum>
  <w:abstractNum w:abstractNumId="650195610">
    <w:nsid w:val="26C1329A"/>
    <w:multiLevelType w:val="singleLevel"/>
    <w:tmpl w:val="26C1329A"/>
    <w:lvl w:ilvl="0" w:tentative="1">
      <w:start w:val="6"/>
      <w:numFmt w:val="decimal"/>
      <w:suff w:val="space"/>
      <w:lvlText w:val="%1."/>
      <w:lvlJc w:val="left"/>
    </w:lvl>
  </w:abstractNum>
  <w:abstractNum w:abstractNumId="929574791">
    <w:nsid w:val="37682F87"/>
    <w:multiLevelType w:val="singleLevel"/>
    <w:tmpl w:val="37682F87"/>
    <w:lvl w:ilvl="0" w:tentative="1">
      <w:start w:val="4"/>
      <w:numFmt w:val="chineseCounting"/>
      <w:suff w:val="nothing"/>
      <w:lvlText w:val="%1、"/>
      <w:lvlJc w:val="left"/>
      <w:rPr>
        <w:rFonts w:hint="eastAsia"/>
      </w:rPr>
    </w:lvl>
  </w:abstractNum>
  <w:num w:numId="1">
    <w:abstractNumId w:val="651332143"/>
  </w:num>
  <w:num w:numId="2">
    <w:abstractNumId w:val="2785183233"/>
  </w:num>
  <w:num w:numId="3">
    <w:abstractNumId w:val="2682101952"/>
  </w:num>
  <w:num w:numId="4">
    <w:abstractNumId w:val="2377262191"/>
  </w:num>
  <w:num w:numId="5">
    <w:abstractNumId w:val="650195610"/>
  </w:num>
  <w:num w:numId="6">
    <w:abstractNumId w:val="9295747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05"/>
    <w:rsid w:val="0010615E"/>
    <w:rsid w:val="0018539C"/>
    <w:rsid w:val="001C6EF0"/>
    <w:rsid w:val="0064138F"/>
    <w:rsid w:val="006909EF"/>
    <w:rsid w:val="007C3D6A"/>
    <w:rsid w:val="00835495"/>
    <w:rsid w:val="00983BE8"/>
    <w:rsid w:val="00B37205"/>
    <w:rsid w:val="00D938F1"/>
    <w:rsid w:val="00E36782"/>
    <w:rsid w:val="00F75873"/>
    <w:rsid w:val="00F81A8C"/>
    <w:rsid w:val="1CC95DCA"/>
    <w:rsid w:val="22037A3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style>
  <w:style w:type="character" w:customStyle="1" w:styleId="8">
    <w:name w:val="页眉 字符"/>
    <w:basedOn w:val="5"/>
    <w:link w:val="3"/>
    <w:uiPriority w:val="99"/>
    <w:rPr>
      <w:rFonts w:ascii="Times New Roman" w:hAnsi="Times New Roman" w:eastAsia="宋体" w:cs="Times New Roman"/>
      <w:sz w:val="18"/>
      <w:szCs w:val="18"/>
    </w:rPr>
  </w:style>
  <w:style w:type="character" w:customStyle="1" w:styleId="9">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479</Words>
  <Characters>2731</Characters>
  <Lines>22</Lines>
  <Paragraphs>6</Paragraphs>
  <TotalTime>0</TotalTime>
  <ScaleCrop>false</ScaleCrop>
  <LinksUpToDate>false</LinksUpToDate>
  <CharactersWithSpaces>3204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2022-03-17T02:18:00Z</dcterms:created>
  <dc:creator>张 三</dc:creator>
  <cp:lastModifiedBy>Administrator</cp:lastModifiedBy>
  <dcterms:modified xsi:type="dcterms:W3CDTF">2022-10-12T08:28:06Z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8848122E32CD46B6A21357AFA5416413</vt:lpwstr>
  </property>
</Properties>
</file>