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90" w:rsidRDefault="00760459">
      <w:pPr>
        <w:pStyle w:val="a6"/>
        <w:spacing w:line="600" w:lineRule="exact"/>
        <w:ind w:leftChars="171" w:left="359" w:firstLineChars="250" w:firstLine="1100"/>
        <w:jc w:val="center"/>
        <w:rPr>
          <w:rFonts w:eastAsia="方正小标宋_GBK"/>
          <w:sz w:val="44"/>
          <w:szCs w:val="32"/>
        </w:rPr>
      </w:pPr>
      <w:bookmarkStart w:id="0" w:name="_GoBack"/>
      <w:bookmarkEnd w:id="0"/>
      <w:r>
        <w:rPr>
          <w:rFonts w:eastAsia="方正小标宋_GBK" w:hint="eastAsia"/>
          <w:sz w:val="44"/>
          <w:szCs w:val="32"/>
        </w:rPr>
        <w:t>重</w:t>
      </w:r>
      <w:r w:rsidR="00A30327">
        <w:rPr>
          <w:rFonts w:eastAsia="方正小标宋_GBK" w:hint="eastAsia"/>
          <w:sz w:val="44"/>
          <w:szCs w:val="32"/>
        </w:rPr>
        <w:t>庆市璧山区群团活动中心</w:t>
      </w:r>
    </w:p>
    <w:p w:rsidR="00BB6B90" w:rsidRDefault="00760459">
      <w:pPr>
        <w:pStyle w:val="a6"/>
        <w:spacing w:line="600" w:lineRule="exact"/>
        <w:ind w:leftChars="171" w:left="359" w:firstLineChars="250" w:firstLine="1100"/>
        <w:jc w:val="center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</w:t>
      </w:r>
      <w:r>
        <w:rPr>
          <w:rFonts w:eastAsia="方正小标宋_GBK" w:hint="eastAsia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eastAsia="方正小标宋_GBK" w:hint="eastAsia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 w:rsidR="00BB6B90" w:rsidRDefault="00BB6B90">
      <w:pPr>
        <w:pStyle w:val="a6"/>
        <w:spacing w:line="600" w:lineRule="exact"/>
        <w:ind w:left="357" w:firstLine="640"/>
        <w:rPr>
          <w:rFonts w:eastAsia="方正仿宋_GBK"/>
          <w:sz w:val="32"/>
          <w:szCs w:val="32"/>
        </w:rPr>
      </w:pPr>
    </w:p>
    <w:p w:rsidR="00BB6B90" w:rsidRDefault="00760459">
      <w:pPr>
        <w:spacing w:line="60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eastAsia="方正黑体_GBK" w:hint="eastAsia"/>
          <w:sz w:val="32"/>
          <w:szCs w:val="32"/>
        </w:rPr>
        <w:t>情况</w:t>
      </w:r>
    </w:p>
    <w:p w:rsidR="00A30327" w:rsidRDefault="00A30327">
      <w:pPr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0B5DB9">
        <w:rPr>
          <w:rFonts w:eastAsia="方正仿宋_GBK"/>
          <w:sz w:val="32"/>
          <w:szCs w:val="32"/>
        </w:rPr>
        <w:t>（一）</w:t>
      </w:r>
      <w:r>
        <w:rPr>
          <w:rFonts w:eastAsia="方正仿宋_GBK" w:hint="eastAsia"/>
          <w:sz w:val="32"/>
          <w:szCs w:val="32"/>
        </w:rPr>
        <w:t>单位基本情况</w:t>
      </w:r>
      <w:r w:rsidRPr="000B5DB9">
        <w:rPr>
          <w:rFonts w:eastAsia="方正仿宋_GBK"/>
          <w:sz w:val="32"/>
          <w:szCs w:val="32"/>
        </w:rPr>
        <w:t>。</w:t>
      </w:r>
    </w:p>
    <w:p w:rsidR="00BB6B90" w:rsidRDefault="00760459">
      <w:pPr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 w:rsidR="00A30327">
        <w:rPr>
          <w:rFonts w:eastAsia="方正仿宋_GBK" w:hint="eastAsia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单位构成</w:t>
      </w:r>
    </w:p>
    <w:p w:rsidR="00A30327" w:rsidRPr="00EA50C4" w:rsidRDefault="00A30327" w:rsidP="00EA50C4">
      <w:pPr>
        <w:spacing w:line="600" w:lineRule="exact"/>
        <w:ind w:firstLineChars="200" w:firstLine="640"/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 w:rsidRPr="00EA50C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重庆市璧山区群团活动中心为财政全额补助的正科级事业单位，中心定编11名，实有在编职工11名。其中：七级职员1名，八级职员1名，九级职员1名，专技八级1名，专技九级2名，专技十级1名，专技十一级2名，专技十二级2名；另有经区府批准的临聘驾驶员1名。</w:t>
      </w:r>
    </w:p>
    <w:p w:rsidR="00BB6B90" w:rsidRPr="00EA50C4" w:rsidRDefault="00760459" w:rsidP="00A30327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EA50C4">
        <w:rPr>
          <w:rFonts w:ascii="方正仿宋_GBK" w:eastAsia="方正仿宋_GBK" w:hint="eastAsia"/>
          <w:sz w:val="32"/>
          <w:szCs w:val="32"/>
        </w:rPr>
        <w:t>2</w:t>
      </w:r>
      <w:r w:rsidR="00A30327" w:rsidRPr="00EA50C4">
        <w:rPr>
          <w:rFonts w:ascii="方正仿宋_GBK" w:eastAsia="方正仿宋_GBK" w:hint="eastAsia"/>
          <w:sz w:val="32"/>
          <w:szCs w:val="32"/>
        </w:rPr>
        <w:t>、</w:t>
      </w:r>
      <w:r w:rsidRPr="00EA50C4">
        <w:rPr>
          <w:rFonts w:ascii="方正仿宋_GBK" w:eastAsia="方正仿宋_GBK" w:hint="eastAsia"/>
          <w:sz w:val="32"/>
          <w:szCs w:val="32"/>
        </w:rPr>
        <w:t>职能职责</w:t>
      </w:r>
    </w:p>
    <w:p w:rsidR="00A30327" w:rsidRPr="00EA50C4" w:rsidRDefault="00A30327" w:rsidP="00EA50C4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EA50C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单位现行的职能职责为工青妇组织开展活动提供服务。主要负责协助区总工会、区团委、区妇联开展职工、青少年和妇女儿童权益维护、活动组织、困难帮扶、就业创业、技能培训、校外教育以及承接政府购买服务等工作。</w:t>
      </w:r>
    </w:p>
    <w:p w:rsidR="00BB6B90" w:rsidRDefault="00A30327" w:rsidP="00A30327">
      <w:pPr>
        <w:spacing w:line="600" w:lineRule="exact"/>
        <w:ind w:firstLineChars="200" w:firstLine="640"/>
        <w:jc w:val="left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（二）</w:t>
      </w:r>
      <w:r w:rsidR="00760459">
        <w:rPr>
          <w:rFonts w:ascii="方正楷体_GBK" w:eastAsia="方正楷体_GBK" w:hAnsi="方正楷体_GBK" w:cs="方正楷体_GBK" w:hint="eastAsia"/>
          <w:sz w:val="32"/>
          <w:szCs w:val="32"/>
        </w:rPr>
        <w:t>预算及支出情况</w:t>
      </w:r>
    </w:p>
    <w:p w:rsidR="00FF0126" w:rsidRDefault="00FF0126" w:rsidP="00FF0126">
      <w:pPr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 w:rsidRPr="001D3111">
        <w:rPr>
          <w:rFonts w:eastAsia="方正仿宋_GBK"/>
          <w:sz w:val="32"/>
          <w:szCs w:val="32"/>
        </w:rPr>
        <w:t>2021</w:t>
      </w:r>
      <w:r w:rsidRPr="001D3111">
        <w:rPr>
          <w:rFonts w:eastAsia="方正仿宋_GBK" w:hint="eastAsia"/>
          <w:sz w:val="32"/>
          <w:szCs w:val="32"/>
        </w:rPr>
        <w:t>年年初预算收入</w:t>
      </w:r>
      <w:r>
        <w:rPr>
          <w:rFonts w:eastAsia="方正仿宋_GBK" w:hint="eastAsia"/>
          <w:sz w:val="32"/>
          <w:szCs w:val="32"/>
        </w:rPr>
        <w:t>254.62</w:t>
      </w:r>
      <w:r w:rsidRPr="001D3111">
        <w:rPr>
          <w:rFonts w:eastAsia="方正仿宋_GBK" w:hint="eastAsia"/>
          <w:sz w:val="32"/>
          <w:szCs w:val="32"/>
        </w:rPr>
        <w:t>万元，调整预算收入</w:t>
      </w:r>
      <w:r>
        <w:rPr>
          <w:rFonts w:eastAsia="方正仿宋_GBK" w:hint="eastAsia"/>
          <w:sz w:val="32"/>
          <w:szCs w:val="32"/>
        </w:rPr>
        <w:t>275.85</w:t>
      </w:r>
      <w:r w:rsidRPr="001D3111">
        <w:rPr>
          <w:rFonts w:eastAsia="方正仿宋_GBK" w:hint="eastAsia"/>
          <w:sz w:val="32"/>
          <w:szCs w:val="32"/>
        </w:rPr>
        <w:t>万元，全年支出</w:t>
      </w:r>
      <w:r>
        <w:rPr>
          <w:rFonts w:eastAsia="方正仿宋_GBK" w:hint="eastAsia"/>
          <w:sz w:val="32"/>
          <w:szCs w:val="32"/>
        </w:rPr>
        <w:t>275.85</w:t>
      </w:r>
      <w:r w:rsidRPr="001D3111">
        <w:rPr>
          <w:rFonts w:eastAsia="方正仿宋_GBK" w:hint="eastAsia"/>
          <w:sz w:val="32"/>
          <w:szCs w:val="32"/>
        </w:rPr>
        <w:t>万元。</w:t>
      </w:r>
    </w:p>
    <w:p w:rsidR="00BB6B90" w:rsidRDefault="0076045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eastAsia="方正黑体_GBK" w:hint="eastAsia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 w:rsidR="00BB6B90" w:rsidRDefault="00760459">
      <w:pPr>
        <w:spacing w:line="600" w:lineRule="exact"/>
        <w:ind w:firstLineChars="200" w:firstLine="640"/>
        <w:jc w:val="left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（一）绩效评价目的</w:t>
      </w:r>
    </w:p>
    <w:p w:rsidR="00FF0126" w:rsidRDefault="00FF0126">
      <w:pPr>
        <w:spacing w:line="600" w:lineRule="exact"/>
        <w:ind w:firstLineChars="200" w:firstLine="640"/>
        <w:rPr>
          <w:rFonts w:eastAsia="方正仿宋_GBK" w:hint="eastAsia"/>
          <w:sz w:val="32"/>
          <w:szCs w:val="32"/>
        </w:rPr>
      </w:pPr>
      <w:r w:rsidRPr="001D3111">
        <w:rPr>
          <w:rFonts w:eastAsia="方正仿宋_GBK" w:hint="eastAsia"/>
          <w:sz w:val="32"/>
          <w:szCs w:val="32"/>
        </w:rPr>
        <w:t>加强财政资金管理，强化责任意识，进一步完善</w:t>
      </w:r>
      <w:r w:rsidRPr="001D3111">
        <w:rPr>
          <w:rFonts w:eastAsia="方正仿宋_GBK"/>
          <w:sz w:val="32"/>
          <w:szCs w:val="32"/>
        </w:rPr>
        <w:t>“</w:t>
      </w:r>
      <w:r w:rsidRPr="001D3111">
        <w:rPr>
          <w:rFonts w:eastAsia="方正仿宋_GBK" w:hint="eastAsia"/>
          <w:sz w:val="32"/>
          <w:szCs w:val="32"/>
        </w:rPr>
        <w:t>全方位、全</w:t>
      </w:r>
      <w:r w:rsidRPr="001D3111">
        <w:rPr>
          <w:rFonts w:eastAsia="方正仿宋_GBK" w:hint="eastAsia"/>
          <w:sz w:val="32"/>
          <w:szCs w:val="32"/>
        </w:rPr>
        <w:lastRenderedPageBreak/>
        <w:t>过程、全覆盖</w:t>
      </w:r>
      <w:r w:rsidRPr="001D3111">
        <w:rPr>
          <w:rFonts w:eastAsia="方正仿宋_GBK"/>
          <w:sz w:val="32"/>
          <w:szCs w:val="32"/>
        </w:rPr>
        <w:t>”</w:t>
      </w:r>
      <w:r w:rsidRPr="001D3111">
        <w:rPr>
          <w:rFonts w:eastAsia="方正仿宋_GBK" w:hint="eastAsia"/>
          <w:sz w:val="32"/>
          <w:szCs w:val="32"/>
        </w:rPr>
        <w:t>的财政预算绩效管理体系，优化财政资源配置，提高财政资</w:t>
      </w:r>
      <w:r>
        <w:rPr>
          <w:rFonts w:eastAsia="方正仿宋_GBK" w:hint="eastAsia"/>
          <w:sz w:val="32"/>
          <w:szCs w:val="32"/>
        </w:rPr>
        <w:t>金的使用效益，完善管理制度，更好地完成中心</w:t>
      </w:r>
      <w:r w:rsidRPr="001D3111">
        <w:rPr>
          <w:rFonts w:eastAsia="方正仿宋_GBK" w:hint="eastAsia"/>
          <w:sz w:val="32"/>
          <w:szCs w:val="32"/>
        </w:rPr>
        <w:t>各项工作任务。</w:t>
      </w:r>
    </w:p>
    <w:p w:rsidR="00BB6B90" w:rsidRDefault="00760459">
      <w:pPr>
        <w:spacing w:line="600" w:lineRule="exact"/>
        <w:ind w:firstLineChars="200" w:firstLine="640"/>
        <w:jc w:val="left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（二）绩效评价原则</w:t>
      </w:r>
    </w:p>
    <w:p w:rsidR="00BB6B90" w:rsidRDefault="00760459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绩效评价原则包括</w:t>
      </w:r>
      <w:r>
        <w:rPr>
          <w:rFonts w:ascii="仿宋_GB2312" w:eastAsia="仿宋_GB2312"/>
          <w:bCs/>
          <w:sz w:val="32"/>
          <w:szCs w:val="32"/>
        </w:rPr>
        <w:t>科学规范原则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公开公正原则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分级分类原则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绩效相关原则。</w:t>
      </w:r>
    </w:p>
    <w:p w:rsidR="00BB6B90" w:rsidRDefault="00760459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（三）绩效评价工作过程</w:t>
      </w:r>
    </w:p>
    <w:p w:rsidR="00BB6B90" w:rsidRDefault="00760459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、前期准备：</w:t>
      </w:r>
      <w:r>
        <w:rPr>
          <w:rFonts w:ascii="仿宋_GB2312" w:eastAsia="仿宋_GB2312" w:hint="eastAsia"/>
          <w:bCs/>
          <w:sz w:val="32"/>
          <w:szCs w:val="32"/>
        </w:rPr>
        <w:t>成立绩效自评工作小组，制定工作计划，对小组成员进行相关培训。</w:t>
      </w:r>
    </w:p>
    <w:p w:rsidR="00BB6B90" w:rsidRDefault="00760459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、组织实施：</w:t>
      </w:r>
      <w:r>
        <w:rPr>
          <w:rFonts w:ascii="仿宋_GB2312" w:eastAsia="仿宋_GB2312" w:hint="eastAsia"/>
          <w:bCs/>
          <w:sz w:val="32"/>
          <w:szCs w:val="32"/>
        </w:rPr>
        <w:t>按照工作计划进行人员分工，每个项目落实经办人，依据评价指标体系收集相关数据，对照预算目标表填写相关信息。</w:t>
      </w:r>
    </w:p>
    <w:p w:rsidR="00BB6B90" w:rsidRDefault="0076045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、分析评价等：由工作小组组长</w:t>
      </w:r>
      <w:r>
        <w:rPr>
          <w:rFonts w:ascii="仿宋_GB2312" w:eastAsia="仿宋_GB2312" w:hint="eastAsia"/>
          <w:bCs/>
          <w:sz w:val="32"/>
          <w:szCs w:val="32"/>
        </w:rPr>
        <w:t>整理汇总各个项目情况，撰写数据统计和综合报告。</w:t>
      </w:r>
    </w:p>
    <w:p w:rsidR="00BB6B90" w:rsidRDefault="00760459">
      <w:pPr>
        <w:spacing w:line="60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eastAsia="方正黑体_GBK" w:hint="eastAsia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 w:rsidR="00BB6B90" w:rsidRDefault="00760459">
      <w:pPr>
        <w:spacing w:line="600" w:lineRule="exact"/>
        <w:ind w:firstLineChars="200" w:firstLine="640"/>
        <w:jc w:val="left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（一）投入评价情况</w:t>
      </w:r>
    </w:p>
    <w:p w:rsidR="00BB6B90" w:rsidRDefault="00760459">
      <w:pPr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202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年项目资金</w:t>
      </w:r>
      <w:r>
        <w:rPr>
          <w:rFonts w:eastAsia="方正仿宋_GBK" w:hint="eastAsia"/>
          <w:sz w:val="32"/>
          <w:szCs w:val="32"/>
        </w:rPr>
        <w:t>21.77</w:t>
      </w:r>
      <w:r>
        <w:rPr>
          <w:rFonts w:eastAsia="仿宋_GB2312"/>
          <w:color w:val="000000"/>
          <w:sz w:val="32"/>
          <w:szCs w:val="32"/>
        </w:rPr>
        <w:t>万元，分别投入到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个项目，投入资金</w:t>
      </w:r>
      <w:r>
        <w:rPr>
          <w:rFonts w:eastAsia="方正仿宋_GBK" w:hint="eastAsia"/>
          <w:sz w:val="32"/>
          <w:szCs w:val="32"/>
        </w:rPr>
        <w:t>21.77</w:t>
      </w:r>
      <w:r>
        <w:rPr>
          <w:rFonts w:eastAsia="仿宋_GB2312"/>
          <w:color w:val="000000"/>
          <w:sz w:val="32"/>
          <w:szCs w:val="32"/>
        </w:rPr>
        <w:t>万元，资金到位率</w:t>
      </w:r>
      <w:r>
        <w:rPr>
          <w:rFonts w:eastAsia="仿宋_GB2312"/>
          <w:color w:val="000000"/>
          <w:sz w:val="32"/>
          <w:szCs w:val="32"/>
        </w:rPr>
        <w:t>100%</w:t>
      </w:r>
      <w:r>
        <w:rPr>
          <w:rFonts w:eastAsia="仿宋_GB2312"/>
          <w:color w:val="000000"/>
          <w:sz w:val="32"/>
          <w:szCs w:val="32"/>
        </w:rPr>
        <w:t>。</w:t>
      </w:r>
    </w:p>
    <w:p w:rsidR="00BB6B90" w:rsidRDefault="00760459">
      <w:pPr>
        <w:spacing w:line="600" w:lineRule="exact"/>
        <w:ind w:firstLineChars="200" w:firstLine="640"/>
        <w:jc w:val="left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/>
          <w:sz w:val="32"/>
          <w:szCs w:val="32"/>
        </w:rPr>
        <w:t>（二）过程评价情况</w:t>
      </w:r>
    </w:p>
    <w:p w:rsidR="00BB6B90" w:rsidRDefault="00760459">
      <w:pPr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在项目实施过程中，</w:t>
      </w:r>
      <w:r w:rsidR="00EA50C4">
        <w:rPr>
          <w:rFonts w:ascii="仿宋_GB2312" w:eastAsia="仿宋_GB2312" w:hAnsi="仿宋" w:hint="eastAsia"/>
          <w:color w:val="000000"/>
          <w:sz w:val="32"/>
          <w:szCs w:val="32"/>
        </w:rPr>
        <w:t>中心认真对照每个项目实施方案进行施行，严格按照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政府会计制度进行经费管理和监督，确保了实施项目完整和顺利开展。</w:t>
      </w:r>
    </w:p>
    <w:p w:rsidR="00BB6B90" w:rsidRDefault="00760459">
      <w:pPr>
        <w:numPr>
          <w:ilvl w:val="0"/>
          <w:numId w:val="2"/>
        </w:numPr>
        <w:spacing w:line="60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lastRenderedPageBreak/>
        <w:t>主要经验及做法</w:t>
      </w:r>
    </w:p>
    <w:p w:rsidR="00FF0126" w:rsidRPr="00FF0126" w:rsidRDefault="00FF0126" w:rsidP="00FF0126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一事认真对照绩效目标开展自评；二</w:t>
      </w:r>
      <w:r w:rsidRPr="00FF0126">
        <w:rPr>
          <w:rFonts w:eastAsia="方正仿宋_GBK" w:hint="eastAsia"/>
          <w:sz w:val="32"/>
          <w:szCs w:val="32"/>
        </w:rPr>
        <w:t>是总结自评结果，对绩效目标设置不合理的在</w:t>
      </w:r>
      <w:r w:rsidRPr="00FF0126">
        <w:rPr>
          <w:rFonts w:eastAsia="方正仿宋_GBK"/>
          <w:sz w:val="32"/>
          <w:szCs w:val="32"/>
        </w:rPr>
        <w:t>2022</w:t>
      </w:r>
      <w:r>
        <w:rPr>
          <w:rFonts w:eastAsia="方正仿宋_GBK" w:hint="eastAsia"/>
          <w:sz w:val="32"/>
          <w:szCs w:val="32"/>
        </w:rPr>
        <w:t>年进行调整；三</w:t>
      </w:r>
      <w:r w:rsidRPr="00FF0126">
        <w:rPr>
          <w:rFonts w:eastAsia="方正仿宋_GBK" w:hint="eastAsia"/>
          <w:sz w:val="32"/>
          <w:szCs w:val="32"/>
        </w:rPr>
        <w:t>是对自评结果较差的项目进行分析，力争</w:t>
      </w:r>
      <w:r w:rsidRPr="00FF0126">
        <w:rPr>
          <w:rFonts w:eastAsia="方正仿宋_GBK"/>
          <w:sz w:val="32"/>
          <w:szCs w:val="32"/>
        </w:rPr>
        <w:t>2022</w:t>
      </w:r>
      <w:r w:rsidRPr="00FF0126">
        <w:rPr>
          <w:rFonts w:eastAsia="方正仿宋_GBK" w:hint="eastAsia"/>
          <w:sz w:val="32"/>
          <w:szCs w:val="32"/>
        </w:rPr>
        <w:t>年有所提升。</w:t>
      </w:r>
    </w:p>
    <w:p w:rsidR="00BB6B90" w:rsidRDefault="00EA50C4" w:rsidP="00EA50C4">
      <w:pPr>
        <w:spacing w:line="600" w:lineRule="exact"/>
        <w:ind w:firstLine="640"/>
        <w:rPr>
          <w:rFonts w:eastAsia="方正黑体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五、</w:t>
      </w:r>
      <w:r w:rsidR="00760459">
        <w:rPr>
          <w:rFonts w:eastAsia="方正黑体_GBK"/>
          <w:sz w:val="32"/>
          <w:szCs w:val="32"/>
        </w:rPr>
        <w:t>存在的问题和建议</w:t>
      </w:r>
    </w:p>
    <w:p w:rsidR="00FF0126" w:rsidRPr="001D3111" w:rsidRDefault="00FF0126" w:rsidP="00FF012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1D3111">
        <w:rPr>
          <w:rFonts w:eastAsia="方正仿宋_GBK" w:hint="eastAsia"/>
          <w:sz w:val="32"/>
          <w:szCs w:val="32"/>
        </w:rPr>
        <w:t>加强对绩效目标管理全流程的培训，引导各单位开展好自评工作。</w:t>
      </w:r>
    </w:p>
    <w:p w:rsidR="00BB6B90" w:rsidRDefault="00BB6B90">
      <w:pPr>
        <w:spacing w:line="600" w:lineRule="exact"/>
        <w:jc w:val="left"/>
        <w:rPr>
          <w:rFonts w:eastAsia="方正仿宋_GBK"/>
          <w:sz w:val="32"/>
          <w:szCs w:val="32"/>
        </w:rPr>
      </w:pPr>
    </w:p>
    <w:p w:rsidR="00BB6B90" w:rsidRDefault="00760459">
      <w:pPr>
        <w:spacing w:line="600" w:lineRule="exact"/>
        <w:ind w:firstLine="640"/>
        <w:jc w:val="righ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               </w:t>
      </w:r>
      <w:r>
        <w:rPr>
          <w:rFonts w:eastAsia="方正仿宋_GBK" w:hint="eastAsia"/>
          <w:sz w:val="32"/>
          <w:szCs w:val="32"/>
        </w:rPr>
        <w:t>重庆市璧山区群团活动中心</w:t>
      </w:r>
    </w:p>
    <w:p w:rsidR="00BB6B90" w:rsidRDefault="00760459">
      <w:pPr>
        <w:wordWrap w:val="0"/>
        <w:spacing w:line="600" w:lineRule="exact"/>
        <w:ind w:firstLine="640"/>
        <w:jc w:val="righ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                       2022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25</w:t>
      </w:r>
      <w:r>
        <w:rPr>
          <w:rFonts w:eastAsia="方正仿宋_GBK" w:hint="eastAsia"/>
          <w:sz w:val="32"/>
          <w:szCs w:val="32"/>
        </w:rPr>
        <w:t>日</w:t>
      </w:r>
      <w:r>
        <w:rPr>
          <w:rFonts w:eastAsia="方正仿宋_GBK" w:hint="eastAsia"/>
          <w:sz w:val="32"/>
          <w:szCs w:val="32"/>
        </w:rPr>
        <w:t xml:space="preserve">   </w:t>
      </w:r>
    </w:p>
    <w:p w:rsidR="00BB6B90" w:rsidRDefault="00BB6B90">
      <w:pPr>
        <w:pStyle w:val="5"/>
        <w:spacing w:line="600" w:lineRule="exact"/>
        <w:ind w:leftChars="200" w:left="420"/>
      </w:pPr>
    </w:p>
    <w:p w:rsidR="00BB6B90" w:rsidRDefault="00BB6B90">
      <w:pPr>
        <w:spacing w:line="600" w:lineRule="exact"/>
        <w:ind w:firstLineChars="200" w:firstLine="640"/>
        <w:jc w:val="right"/>
        <w:rPr>
          <w:rFonts w:eastAsia="方正仿宋_GBK"/>
          <w:sz w:val="32"/>
          <w:szCs w:val="32"/>
        </w:rPr>
      </w:pPr>
    </w:p>
    <w:sectPr w:rsidR="00BB6B90" w:rsidSect="00BB6B90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EE2AC5"/>
    <w:multiLevelType w:val="singleLevel"/>
    <w:tmpl w:val="B8EE2AC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E882296"/>
    <w:multiLevelType w:val="singleLevel"/>
    <w:tmpl w:val="6E88229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6865"/>
    <w:rsid w:val="00043A15"/>
    <w:rsid w:val="0004704C"/>
    <w:rsid w:val="000575E2"/>
    <w:rsid w:val="00063B15"/>
    <w:rsid w:val="0009607E"/>
    <w:rsid w:val="000B5DB9"/>
    <w:rsid w:val="000C0972"/>
    <w:rsid w:val="00171AB3"/>
    <w:rsid w:val="00195B96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12BD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60459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C17EE"/>
    <w:rsid w:val="008D02AF"/>
    <w:rsid w:val="008D25A0"/>
    <w:rsid w:val="009108DF"/>
    <w:rsid w:val="00974291"/>
    <w:rsid w:val="009A23DE"/>
    <w:rsid w:val="009A5857"/>
    <w:rsid w:val="00A1196F"/>
    <w:rsid w:val="00A27343"/>
    <w:rsid w:val="00A30327"/>
    <w:rsid w:val="00A3725D"/>
    <w:rsid w:val="00A45BE4"/>
    <w:rsid w:val="00AD0DAD"/>
    <w:rsid w:val="00AF31E0"/>
    <w:rsid w:val="00B07031"/>
    <w:rsid w:val="00B1013E"/>
    <w:rsid w:val="00B17BC3"/>
    <w:rsid w:val="00B34D05"/>
    <w:rsid w:val="00B85927"/>
    <w:rsid w:val="00BB6B90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A50C4"/>
    <w:rsid w:val="00EB0A75"/>
    <w:rsid w:val="00EF2A45"/>
    <w:rsid w:val="00F70C2E"/>
    <w:rsid w:val="00F9262E"/>
    <w:rsid w:val="00F93438"/>
    <w:rsid w:val="00F951D8"/>
    <w:rsid w:val="00FA41F0"/>
    <w:rsid w:val="00FD0041"/>
    <w:rsid w:val="00FE38F2"/>
    <w:rsid w:val="00FF0126"/>
    <w:rsid w:val="053E5AFA"/>
    <w:rsid w:val="0AC4770A"/>
    <w:rsid w:val="18115FA7"/>
    <w:rsid w:val="21134B3E"/>
    <w:rsid w:val="2455473B"/>
    <w:rsid w:val="2B7A1D63"/>
    <w:rsid w:val="2BA46E5E"/>
    <w:rsid w:val="2EBF30B3"/>
    <w:rsid w:val="315B638E"/>
    <w:rsid w:val="37FD6D6A"/>
    <w:rsid w:val="38134440"/>
    <w:rsid w:val="3A5913BB"/>
    <w:rsid w:val="3B1874C8"/>
    <w:rsid w:val="463D7A54"/>
    <w:rsid w:val="474C107E"/>
    <w:rsid w:val="57CA363F"/>
    <w:rsid w:val="5822508B"/>
    <w:rsid w:val="5A672C25"/>
    <w:rsid w:val="5E70097A"/>
    <w:rsid w:val="60471B32"/>
    <w:rsid w:val="641C6E32"/>
    <w:rsid w:val="66CF1E96"/>
    <w:rsid w:val="76FB6D7B"/>
    <w:rsid w:val="79776918"/>
    <w:rsid w:val="7AFD1D95"/>
    <w:rsid w:val="7B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BB6B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unhideWhenUsed/>
    <w:qFormat/>
    <w:rsid w:val="00BB6B90"/>
    <w:pPr>
      <w:ind w:left="1680"/>
    </w:pPr>
  </w:style>
  <w:style w:type="paragraph" w:styleId="a3">
    <w:name w:val="footer"/>
    <w:basedOn w:val="a"/>
    <w:link w:val="Char"/>
    <w:uiPriority w:val="99"/>
    <w:unhideWhenUsed/>
    <w:qFormat/>
    <w:rsid w:val="00BB6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B6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 Spacing"/>
    <w:uiPriority w:val="99"/>
    <w:qFormat/>
    <w:rsid w:val="00BB6B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qFormat/>
    <w:rsid w:val="00BB6B9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B6B9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B6B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149</Words>
  <Characters>852</Characters>
  <Application>Microsoft Office Word</Application>
  <DocSecurity>0</DocSecurity>
  <Lines>7</Lines>
  <Paragraphs>1</Paragraphs>
  <ScaleCrop>false</ScaleCrop>
  <Company>微软中国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66</cp:revision>
  <cp:lastPrinted>2022-03-29T06:54:00Z</cp:lastPrinted>
  <dcterms:created xsi:type="dcterms:W3CDTF">2020-04-20T08:58:00Z</dcterms:created>
  <dcterms:modified xsi:type="dcterms:W3CDTF">2022-03-31T01:15:00Z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72B815E527B5464A8FEBC2E04BBB1F93</vt:lpwstr>
  </property>
</Properties>
</file>