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596" w:lineRule="exact"/>
        <w:jc w:val="center"/>
        <w:textAlignment w:val="auto"/>
        <w:rPr>
          <w:rFonts w:hint="default" w:eastAsia="方正小标宋_GBK"/>
          <w:sz w:val="44"/>
          <w:szCs w:val="32"/>
          <w:lang w:val="en-US"/>
        </w:rPr>
      </w:pPr>
      <w:r>
        <w:rPr>
          <w:rFonts w:hint="eastAsia" w:eastAsia="方正小标宋_GBK"/>
          <w:sz w:val="44"/>
          <w:szCs w:val="32"/>
          <w:lang w:val="en-US" w:eastAsia="zh-CN"/>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val="en-US" w:eastAsia="zh-CN"/>
        </w:rPr>
        <w:t>人民</w:t>
      </w:r>
      <w:bookmarkStart w:id="0" w:name="_GoBack"/>
      <w:bookmarkEnd w:id="0"/>
      <w:r>
        <w:rPr>
          <w:rFonts w:hint="eastAsia" w:eastAsia="方正小标宋_GBK"/>
          <w:sz w:val="44"/>
          <w:szCs w:val="32"/>
          <w:lang w:val="en-US" w:eastAsia="zh-CN"/>
        </w:rPr>
        <w:t>政府璧城街道办事处</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keepNext w:val="0"/>
        <w:keepLines w:val="0"/>
        <w:pageBreakBefore w:val="0"/>
        <w:widowControl w:val="0"/>
        <w:kinsoku/>
        <w:wordWrap/>
        <w:overflowPunct/>
        <w:topLinePunct w:val="0"/>
        <w:autoSpaceDE/>
        <w:autoSpaceDN/>
        <w:bidi w:val="0"/>
        <w:adjustRightInd/>
        <w:snapToGrid/>
        <w:spacing w:before="313" w:beforeLines="100" w:line="596" w:lineRule="exact"/>
        <w:ind w:firstLine="640" w:firstLineChars="200"/>
        <w:textAlignment w:val="auto"/>
        <w:rPr>
          <w:rFonts w:hint="default" w:eastAsia="方正仿宋_GBK"/>
          <w:sz w:val="32"/>
          <w:szCs w:val="32"/>
          <w:lang w:val="en-US" w:eastAsia="zh-CN"/>
        </w:rPr>
      </w:pPr>
      <w:r>
        <w:rPr>
          <w:rFonts w:hint="eastAsia" w:eastAsia="方正仿宋_GBK"/>
          <w:sz w:val="32"/>
          <w:szCs w:val="32"/>
          <w:lang w:val="en-US" w:eastAsia="zh-CN"/>
        </w:rPr>
        <w:t>根据《重庆市璧山区财政局关于开展2021年度绩效自评工作的通知》（璧财绩〔2022〕2号）文件要求，我单位对财政资金整体支出绩效进行了自评，具体情况如下：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eastAsia="方正仿宋_GBK"/>
          <w:sz w:val="32"/>
          <w:szCs w:val="32"/>
          <w:highlight w:val="none"/>
        </w:rPr>
      </w:pPr>
      <w:r>
        <w:rPr>
          <w:rFonts w:eastAsia="方正仿宋_GBK"/>
          <w:sz w:val="32"/>
          <w:szCs w:val="32"/>
          <w:highlight w:val="none"/>
        </w:rPr>
        <w:t>（一）</w:t>
      </w:r>
      <w:r>
        <w:rPr>
          <w:rFonts w:hint="eastAsia" w:eastAsia="方正仿宋_GBK"/>
          <w:sz w:val="32"/>
          <w:szCs w:val="32"/>
          <w:highlight w:val="none"/>
        </w:rPr>
        <w:t>单位基本情况</w:t>
      </w:r>
    </w:p>
    <w:p>
      <w:pPr>
        <w:spacing w:line="596" w:lineRule="exact"/>
        <w:ind w:firstLine="640" w:firstLineChars="200"/>
        <w:rPr>
          <w:rFonts w:hint="eastAsia" w:eastAsia="方正仿宋_GBK"/>
          <w:sz w:val="32"/>
          <w:szCs w:val="32"/>
          <w:lang w:val="en-US" w:eastAsia="zh-CN"/>
        </w:rPr>
      </w:pPr>
      <w:r>
        <w:rPr>
          <w:rFonts w:hint="eastAsia" w:eastAsia="方正仿宋_GBK"/>
          <w:b w:val="0"/>
          <w:bCs w:val="0"/>
          <w:sz w:val="32"/>
          <w:szCs w:val="32"/>
          <w:lang w:val="en-US" w:eastAsia="zh-CN"/>
        </w:rPr>
        <w:t xml:space="preserve">1. </w:t>
      </w:r>
      <w:r>
        <w:rPr>
          <w:rFonts w:hint="eastAsia" w:eastAsia="方正仿宋_GBK"/>
          <w:sz w:val="32"/>
          <w:szCs w:val="32"/>
          <w:lang w:val="en-US" w:eastAsia="zh-CN"/>
        </w:rPr>
        <w:t>职能职责</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坚持促进经济发展、增加农民收入，强化公共服务、着力改善民生，加强社会管理、维护农村稳定，推进基层民主、促进农村和谐的基本职能，主动适应经济社会发展新要求和人民群众新期待，推动镇街工作重心转移到加强党的基层组织建设、夯实党在农村的执政根基上来，转移到做好公共服务、公共管理、公共安全工作上来，转移到为经济社会发展提供良好公共环境上来。</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（2）加强基层党的建设。坚持党要管党、全面从严治党，切实加强党的政治建设、思想建设、组织建设、作风建设、纪律建设，把制度建设贯穿其中，深入推进反腐败斗争，推动全面从严治党向基层延伸。</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3）强化经济发展职能。正确处理好政府与市场、政府与社会的关系，规范市场秩序，为各类市场主体创造统一开放、公平竞争的发展环境，激发市场、社会的创造活力。强化产业引导，科学编制发展规划，构建新型农业经营体系。落实强农惠农政策，促进农民持续增收。</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4）强化公共服务职能。加快义务教育、学前教育、劳动就业、基本医疗卫生、公共文化体育、计划生育等社会事业发展，完善社会保险、社会救助、社会福利、优抚安置、扶贫济困、法律服务等社会保障体系。创新公共服务供给方式，优化基本公共服务资源配置，统筹基本公共服务设施的空间布局，实现基本公共服务全覆盖。</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5）强化公共管理职能。加强村镇规划建设和环境保护，强化城镇和村容村貌管理。健全重大社情、疫情、险情等公共突发事件的预防和应急处理机制。推进社会治安综合治理，完善社会治安防控体系。加强信访工作，建立调处化解矛盾纠纷综合机制，确保农村社会和谐稳定。</w:t>
      </w:r>
    </w:p>
    <w:p>
      <w:pPr>
        <w:spacing w:line="596" w:lineRule="exact"/>
        <w:ind w:firstLine="640" w:firstLineChars="200"/>
        <w:rPr>
          <w:rFonts w:hint="default"/>
          <w:lang w:val="en-US" w:eastAsia="zh-CN"/>
        </w:rPr>
      </w:pPr>
      <w:r>
        <w:rPr>
          <w:rFonts w:hint="eastAsia" w:eastAsia="方正仿宋_GBK"/>
          <w:sz w:val="32"/>
          <w:szCs w:val="32"/>
          <w:lang w:val="en-US" w:eastAsia="zh-CN"/>
        </w:rPr>
        <w:t>（6）强化公共安全职能。加强安全生产、食品药品、生态建设、农产品质量安全等监督管理，建立健全隐患排查治理体系和安全预防控制体系。推进基层行政执法体制改革，完善执法保障机制，增强执法监管能力。</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2. 单位构成</w:t>
      </w:r>
    </w:p>
    <w:p>
      <w:pPr>
        <w:spacing w:line="596" w:lineRule="exact"/>
        <w:ind w:firstLine="640" w:firstLineChars="200"/>
        <w:rPr>
          <w:rFonts w:hint="default" w:eastAsia="方正仿宋_GBK"/>
          <w:sz w:val="32"/>
          <w:szCs w:val="32"/>
          <w:lang w:val="en-US" w:eastAsia="zh-CN"/>
        </w:rPr>
      </w:pPr>
      <w:r>
        <w:rPr>
          <w:rFonts w:hint="default" w:eastAsia="方正仿宋_GBK"/>
          <w:sz w:val="32"/>
          <w:szCs w:val="32"/>
          <w:lang w:val="en-US" w:eastAsia="zh-CN"/>
        </w:rPr>
        <w:t>璧城街道办事处下辖12个社区、5个村，辖区户籍人口8.76万人。街道党工委下设党支部 101个。</w:t>
      </w:r>
    </w:p>
    <w:p>
      <w:pPr>
        <w:spacing w:line="596" w:lineRule="exact"/>
        <w:ind w:firstLine="640" w:firstLineChars="200"/>
        <w:rPr>
          <w:rFonts w:hint="default" w:eastAsia="方正仿宋_GBK"/>
          <w:sz w:val="32"/>
          <w:szCs w:val="32"/>
          <w:lang w:val="en-US" w:eastAsia="zh-CN"/>
        </w:rPr>
      </w:pPr>
    </w:p>
    <w:p>
      <w:pPr>
        <w:spacing w:line="596" w:lineRule="exact"/>
        <w:ind w:firstLine="640" w:firstLineChars="200"/>
        <w:rPr>
          <w:rFonts w:hint="default" w:eastAsia="方正仿宋_GBK"/>
          <w:sz w:val="32"/>
          <w:szCs w:val="32"/>
          <w:lang w:val="en-US" w:eastAsia="zh-CN"/>
        </w:rPr>
      </w:pPr>
      <w:r>
        <w:rPr>
          <w:rFonts w:hint="default" w:eastAsia="方正仿宋_GBK"/>
          <w:sz w:val="32"/>
          <w:szCs w:val="32"/>
          <w:lang w:val="en-US" w:eastAsia="zh-CN"/>
        </w:rPr>
        <w:t>璧城街道办事处设置党政内设机构8个，即：党政办公室、党群工作办公室、经济发展办公室（挂统计办公室牌子）、民政和社区事务办公室</w:t>
      </w:r>
      <w:r>
        <w:rPr>
          <w:rFonts w:hint="eastAsia" w:eastAsia="方正仿宋_GBK"/>
          <w:sz w:val="32"/>
          <w:szCs w:val="32"/>
          <w:lang w:val="en-US" w:eastAsia="zh-CN"/>
        </w:rPr>
        <w:t>（</w:t>
      </w:r>
      <w:r>
        <w:rPr>
          <w:rFonts w:hint="default" w:eastAsia="方正仿宋_GBK"/>
          <w:sz w:val="32"/>
          <w:szCs w:val="32"/>
          <w:lang w:val="en-US" w:eastAsia="zh-CN"/>
        </w:rPr>
        <w:t>挂卫生健康办公室、物业管理办公室牌子</w:t>
      </w:r>
      <w:r>
        <w:rPr>
          <w:rFonts w:hint="eastAsia" w:eastAsia="方正仿宋_GBK"/>
          <w:sz w:val="32"/>
          <w:szCs w:val="32"/>
          <w:lang w:val="en-US" w:eastAsia="zh-CN"/>
        </w:rPr>
        <w:t>）</w:t>
      </w:r>
      <w:r>
        <w:rPr>
          <w:rFonts w:hint="default" w:eastAsia="方正仿宋_GBK"/>
          <w:sz w:val="32"/>
          <w:szCs w:val="32"/>
          <w:lang w:val="en-US" w:eastAsia="zh-CN"/>
        </w:rPr>
        <w:t>、平安建设办公室、规划建设管理环保办公室、财政办公室、应急管理办公室。</w:t>
      </w:r>
    </w:p>
    <w:p>
      <w:pPr>
        <w:spacing w:line="596" w:lineRule="exact"/>
        <w:ind w:firstLine="640" w:firstLineChars="200"/>
        <w:rPr>
          <w:rFonts w:hint="default" w:eastAsia="方正仿宋_GBK"/>
          <w:sz w:val="32"/>
          <w:szCs w:val="32"/>
          <w:lang w:val="en-US" w:eastAsia="zh-CN"/>
        </w:rPr>
      </w:pPr>
      <w:r>
        <w:rPr>
          <w:rFonts w:hint="default" w:eastAsia="方正仿宋_GBK"/>
          <w:sz w:val="32"/>
          <w:szCs w:val="32"/>
          <w:lang w:val="en-US" w:eastAsia="zh-CN"/>
        </w:rPr>
        <w:t>设置事业机构7个，即：社区事务服务中心、农业服务中心、社区文化服务中心、劳动就业和社会保障服务所、退役军人服务站、综合行政执法大队、建设环保服务中心。</w:t>
      </w:r>
    </w:p>
    <w:p>
      <w:pPr>
        <w:spacing w:line="596" w:lineRule="exact"/>
        <w:ind w:firstLine="640" w:firstLineChars="200"/>
        <w:rPr>
          <w:rFonts w:hint="default" w:eastAsia="方正仿宋_GBK"/>
          <w:sz w:val="32"/>
          <w:szCs w:val="32"/>
          <w:lang w:val="en-US" w:eastAsia="zh-CN"/>
        </w:rPr>
      </w:pPr>
      <w:r>
        <w:rPr>
          <w:rFonts w:hint="default" w:eastAsia="方正仿宋_GBK"/>
          <w:sz w:val="32"/>
          <w:szCs w:val="32"/>
          <w:lang w:val="en-US" w:eastAsia="zh-CN"/>
        </w:rPr>
        <w:t>人大工委办公室、纪工委、团委、妇联、工会按有关规定设置。</w:t>
      </w:r>
    </w:p>
    <w:p>
      <w:pPr>
        <w:numPr>
          <w:ilvl w:val="0"/>
          <w:numId w:val="1"/>
        </w:numPr>
        <w:spacing w:line="596"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人员编制情况</w:t>
      </w:r>
    </w:p>
    <w:p>
      <w:pPr>
        <w:spacing w:line="596"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2021年度，我单位年末实有人员137名，其中行政人员51名，参照公务员法管理事业人员4名，非参公事业人员82名。</w:t>
      </w:r>
    </w:p>
    <w:p>
      <w:pPr>
        <w:spacing w:line="596" w:lineRule="exact"/>
        <w:ind w:firstLine="640" w:firstLineChars="200"/>
        <w:rPr>
          <w:rFonts w:eastAsia="方正仿宋_GBK"/>
          <w:sz w:val="32"/>
          <w:szCs w:val="32"/>
          <w:highlight w:val="none"/>
        </w:rPr>
      </w:pPr>
      <w:r>
        <w:rPr>
          <w:rFonts w:eastAsia="方正仿宋_GBK"/>
          <w:sz w:val="32"/>
          <w:szCs w:val="32"/>
          <w:highlight w:val="none"/>
        </w:rPr>
        <w:t>（二）</w:t>
      </w:r>
      <w:r>
        <w:rPr>
          <w:rFonts w:hint="eastAsia" w:eastAsia="方正仿宋_GBK"/>
          <w:sz w:val="32"/>
          <w:szCs w:val="32"/>
          <w:highlight w:val="none"/>
        </w:rPr>
        <w:t>预算及支出情况</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我单位2021年财政拨款收入132735282.38元，其中，一般公共预算财政拨款收入120119428.03元，政府性基金预算财政拨款收入12615854.35元，无上年结转收入；截止2021年12月31日，我单位共计支出132735282.38元，其中：基本支出38535230.18元，项目支出94200052.20元。</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（一）绩效评价目的</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通过开展整体支出绩效自评，促进我单位从整体上提升预算绩效管理工作水平，强化支出责任，规范资金管理行为，提高财政资金使用效益，保障我单位更好的履行职能。</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6" w:lineRule="exact"/>
        <w:ind w:firstLine="640" w:firstLineChars="200"/>
        <w:rPr>
          <w:rFonts w:hint="eastAsia" w:ascii="仿宋_GB2312" w:eastAsia="仿宋_GB2312"/>
          <w:bCs/>
          <w:sz w:val="32"/>
          <w:szCs w:val="32"/>
        </w:rPr>
      </w:pPr>
      <w:r>
        <w:rPr>
          <w:rFonts w:hint="eastAsia" w:ascii="仿宋_GB2312" w:eastAsia="仿宋_GB2312"/>
          <w:bCs/>
          <w:sz w:val="32"/>
          <w:szCs w:val="32"/>
          <w:highlight w:val="none"/>
          <w:lang w:val="en-US" w:eastAsia="zh-CN"/>
        </w:rPr>
        <w:t xml:space="preserve">1. </w:t>
      </w:r>
      <w:r>
        <w:rPr>
          <w:rFonts w:hint="eastAsia" w:ascii="仿宋_GB2312" w:eastAsia="仿宋_GB2312"/>
          <w:bCs/>
          <w:sz w:val="32"/>
          <w:szCs w:val="32"/>
          <w:highlight w:val="none"/>
        </w:rPr>
        <w:t>科</w:t>
      </w:r>
      <w:r>
        <w:rPr>
          <w:rFonts w:hint="eastAsia" w:ascii="仿宋_GB2312" w:eastAsia="仿宋_GB2312"/>
          <w:bCs/>
          <w:sz w:val="32"/>
          <w:szCs w:val="32"/>
        </w:rPr>
        <w:t>学规范原则。绩效评价应当严格执行规定的程序，按照科学可行的要求，采用定量与定性分析相结合的方法。</w:t>
      </w:r>
    </w:p>
    <w:p>
      <w:pPr>
        <w:spacing w:line="596" w:lineRule="exact"/>
        <w:ind w:firstLine="640" w:firstLineChars="200"/>
        <w:rPr>
          <w:rFonts w:hint="eastAsia" w:ascii="仿宋_GB2312" w:eastAsia="仿宋_GB2312"/>
          <w:bCs/>
          <w:sz w:val="32"/>
          <w:szCs w:val="32"/>
        </w:rPr>
      </w:pPr>
      <w:r>
        <w:rPr>
          <w:rFonts w:hint="eastAsia" w:ascii="仿宋_GB2312" w:eastAsia="仿宋_GB2312"/>
          <w:bCs/>
          <w:sz w:val="32"/>
          <w:szCs w:val="32"/>
          <w:lang w:val="en-US" w:eastAsia="zh-CN"/>
        </w:rPr>
        <w:t xml:space="preserve">2. </w:t>
      </w:r>
      <w:r>
        <w:rPr>
          <w:rFonts w:hint="eastAsia" w:ascii="仿宋_GB2312" w:eastAsia="仿宋_GB2312"/>
          <w:bCs/>
          <w:sz w:val="32"/>
          <w:szCs w:val="32"/>
        </w:rPr>
        <w:t>公正公开原则。绩效评价应当符合真实、客观、公正的要求，依法公开并接受监督。</w:t>
      </w:r>
    </w:p>
    <w:p>
      <w:pPr>
        <w:spacing w:line="596" w:lineRule="exact"/>
        <w:ind w:firstLine="640" w:firstLineChars="200"/>
        <w:rPr>
          <w:rFonts w:hint="eastAsia" w:ascii="仿宋_GB2312" w:eastAsia="仿宋_GB2312"/>
          <w:bCs/>
          <w:sz w:val="32"/>
          <w:szCs w:val="32"/>
        </w:rPr>
      </w:pPr>
      <w:r>
        <w:rPr>
          <w:rFonts w:hint="eastAsia" w:ascii="仿宋_GB2312" w:eastAsia="仿宋_GB2312"/>
          <w:bCs/>
          <w:sz w:val="32"/>
          <w:szCs w:val="32"/>
          <w:lang w:val="en-US" w:eastAsia="zh-CN"/>
        </w:rPr>
        <w:t xml:space="preserve">3. </w:t>
      </w:r>
      <w:r>
        <w:rPr>
          <w:rFonts w:hint="eastAsia" w:ascii="仿宋_GB2312" w:eastAsia="仿宋_GB2312"/>
          <w:bCs/>
          <w:sz w:val="32"/>
          <w:szCs w:val="32"/>
        </w:rPr>
        <w:t>绩效相关原则。绩效评价应当针对具体支出及其产出绩效进行，评价结果应当清晰反映支出和产出绩效之间的紧密对应关系。</w:t>
      </w:r>
    </w:p>
    <w:p>
      <w:pPr>
        <w:spacing w:line="596" w:lineRule="exact"/>
        <w:ind w:firstLine="640" w:firstLineChars="200"/>
        <w:rPr>
          <w:rFonts w:eastAsia="方正仿宋_GBK"/>
          <w:sz w:val="32"/>
          <w:szCs w:val="32"/>
        </w:rPr>
      </w:pPr>
      <w:r>
        <w:rPr>
          <w:rFonts w:eastAsia="方正仿宋_GBK"/>
          <w:sz w:val="32"/>
          <w:szCs w:val="32"/>
        </w:rPr>
        <w:t>（三）绩效评价工作过程</w:t>
      </w:r>
    </w:p>
    <w:p>
      <w:pPr>
        <w:spacing w:line="596"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1. 前期准备</w:t>
      </w:r>
    </w:p>
    <w:p>
      <w:pPr>
        <w:spacing w:line="596"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为更好地开展绩效自评工作，单位组建绩效自评工作小组，由主要领导担任组长，分管领导担任副组长，各科室负责人为成员。由单位会计收集相关资料，检查财务会计记录，提供财务数据。</w:t>
      </w:r>
    </w:p>
    <w:p>
      <w:pPr>
        <w:numPr>
          <w:ilvl w:val="0"/>
          <w:numId w:val="2"/>
        </w:num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组织实施</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各科室项目负责人提供我单位</w:t>
      </w:r>
      <w:r>
        <w:rPr>
          <w:rFonts w:hint="eastAsia" w:eastAsia="方正仿宋_GBK"/>
          <w:sz w:val="32"/>
          <w:szCs w:val="32"/>
          <w:lang w:eastAsia="zh-CN"/>
        </w:rPr>
        <w:t>项目相关基础资料，包含</w:t>
      </w:r>
      <w:r>
        <w:rPr>
          <w:rFonts w:hint="eastAsia" w:eastAsia="方正仿宋_GBK"/>
          <w:sz w:val="32"/>
          <w:szCs w:val="32"/>
          <w:lang w:val="en-US" w:eastAsia="zh-CN"/>
        </w:rPr>
        <w:t>但不限于项目执行</w:t>
      </w:r>
      <w:r>
        <w:rPr>
          <w:rFonts w:hint="eastAsia" w:eastAsia="方正仿宋_GBK"/>
          <w:sz w:val="32"/>
          <w:szCs w:val="32"/>
          <w:lang w:eastAsia="zh-CN"/>
        </w:rPr>
        <w:t>计划、资金文件、实施方案、</w:t>
      </w:r>
      <w:r>
        <w:rPr>
          <w:rFonts w:hint="eastAsia" w:eastAsia="方正仿宋_GBK"/>
          <w:sz w:val="32"/>
          <w:szCs w:val="32"/>
          <w:lang w:val="en-US" w:eastAsia="zh-CN"/>
        </w:rPr>
        <w:t>绩效目标等</w:t>
      </w:r>
      <w:r>
        <w:rPr>
          <w:rFonts w:hint="eastAsia" w:eastAsia="方正仿宋_GBK"/>
          <w:sz w:val="32"/>
          <w:szCs w:val="32"/>
          <w:lang w:eastAsia="zh-CN"/>
        </w:rPr>
        <w:t>，了解项目实施情况、预期目标，</w:t>
      </w:r>
      <w:r>
        <w:rPr>
          <w:rFonts w:hint="eastAsia" w:eastAsia="方正仿宋_GBK"/>
          <w:sz w:val="32"/>
          <w:szCs w:val="32"/>
          <w:lang w:val="en-US" w:eastAsia="zh-CN"/>
        </w:rPr>
        <w:t>根据项目实际执行情况对项目支出绩效自评表、部门整体支出绩效自评表进行填写。</w:t>
      </w:r>
    </w:p>
    <w:p>
      <w:pPr>
        <w:numPr>
          <w:ilvl w:val="0"/>
          <w:numId w:val="2"/>
        </w:numPr>
        <w:spacing w:line="596" w:lineRule="exact"/>
        <w:ind w:left="0" w:leftChars="0" w:firstLine="640" w:firstLineChars="200"/>
        <w:rPr>
          <w:rFonts w:hint="default" w:eastAsia="方正仿宋_GBK"/>
          <w:sz w:val="32"/>
          <w:szCs w:val="32"/>
          <w:lang w:val="en-US" w:eastAsia="zh-CN"/>
        </w:rPr>
      </w:pPr>
      <w:r>
        <w:rPr>
          <w:rFonts w:hint="eastAsia" w:eastAsia="方正仿宋_GBK"/>
          <w:sz w:val="32"/>
          <w:szCs w:val="32"/>
          <w:lang w:val="en-US" w:eastAsia="zh-CN"/>
        </w:rPr>
        <w:t>分析评价</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填表人对各科室提供的项目资料进行整理、数据提取以及与年度目标进行对比，填写《项目支出绩效自评表》《部门整体支出绩效自评表》及《整体支出自评报告》</w:t>
      </w:r>
      <w:r>
        <w:rPr>
          <w:rFonts w:hint="eastAsia" w:eastAsia="方正仿宋_GBK"/>
          <w:sz w:val="32"/>
          <w:szCs w:val="32"/>
          <w:lang w:eastAsia="zh-CN"/>
        </w:rPr>
        <w:t>，</w:t>
      </w:r>
      <w:r>
        <w:rPr>
          <w:rFonts w:hint="eastAsia" w:eastAsia="方正仿宋_GBK"/>
          <w:sz w:val="32"/>
          <w:szCs w:val="32"/>
          <w:lang w:val="en-US" w:eastAsia="zh-CN"/>
        </w:rPr>
        <w:t>绩效自评表单及</w:t>
      </w:r>
      <w:r>
        <w:rPr>
          <w:rFonts w:hint="eastAsia" w:eastAsia="方正仿宋_GBK"/>
          <w:sz w:val="32"/>
          <w:szCs w:val="32"/>
        </w:rPr>
        <w:t>绩效</w:t>
      </w:r>
      <w:r>
        <w:rPr>
          <w:rFonts w:hint="eastAsia" w:eastAsia="方正仿宋_GBK"/>
          <w:sz w:val="32"/>
          <w:szCs w:val="32"/>
          <w:lang w:val="en-US" w:eastAsia="zh-CN"/>
        </w:rPr>
        <w:t>自评</w:t>
      </w:r>
      <w:r>
        <w:rPr>
          <w:rFonts w:hint="eastAsia" w:eastAsia="方正仿宋_GBK"/>
          <w:sz w:val="32"/>
          <w:szCs w:val="32"/>
        </w:rPr>
        <w:t>报告初稿形成之后，</w:t>
      </w:r>
      <w:r>
        <w:rPr>
          <w:rFonts w:hint="eastAsia" w:eastAsia="方正仿宋_GBK"/>
          <w:sz w:val="32"/>
          <w:szCs w:val="32"/>
          <w:lang w:val="en-US" w:eastAsia="zh-CN"/>
        </w:rPr>
        <w:t>由绩效自评小组共同确认</w:t>
      </w:r>
      <w:r>
        <w:rPr>
          <w:rFonts w:hint="eastAsia" w:eastAsia="方正仿宋_GBK"/>
          <w:sz w:val="32"/>
          <w:szCs w:val="32"/>
        </w:rPr>
        <w:t>，</w:t>
      </w:r>
      <w:r>
        <w:rPr>
          <w:rFonts w:hint="eastAsia" w:eastAsia="方正仿宋_GBK"/>
          <w:sz w:val="32"/>
          <w:szCs w:val="32"/>
          <w:lang w:val="en-US" w:eastAsia="zh-CN"/>
        </w:rPr>
        <w:t>对</w:t>
      </w:r>
      <w:r>
        <w:rPr>
          <w:rFonts w:hint="eastAsia" w:eastAsia="方正仿宋_GBK"/>
          <w:sz w:val="32"/>
          <w:szCs w:val="32"/>
        </w:rPr>
        <w:t>反馈的意见和建议进行分析判断</w:t>
      </w:r>
      <w:r>
        <w:rPr>
          <w:rFonts w:hint="eastAsia" w:eastAsia="方正仿宋_GBK"/>
          <w:sz w:val="32"/>
          <w:szCs w:val="32"/>
          <w:lang w:val="en-US" w:eastAsia="zh-CN"/>
        </w:rPr>
        <w:t>后再行修改，形成自评表单、自评报告终稿。</w:t>
      </w:r>
    </w:p>
    <w:p>
      <w:pPr>
        <w:spacing w:line="596" w:lineRule="exact"/>
        <w:ind w:firstLine="640" w:firstLineChars="200"/>
        <w:rPr>
          <w:rFonts w:eastAsia="方正黑体_GBK"/>
          <w:sz w:val="32"/>
          <w:szCs w:val="32"/>
          <w:highlight w:val="none"/>
        </w:rPr>
      </w:pPr>
      <w:r>
        <w:rPr>
          <w:rFonts w:eastAsia="方正黑体_GBK"/>
          <w:sz w:val="32"/>
          <w:szCs w:val="32"/>
          <w:highlight w:val="none"/>
        </w:rPr>
        <w:t>三、</w:t>
      </w:r>
      <w:r>
        <w:rPr>
          <w:rFonts w:hint="eastAsia" w:eastAsia="方正黑体_GBK"/>
          <w:sz w:val="32"/>
          <w:szCs w:val="32"/>
          <w:highlight w:val="none"/>
        </w:rPr>
        <w:t>绩效</w:t>
      </w:r>
      <w:r>
        <w:rPr>
          <w:rFonts w:eastAsia="方正黑体_GBK"/>
          <w:sz w:val="32"/>
          <w:szCs w:val="32"/>
          <w:highlight w:val="none"/>
        </w:rPr>
        <w:t>评价情况及结论</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eastAsia="zh-CN"/>
        </w:rPr>
        <w:t>（</w:t>
      </w:r>
      <w:r>
        <w:rPr>
          <w:rFonts w:hint="eastAsia" w:eastAsia="方正仿宋_GBK"/>
          <w:sz w:val="32"/>
          <w:szCs w:val="32"/>
          <w:lang w:val="en-US" w:eastAsia="zh-CN"/>
        </w:rPr>
        <w:t>一</w:t>
      </w:r>
      <w:r>
        <w:rPr>
          <w:rFonts w:hint="eastAsia" w:eastAsia="方正仿宋_GBK"/>
          <w:sz w:val="32"/>
          <w:szCs w:val="32"/>
          <w:lang w:eastAsia="zh-CN"/>
        </w:rPr>
        <w:t>）</w:t>
      </w:r>
      <w:r>
        <w:rPr>
          <w:rFonts w:hint="eastAsia" w:eastAsia="方正仿宋_GBK"/>
          <w:sz w:val="32"/>
          <w:szCs w:val="32"/>
          <w:lang w:val="en-US" w:eastAsia="zh-CN"/>
        </w:rPr>
        <w:t>绩效评价情况</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1. 预算执行率（10分）</w:t>
      </w:r>
    </w:p>
    <w:p>
      <w:pPr>
        <w:spacing w:line="594" w:lineRule="exact"/>
        <w:ind w:firstLine="640" w:firstLineChars="200"/>
        <w:rPr>
          <w:rFonts w:hint="default" w:ascii="Times New Roman" w:hAnsi="Times New Roman" w:eastAsia="方正仿宋_GBK" w:cs="Times New Roman"/>
          <w:color w:val="auto"/>
          <w:sz w:val="32"/>
          <w:szCs w:val="32"/>
          <w:highlight w:val="none"/>
        </w:rPr>
      </w:pPr>
      <w:r>
        <w:rPr>
          <w:rFonts w:hint="eastAsia" w:eastAsia="方正仿宋_GBK"/>
          <w:sz w:val="32"/>
          <w:szCs w:val="32"/>
          <w:lang w:val="en-US" w:eastAsia="zh-CN"/>
        </w:rPr>
        <w:t>2021年度，我单位年初预算109232963.5元，无上年结转结余，全年（调整）预算132735282.38元，全年执行132735282.38元，预算执行率达100%，</w:t>
      </w:r>
      <w:r>
        <w:rPr>
          <w:rFonts w:hint="default" w:ascii="Times New Roman" w:hAnsi="Times New Roman" w:eastAsia="方正仿宋_GBK" w:cs="Times New Roman"/>
          <w:color w:val="auto"/>
          <w:sz w:val="32"/>
          <w:szCs w:val="32"/>
          <w:highlight w:val="none"/>
        </w:rPr>
        <w:t>该指标绩效评价得分为</w:t>
      </w:r>
      <w:r>
        <w:rPr>
          <w:rFonts w:hint="eastAsia"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分。</w:t>
      </w:r>
    </w:p>
    <w:p>
      <w:pPr>
        <w:numPr>
          <w:ilvl w:val="0"/>
          <w:numId w:val="3"/>
        </w:num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三公经费控制情况（10分）</w:t>
      </w:r>
    </w:p>
    <w:p>
      <w:pPr>
        <w:spacing w:line="594"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2021年度，我单位三公经费预算220000元，实际支出178062.70元，其中，公务用车购置及运行维护费支出149234.70元，公务接待费支出28828.00元。2021年我单位三公经费支出较上年减少40604.51元，公务运行及公务接待相关费用均有减少，总体看来，2021年度，我单位三公经费使用控制情况较好，该指标绩效评价得分为10分。</w:t>
      </w:r>
    </w:p>
    <w:p>
      <w:pPr>
        <w:keepNext w:val="0"/>
        <w:keepLines w:val="0"/>
        <w:pageBreakBefore w:val="0"/>
        <w:widowControl w:val="0"/>
        <w:numPr>
          <w:ilvl w:val="0"/>
          <w:numId w:val="3"/>
        </w:numPr>
        <w:kinsoku/>
        <w:wordWrap/>
        <w:overflowPunct/>
        <w:topLinePunct w:val="0"/>
        <w:autoSpaceDE/>
        <w:autoSpaceDN/>
        <w:bidi w:val="0"/>
        <w:adjustRightInd/>
        <w:snapToGrid/>
        <w:spacing w:line="596" w:lineRule="exact"/>
        <w:ind w:left="0" w:leftChars="0" w:firstLine="640" w:firstLineChars="200"/>
        <w:textAlignment w:val="auto"/>
        <w:rPr>
          <w:rFonts w:hint="eastAsia" w:eastAsia="方正仿宋_GBK"/>
          <w:sz w:val="32"/>
          <w:szCs w:val="32"/>
          <w:lang w:eastAsia="zh-CN"/>
        </w:rPr>
      </w:pPr>
      <w:r>
        <w:rPr>
          <w:rFonts w:hint="eastAsia" w:eastAsia="方正仿宋_GBK"/>
          <w:sz w:val="32"/>
          <w:szCs w:val="32"/>
          <w:lang w:eastAsia="zh-CN"/>
        </w:rPr>
        <w:t>预决算</w:t>
      </w:r>
      <w:r>
        <w:rPr>
          <w:rFonts w:hint="eastAsia" w:eastAsia="方正仿宋_GBK"/>
          <w:sz w:val="32"/>
          <w:szCs w:val="32"/>
          <w:lang w:val="en-US" w:eastAsia="zh-CN"/>
        </w:rPr>
        <w:t>信息公开</w:t>
      </w:r>
      <w:r>
        <w:rPr>
          <w:rFonts w:hint="eastAsia" w:eastAsia="方正仿宋_GBK"/>
          <w:sz w:val="32"/>
          <w:szCs w:val="32"/>
          <w:lang w:eastAsia="zh-CN"/>
        </w:rPr>
        <w:t>及时率（</w:t>
      </w:r>
      <w:r>
        <w:rPr>
          <w:rFonts w:hint="eastAsia" w:eastAsia="方正仿宋_GBK"/>
          <w:sz w:val="32"/>
          <w:szCs w:val="32"/>
          <w:lang w:val="en-US" w:eastAsia="zh-CN"/>
        </w:rPr>
        <w:t>10分</w:t>
      </w:r>
      <w:r>
        <w:rPr>
          <w:rFonts w:hint="eastAsia" w:eastAsia="方正仿宋_GBK"/>
          <w:sz w:val="32"/>
          <w:szCs w:val="32"/>
          <w:lang w:eastAsia="zh-CN"/>
        </w:rPr>
        <w:t>）</w:t>
      </w:r>
    </w:p>
    <w:p>
      <w:pPr>
        <w:spacing w:line="594"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我单位严格按照重庆市璧山区财政局（以下简称“区财政局”）的要求，在规定时间内完成了2021年度的预算、决算编制及信息公开相关工作，预决算信息公开及时率达100%，该指标绩效评价综合得分为10分。</w:t>
      </w:r>
    </w:p>
    <w:p>
      <w:pPr>
        <w:keepNext w:val="0"/>
        <w:keepLines w:val="0"/>
        <w:pageBreakBefore w:val="0"/>
        <w:widowControl w:val="0"/>
        <w:numPr>
          <w:ilvl w:val="0"/>
          <w:numId w:val="3"/>
        </w:numPr>
        <w:kinsoku/>
        <w:wordWrap/>
        <w:overflowPunct/>
        <w:topLinePunct w:val="0"/>
        <w:autoSpaceDE/>
        <w:autoSpaceDN/>
        <w:bidi w:val="0"/>
        <w:adjustRightInd/>
        <w:snapToGrid/>
        <w:spacing w:line="596" w:lineRule="exact"/>
        <w:ind w:left="0" w:leftChars="0" w:firstLine="640" w:firstLineChars="200"/>
        <w:textAlignment w:val="auto"/>
        <w:rPr>
          <w:rFonts w:hint="eastAsia" w:eastAsia="方正仿宋_GBK"/>
          <w:sz w:val="32"/>
          <w:szCs w:val="32"/>
          <w:lang w:eastAsia="zh-CN"/>
        </w:rPr>
      </w:pPr>
      <w:r>
        <w:rPr>
          <w:rFonts w:hint="eastAsia" w:eastAsia="方正仿宋_GBK"/>
          <w:sz w:val="32"/>
          <w:szCs w:val="32"/>
          <w:lang w:eastAsia="zh-CN"/>
        </w:rPr>
        <w:t>补助资金发放</w:t>
      </w:r>
      <w:r>
        <w:rPr>
          <w:rFonts w:hint="eastAsia" w:eastAsia="方正仿宋_GBK"/>
          <w:sz w:val="32"/>
          <w:szCs w:val="32"/>
          <w:lang w:val="en-US" w:eastAsia="zh-CN"/>
        </w:rPr>
        <w:t>规范率</w:t>
      </w:r>
      <w:r>
        <w:rPr>
          <w:rFonts w:hint="eastAsia" w:eastAsia="方正仿宋_GBK"/>
          <w:sz w:val="32"/>
          <w:szCs w:val="32"/>
          <w:lang w:eastAsia="zh-CN"/>
        </w:rPr>
        <w:t>（</w:t>
      </w:r>
      <w:r>
        <w:rPr>
          <w:rFonts w:hint="eastAsia" w:eastAsia="方正仿宋_GBK"/>
          <w:sz w:val="32"/>
          <w:szCs w:val="32"/>
          <w:lang w:val="en-US" w:eastAsia="zh-CN"/>
        </w:rPr>
        <w:t>10分</w:t>
      </w:r>
      <w:r>
        <w:rPr>
          <w:rFonts w:hint="eastAsia" w:eastAsia="方正仿宋_GBK"/>
          <w:sz w:val="32"/>
          <w:szCs w:val="32"/>
          <w:lang w:eastAsia="zh-CN"/>
        </w:rPr>
        <w:t>）</w:t>
      </w:r>
    </w:p>
    <w:p>
      <w:pPr>
        <w:numPr>
          <w:ilvl w:val="0"/>
          <w:numId w:val="0"/>
        </w:num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2021年度，我单位按照相关政策文件要求及单位职能职责，对困难群众、优抚对象、重精神病患者家属、工伤认证职工等发放慰问补助，补助慰问标准符合相关文件要求，没有出现未按规定标准发放的情况。综合看来，2021年度我单位补助资金发放规范率达100%，该指标绩效评价综合得分为10分。</w:t>
      </w:r>
    </w:p>
    <w:p>
      <w:pPr>
        <w:keepNext w:val="0"/>
        <w:keepLines w:val="0"/>
        <w:pageBreakBefore w:val="0"/>
        <w:widowControl w:val="0"/>
        <w:numPr>
          <w:ilvl w:val="0"/>
          <w:numId w:val="3"/>
        </w:numPr>
        <w:kinsoku/>
        <w:wordWrap/>
        <w:overflowPunct/>
        <w:topLinePunct w:val="0"/>
        <w:autoSpaceDE/>
        <w:autoSpaceDN/>
        <w:bidi w:val="0"/>
        <w:adjustRightInd/>
        <w:snapToGrid/>
        <w:spacing w:line="596" w:lineRule="exact"/>
        <w:ind w:left="0" w:leftChars="0" w:firstLine="640" w:firstLineChars="200"/>
        <w:textAlignment w:val="auto"/>
        <w:rPr>
          <w:rFonts w:hint="eastAsia" w:eastAsia="方正仿宋_GBK"/>
          <w:sz w:val="32"/>
          <w:szCs w:val="32"/>
          <w:lang w:eastAsia="zh-CN"/>
        </w:rPr>
      </w:pPr>
      <w:r>
        <w:rPr>
          <w:rFonts w:hint="eastAsia" w:eastAsia="方正仿宋_GBK"/>
          <w:sz w:val="32"/>
          <w:szCs w:val="32"/>
          <w:lang w:eastAsia="zh-CN"/>
        </w:rPr>
        <w:t>困难救助人员覆盖率（</w:t>
      </w:r>
      <w:r>
        <w:rPr>
          <w:rFonts w:hint="eastAsia" w:eastAsia="方正仿宋_GBK"/>
          <w:sz w:val="32"/>
          <w:szCs w:val="32"/>
          <w:lang w:val="en-US" w:eastAsia="zh-CN"/>
        </w:rPr>
        <w:t>10分</w:t>
      </w:r>
      <w:r>
        <w:rPr>
          <w:rFonts w:hint="eastAsia" w:eastAsia="方正仿宋_GBK"/>
          <w:sz w:val="32"/>
          <w:szCs w:val="32"/>
          <w:lang w:eastAsia="zh-CN"/>
        </w:rPr>
        <w:t>）</w:t>
      </w:r>
    </w:p>
    <w:p>
      <w:pPr>
        <w:spacing w:line="594"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2021年度我单位发放困难救助人员补助达到全覆盖，实际做到应补尽补，</w:t>
      </w:r>
      <w:r>
        <w:rPr>
          <w:rFonts w:hint="eastAsia" w:eastAsia="方正仿宋_GBK"/>
          <w:sz w:val="32"/>
          <w:szCs w:val="32"/>
          <w:lang w:eastAsia="zh-CN"/>
        </w:rPr>
        <w:t>困难救助人员覆盖率</w:t>
      </w:r>
      <w:r>
        <w:rPr>
          <w:rFonts w:hint="eastAsia" w:eastAsia="方正仿宋_GBK"/>
          <w:sz w:val="32"/>
          <w:szCs w:val="32"/>
          <w:lang w:val="en-US" w:eastAsia="zh-CN"/>
        </w:rPr>
        <w:t>达100%，</w:t>
      </w:r>
      <w:r>
        <w:rPr>
          <w:rFonts w:hint="default" w:ascii="Times New Roman" w:hAnsi="Times New Roman" w:eastAsia="方正仿宋_GBK" w:cs="Times New Roman"/>
          <w:color w:val="auto"/>
          <w:sz w:val="32"/>
          <w:szCs w:val="32"/>
          <w:highlight w:val="none"/>
        </w:rPr>
        <w:t>该指标绩效评价得分为</w:t>
      </w:r>
      <w:r>
        <w:rPr>
          <w:rFonts w:hint="eastAsia"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分。</w:t>
      </w:r>
    </w:p>
    <w:p>
      <w:pPr>
        <w:keepNext w:val="0"/>
        <w:keepLines w:val="0"/>
        <w:pageBreakBefore w:val="0"/>
        <w:widowControl w:val="0"/>
        <w:numPr>
          <w:ilvl w:val="0"/>
          <w:numId w:val="3"/>
        </w:numPr>
        <w:kinsoku/>
        <w:wordWrap/>
        <w:overflowPunct/>
        <w:topLinePunct w:val="0"/>
        <w:autoSpaceDE/>
        <w:autoSpaceDN/>
        <w:bidi w:val="0"/>
        <w:adjustRightInd/>
        <w:snapToGrid/>
        <w:spacing w:line="596" w:lineRule="exact"/>
        <w:ind w:left="0" w:leftChars="0" w:firstLine="640" w:firstLineChars="200"/>
        <w:textAlignment w:val="auto"/>
        <w:rPr>
          <w:rFonts w:hint="eastAsia" w:eastAsia="方正仿宋_GBK"/>
          <w:sz w:val="32"/>
          <w:szCs w:val="32"/>
          <w:lang w:eastAsia="zh-CN"/>
        </w:rPr>
      </w:pPr>
      <w:r>
        <w:rPr>
          <w:rFonts w:hint="eastAsia" w:eastAsia="方正仿宋_GBK"/>
          <w:sz w:val="32"/>
          <w:szCs w:val="32"/>
          <w:lang w:val="en-US" w:eastAsia="zh-CN"/>
        </w:rPr>
        <w:t>城乡基础设施建设、维护工作完成情况</w:t>
      </w:r>
      <w:r>
        <w:rPr>
          <w:rFonts w:hint="eastAsia" w:eastAsia="方正仿宋_GBK"/>
          <w:sz w:val="32"/>
          <w:szCs w:val="32"/>
          <w:lang w:eastAsia="zh-CN"/>
        </w:rPr>
        <w:t>（</w:t>
      </w:r>
      <w:r>
        <w:rPr>
          <w:rFonts w:hint="eastAsia" w:eastAsia="方正仿宋_GBK"/>
          <w:sz w:val="32"/>
          <w:szCs w:val="32"/>
          <w:lang w:val="en-US" w:eastAsia="zh-CN"/>
        </w:rPr>
        <w:t>10分</w:t>
      </w:r>
      <w:r>
        <w:rPr>
          <w:rFonts w:hint="eastAsia" w:eastAsia="方正仿宋_GBK"/>
          <w:sz w:val="32"/>
          <w:szCs w:val="32"/>
          <w:lang w:eastAsia="zh-CN"/>
        </w:rPr>
        <w:t>）</w:t>
      </w:r>
    </w:p>
    <w:p>
      <w:pPr>
        <w:spacing w:line="594" w:lineRule="exact"/>
        <w:ind w:firstLine="640" w:firstLineChars="200"/>
        <w:rPr>
          <w:rFonts w:hint="default" w:eastAsia="方正仿宋_GBK"/>
          <w:sz w:val="32"/>
          <w:szCs w:val="32"/>
          <w:lang w:val="en-US" w:eastAsia="zh-CN"/>
        </w:rPr>
      </w:pPr>
      <w:r>
        <w:rPr>
          <w:rFonts w:hint="eastAsia" w:ascii="Times New Roman" w:hAnsi="Times New Roman" w:eastAsia="方正仿宋_GBK" w:cs="Times New Roman"/>
          <w:color w:val="auto"/>
          <w:sz w:val="32"/>
          <w:szCs w:val="32"/>
          <w:highlight w:val="none"/>
          <w:lang w:val="en-US" w:eastAsia="zh-CN"/>
        </w:rPr>
        <w:t>2021年度，</w:t>
      </w:r>
      <w:r>
        <w:rPr>
          <w:rFonts w:hint="eastAsia" w:eastAsia="方正仿宋_GBK" w:cs="Times New Roman"/>
          <w:color w:val="auto"/>
          <w:sz w:val="32"/>
          <w:szCs w:val="32"/>
          <w:highlight w:val="none"/>
          <w:lang w:val="en-US" w:eastAsia="zh-CN"/>
        </w:rPr>
        <w:t>我单位实施了农村道路建设及维护、城乡社区公共基础设施建设及维护、污水管网建设及维修维护、城镇基础设施建设及维护等工作，对城乡道路及基础设施等进行建设、维护，截止2021年12月31日，城乡基础设施建设、维护等相关工作均按项目进度有序执行，改善了城乡人居环境，为辖区居民休闲、健身提供了场所，综合看来，2021年，我单位城乡基础设施建设、维护工作得到较好实施，该指标绩效评价综合得分9.5分。</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eastAsia" w:eastAsia="方正仿宋_GBK"/>
          <w:sz w:val="32"/>
          <w:szCs w:val="32"/>
          <w:lang w:eastAsia="zh-CN"/>
        </w:rPr>
      </w:pPr>
      <w:r>
        <w:rPr>
          <w:rFonts w:hint="eastAsia" w:eastAsia="方正仿宋_GBK"/>
          <w:sz w:val="32"/>
          <w:szCs w:val="32"/>
          <w:lang w:eastAsia="zh-CN"/>
        </w:rPr>
        <w:t>老旧小区改造及时率（</w:t>
      </w:r>
      <w:r>
        <w:rPr>
          <w:rFonts w:hint="eastAsia" w:eastAsia="方正仿宋_GBK"/>
          <w:sz w:val="32"/>
          <w:szCs w:val="32"/>
          <w:lang w:val="en-US" w:eastAsia="zh-CN"/>
        </w:rPr>
        <w:t>15分</w:t>
      </w:r>
      <w:r>
        <w:rPr>
          <w:rFonts w:hint="eastAsia" w:eastAsia="方正仿宋_GBK"/>
          <w:sz w:val="32"/>
          <w:szCs w:val="32"/>
          <w:lang w:eastAsia="zh-CN"/>
        </w:rPr>
        <w:t>）</w:t>
      </w:r>
    </w:p>
    <w:p>
      <w:pPr>
        <w:spacing w:line="594" w:lineRule="exact"/>
        <w:ind w:firstLine="640" w:firstLineChars="200"/>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2021年度，</w:t>
      </w:r>
      <w:r>
        <w:rPr>
          <w:rFonts w:hint="eastAsia" w:eastAsia="方正仿宋_GBK" w:cs="Times New Roman"/>
          <w:color w:val="auto"/>
          <w:sz w:val="32"/>
          <w:szCs w:val="32"/>
          <w:highlight w:val="none"/>
          <w:lang w:val="en-US" w:eastAsia="zh-CN"/>
        </w:rPr>
        <w:t>我单位实施了“党建引领、小区治理”、安排城市老旧小区改造（一期）项目等项目，对辖区部分老旧小区进行改造，排查消除消防卫生安全的同时又提高了小区居民的居住环境，综合看来，2021年，我单位及时组织开展了老旧小区改造相关工作，工作开展及时率达100%，该指标绩效评价综合得分15分</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eastAsia" w:eastAsia="方正仿宋_GBK"/>
          <w:sz w:val="32"/>
          <w:szCs w:val="32"/>
          <w:lang w:eastAsia="zh-CN"/>
        </w:rPr>
      </w:pPr>
      <w:r>
        <w:rPr>
          <w:rFonts w:hint="eastAsia" w:eastAsia="方正仿宋_GBK"/>
          <w:sz w:val="32"/>
          <w:szCs w:val="32"/>
          <w:lang w:eastAsia="zh-CN"/>
        </w:rPr>
        <w:t>辖区城乡环境改善有效性（</w:t>
      </w:r>
      <w:r>
        <w:rPr>
          <w:rFonts w:hint="eastAsia" w:eastAsia="方正仿宋_GBK"/>
          <w:sz w:val="32"/>
          <w:szCs w:val="32"/>
          <w:lang w:val="en-US" w:eastAsia="zh-CN"/>
        </w:rPr>
        <w:t>15分</w:t>
      </w:r>
      <w:r>
        <w:rPr>
          <w:rFonts w:hint="eastAsia" w:eastAsia="方正仿宋_GBK"/>
          <w:sz w:val="32"/>
          <w:szCs w:val="32"/>
          <w:lang w:eastAsia="zh-CN"/>
        </w:rPr>
        <w:t>）</w:t>
      </w:r>
    </w:p>
    <w:p>
      <w:pPr>
        <w:spacing w:line="594" w:lineRule="exact"/>
        <w:ind w:firstLine="640" w:firstLineChars="200"/>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2021年度，我单位发放城乡社区环境卫生管理运行经费，并聘请环卫工人对辖区内</w:t>
      </w:r>
      <w:r>
        <w:rPr>
          <w:rFonts w:hint="eastAsia" w:eastAsia="方正仿宋_GBK" w:cs="Times New Roman"/>
          <w:color w:val="auto"/>
          <w:sz w:val="32"/>
          <w:szCs w:val="32"/>
          <w:highlight w:val="none"/>
          <w:lang w:val="en-US" w:eastAsia="zh-CN"/>
        </w:rPr>
        <w:t>镇街街道、广场等公共区域进行清洁打扫，对公共垃圾桶、垃圾场的垃圾及时进行收运，辖区公共区域环境卫生得到有效清洁和保持，辖区居民居住环境得到明显改善，综合看来，2021年，辖区城乡环境清洁保持工作执行较好，该指标绩效评价综合得分13.5分。</w:t>
      </w:r>
    </w:p>
    <w:p>
      <w:pPr>
        <w:numPr>
          <w:ilvl w:val="0"/>
          <w:numId w:val="4"/>
        </w:numPr>
        <w:spacing w:line="596" w:lineRule="exact"/>
        <w:ind w:left="0" w:leftChars="0" w:firstLine="640" w:firstLineChars="200"/>
        <w:rPr>
          <w:rFonts w:hint="eastAsia" w:eastAsia="方正仿宋_GBK"/>
          <w:sz w:val="32"/>
          <w:szCs w:val="32"/>
        </w:rPr>
      </w:pPr>
      <w:r>
        <w:rPr>
          <w:rFonts w:hint="eastAsia" w:eastAsia="方正仿宋_GBK"/>
          <w:sz w:val="32"/>
          <w:szCs w:val="32"/>
          <w:lang w:eastAsia="zh-CN"/>
        </w:rPr>
        <w:t>群众满意度（</w:t>
      </w:r>
      <w:r>
        <w:rPr>
          <w:rFonts w:hint="eastAsia" w:eastAsia="方正仿宋_GBK"/>
          <w:sz w:val="32"/>
          <w:szCs w:val="32"/>
          <w:lang w:val="en-US" w:eastAsia="zh-CN"/>
        </w:rPr>
        <w:t>10分</w:t>
      </w:r>
      <w:r>
        <w:rPr>
          <w:rFonts w:hint="eastAsia" w:eastAsia="方正仿宋_GBK"/>
          <w:sz w:val="32"/>
          <w:szCs w:val="32"/>
          <w:lang w:eastAsia="zh-CN"/>
        </w:rPr>
        <w:t>）</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2021年度，我单位根据走访、调查等形式，了解到辖区城乡居民对单位执行工作满意度较高，群众满意度大于90%，达到年度设定标准，故该指标绩效评价综合得分10分</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eastAsia="zh-CN"/>
        </w:rPr>
        <w:t>（</w:t>
      </w:r>
      <w:r>
        <w:rPr>
          <w:rFonts w:hint="eastAsia" w:eastAsia="方正仿宋_GBK"/>
          <w:sz w:val="32"/>
          <w:szCs w:val="32"/>
          <w:lang w:val="en-US" w:eastAsia="zh-CN"/>
        </w:rPr>
        <w:t>二</w:t>
      </w:r>
      <w:r>
        <w:rPr>
          <w:rFonts w:hint="eastAsia" w:eastAsia="方正仿宋_GBK"/>
          <w:sz w:val="32"/>
          <w:szCs w:val="32"/>
          <w:lang w:eastAsia="zh-CN"/>
        </w:rPr>
        <w:t>）</w:t>
      </w:r>
      <w:r>
        <w:rPr>
          <w:rFonts w:hint="eastAsia" w:eastAsia="方正仿宋_GBK"/>
          <w:sz w:val="32"/>
          <w:szCs w:val="32"/>
          <w:lang w:val="en-US" w:eastAsia="zh-CN"/>
        </w:rPr>
        <w:t>绩效评价结论</w:t>
      </w:r>
    </w:p>
    <w:p>
      <w:pPr>
        <w:spacing w:line="596" w:lineRule="exact"/>
        <w:ind w:firstLine="640" w:firstLineChars="200"/>
        <w:rPr>
          <w:rFonts w:hint="eastAsia" w:eastAsia="方正仿宋_GBK"/>
          <w:sz w:val="32"/>
          <w:szCs w:val="32"/>
        </w:rPr>
      </w:pPr>
      <w:r>
        <w:rPr>
          <w:rFonts w:hint="eastAsia" w:eastAsia="方正仿宋_GBK"/>
          <w:sz w:val="32"/>
          <w:szCs w:val="32"/>
        </w:rPr>
        <w:t>本次绩效评价综合得分</w:t>
      </w:r>
      <w:r>
        <w:rPr>
          <w:rFonts w:hint="eastAsia" w:eastAsia="方正仿宋_GBK"/>
          <w:sz w:val="32"/>
          <w:szCs w:val="32"/>
          <w:lang w:val="en-US" w:eastAsia="zh-CN"/>
        </w:rPr>
        <w:t>98分</w:t>
      </w:r>
      <w:r>
        <w:rPr>
          <w:rFonts w:hint="eastAsia" w:eastAsia="方正仿宋_GBK"/>
          <w:sz w:val="32"/>
          <w:szCs w:val="32"/>
        </w:rPr>
        <w:t>，绩效评价等级为“</w:t>
      </w:r>
      <w:r>
        <w:rPr>
          <w:rFonts w:hint="eastAsia" w:eastAsia="方正仿宋_GBK"/>
          <w:sz w:val="32"/>
          <w:szCs w:val="32"/>
          <w:lang w:val="en-US" w:eastAsia="zh-CN"/>
        </w:rPr>
        <w:t>优</w:t>
      </w:r>
      <w:r>
        <w:rPr>
          <w:rFonts w:hint="eastAsia" w:eastAsia="方正仿宋_GBK"/>
          <w:sz w:val="32"/>
          <w:szCs w:val="32"/>
        </w:rPr>
        <w:t>”。</w:t>
      </w:r>
    </w:p>
    <w:p>
      <w:pPr>
        <w:spacing w:line="596" w:lineRule="exact"/>
        <w:ind w:firstLine="640" w:firstLineChars="200"/>
        <w:rPr>
          <w:rFonts w:eastAsia="方正黑体_GBK"/>
          <w:sz w:val="32"/>
          <w:szCs w:val="32"/>
          <w:highlight w:val="none"/>
        </w:rPr>
      </w:pPr>
      <w:r>
        <w:rPr>
          <w:rFonts w:hint="eastAsia" w:eastAsia="方正黑体_GBK"/>
          <w:sz w:val="32"/>
          <w:szCs w:val="32"/>
          <w:highlight w:val="none"/>
        </w:rPr>
        <w:t>四</w:t>
      </w:r>
      <w:r>
        <w:rPr>
          <w:rFonts w:eastAsia="方正黑体_GBK"/>
          <w:sz w:val="32"/>
          <w:szCs w:val="32"/>
          <w:highlight w:val="none"/>
        </w:rPr>
        <w:t>、主要经验及做法</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预算绩效管理贯穿工作执行的全过程，在工作上，我单位积极响应区政府、区财政局全面推进预算绩效管理工作要求，对项目开展事前绩效评估、事中运行监控及事后绩效评价，并将评估监控评价资料及时报送区财政局审核备案；在管理上，我单位根据相关政策文件要求结合单位实际情况形成了预算绩效管理制度，以制度为指导，有序开展各项预算绩效管理相关工作；在结果应用上，对绩效监控、绩效评价结果进行分析，及时总结项目执行经验，力求各项目能在年度内按时、保质保量完成，提高项目管理能力。</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但由于目前我单位仍缺少对预算绩效管理的专业性知识，故通过购买服务的形式，</w:t>
      </w:r>
      <w:r>
        <w:rPr>
          <w:rFonts w:hint="eastAsia" w:eastAsia="方正仿宋_GBK"/>
          <w:sz w:val="32"/>
          <w:szCs w:val="32"/>
          <w:lang w:eastAsia="zh-CN"/>
        </w:rPr>
        <w:t>委托</w:t>
      </w:r>
      <w:r>
        <w:rPr>
          <w:rFonts w:hint="eastAsia" w:eastAsia="方正仿宋_GBK"/>
          <w:sz w:val="32"/>
          <w:szCs w:val="32"/>
          <w:lang w:val="en-US" w:eastAsia="zh-CN"/>
        </w:rPr>
        <w:t>专业的</w:t>
      </w:r>
      <w:r>
        <w:rPr>
          <w:rFonts w:hint="eastAsia" w:eastAsia="方正仿宋_GBK"/>
          <w:sz w:val="32"/>
          <w:szCs w:val="32"/>
          <w:lang w:eastAsia="zh-CN"/>
        </w:rPr>
        <w:t>第三方咨询机构为我街道</w:t>
      </w:r>
      <w:r>
        <w:rPr>
          <w:rFonts w:hint="eastAsia" w:eastAsia="方正仿宋_GBK"/>
          <w:sz w:val="32"/>
          <w:szCs w:val="32"/>
          <w:lang w:val="en-US" w:eastAsia="zh-CN"/>
        </w:rPr>
        <w:t>预算绩效管理工作提供专业性支持</w:t>
      </w:r>
      <w:r>
        <w:rPr>
          <w:rFonts w:hint="eastAsia" w:eastAsia="方正仿宋_GBK"/>
          <w:sz w:val="32"/>
          <w:szCs w:val="32"/>
          <w:lang w:eastAsia="zh-CN"/>
        </w:rPr>
        <w:t>，</w:t>
      </w:r>
      <w:r>
        <w:rPr>
          <w:rFonts w:hint="eastAsia" w:eastAsia="方正仿宋_GBK"/>
          <w:sz w:val="32"/>
          <w:szCs w:val="32"/>
          <w:lang w:val="en-US" w:eastAsia="zh-CN"/>
        </w:rPr>
        <w:t>有效解决了我单位预算绩效管理工作中遇到的困难，进一步提升了我单位预算绩效管理工作人员的专业水平，提高了单位整体工作效率。</w:t>
      </w:r>
    </w:p>
    <w:p>
      <w:pPr>
        <w:spacing w:line="596" w:lineRule="exact"/>
        <w:ind w:firstLine="640" w:firstLineChars="200"/>
        <w:rPr>
          <w:rFonts w:eastAsia="方正黑体_GBK"/>
          <w:sz w:val="32"/>
          <w:szCs w:val="32"/>
          <w:highlight w:val="none"/>
        </w:rPr>
      </w:pPr>
      <w:r>
        <w:rPr>
          <w:rFonts w:hint="eastAsia" w:eastAsia="方正黑体_GBK"/>
          <w:sz w:val="32"/>
          <w:szCs w:val="32"/>
          <w:highlight w:val="none"/>
        </w:rPr>
        <w:t>五、</w:t>
      </w:r>
      <w:r>
        <w:rPr>
          <w:rFonts w:eastAsia="方正黑体_GBK"/>
          <w:sz w:val="32"/>
          <w:szCs w:val="32"/>
          <w:highlight w:val="none"/>
        </w:rPr>
        <w:t>存在的问题</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目前单位部分工作人员对预算绩效管理了解不足，对事前评估、事中监控及事后评价缺乏了解，相关表单填写不符合逻辑，不符合标准，对单位开展预算绩效管理工作造成一定的困难。</w:t>
      </w:r>
    </w:p>
    <w:p>
      <w:pPr>
        <w:spacing w:line="596" w:lineRule="exact"/>
        <w:ind w:firstLine="640" w:firstLineChars="200"/>
        <w:rPr>
          <w:rFonts w:hint="default" w:eastAsia="方正仿宋_GBK"/>
          <w:sz w:val="32"/>
          <w:szCs w:val="32"/>
          <w:highlight w:val="none"/>
          <w:lang w:val="en-US" w:eastAsia="zh-CN"/>
        </w:rPr>
      </w:pPr>
      <w:r>
        <w:rPr>
          <w:rFonts w:hint="eastAsia" w:eastAsia="方正黑体_GBK"/>
          <w:sz w:val="32"/>
          <w:szCs w:val="32"/>
          <w:highlight w:val="none"/>
          <w:lang w:val="en-US" w:eastAsia="zh-CN"/>
        </w:rPr>
        <w:t>六</w:t>
      </w:r>
      <w:r>
        <w:rPr>
          <w:rFonts w:hint="eastAsia" w:eastAsia="方正黑体_GBK"/>
          <w:sz w:val="32"/>
          <w:szCs w:val="32"/>
          <w:highlight w:val="none"/>
        </w:rPr>
        <w:t>、</w:t>
      </w:r>
      <w:r>
        <w:rPr>
          <w:rFonts w:hint="eastAsia" w:eastAsia="方正黑体_GBK"/>
          <w:sz w:val="32"/>
          <w:szCs w:val="32"/>
          <w:highlight w:val="none"/>
          <w:lang w:val="en-US" w:eastAsia="zh-CN"/>
        </w:rPr>
        <w:t>改进措施、建议</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1. 对单位员工开展预算绩效管理相关培训学习，加强单位员工对预算绩效管理的了解，提高单位工作人员的预算绩效管理意识。</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2. 不断完善预算绩效管理制度，根据相关政策文件及区政府、区财政局相关工作要求，不断规范、细化单位预算绩效管理制度，对单位员工开展预算绩效管理相关工作提供指导。</w:t>
      </w:r>
    </w:p>
    <w:p>
      <w:pPr>
        <w:pStyle w:val="2"/>
        <w:rPr>
          <w:rFonts w:hint="eastAsia"/>
          <w:lang w:val="en-US" w:eastAsia="zh-CN"/>
        </w:rPr>
      </w:pPr>
    </w:p>
    <w:p>
      <w:pPr>
        <w:spacing w:line="596" w:lineRule="exact"/>
        <w:ind w:firstLine="640" w:firstLineChars="200"/>
        <w:jc w:val="right"/>
        <w:rPr>
          <w:rFonts w:hint="default" w:eastAsia="方正仿宋_GBK"/>
          <w:sz w:val="32"/>
          <w:szCs w:val="32"/>
          <w:lang w:val="en-US" w:eastAsia="zh-CN"/>
        </w:rPr>
      </w:pPr>
      <w:r>
        <w:rPr>
          <w:rFonts w:hint="default" w:eastAsia="方正仿宋_GBK"/>
          <w:sz w:val="32"/>
          <w:szCs w:val="32"/>
          <w:lang w:val="en-US" w:eastAsia="zh-CN"/>
        </w:rPr>
        <w:t>重庆市璧山区人民政府</w:t>
      </w:r>
      <w:r>
        <w:rPr>
          <w:rFonts w:hint="eastAsia" w:eastAsia="方正仿宋_GBK"/>
          <w:sz w:val="32"/>
          <w:szCs w:val="32"/>
          <w:lang w:val="en-US" w:eastAsia="zh-CN"/>
        </w:rPr>
        <w:t>璧城</w:t>
      </w:r>
      <w:r>
        <w:rPr>
          <w:rFonts w:hint="default" w:eastAsia="方正仿宋_GBK"/>
          <w:sz w:val="32"/>
          <w:szCs w:val="32"/>
          <w:lang w:val="en-US" w:eastAsia="zh-CN"/>
        </w:rPr>
        <w:t>街道办事处</w:t>
      </w:r>
    </w:p>
    <w:p>
      <w:pPr>
        <w:pStyle w:val="2"/>
        <w:jc w:val="right"/>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2022年3月21日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2246F"/>
    <w:multiLevelType w:val="singleLevel"/>
    <w:tmpl w:val="8DB2246F"/>
    <w:lvl w:ilvl="0" w:tentative="0">
      <w:start w:val="2"/>
      <w:numFmt w:val="decimal"/>
      <w:suff w:val="space"/>
      <w:lvlText w:val="%1."/>
      <w:lvlJc w:val="left"/>
    </w:lvl>
  </w:abstractNum>
  <w:abstractNum w:abstractNumId="1">
    <w:nsid w:val="F981640B"/>
    <w:multiLevelType w:val="singleLevel"/>
    <w:tmpl w:val="F981640B"/>
    <w:lvl w:ilvl="0" w:tentative="0">
      <w:start w:val="2"/>
      <w:numFmt w:val="decimal"/>
      <w:suff w:val="space"/>
      <w:lvlText w:val="%1."/>
      <w:lvlJc w:val="left"/>
    </w:lvl>
  </w:abstractNum>
  <w:abstractNum w:abstractNumId="2">
    <w:nsid w:val="2CB63054"/>
    <w:multiLevelType w:val="singleLevel"/>
    <w:tmpl w:val="2CB63054"/>
    <w:lvl w:ilvl="0" w:tentative="0">
      <w:start w:val="3"/>
      <w:numFmt w:val="decimal"/>
      <w:suff w:val="space"/>
      <w:lvlText w:val="%1."/>
      <w:lvlJc w:val="left"/>
    </w:lvl>
  </w:abstractNum>
  <w:abstractNum w:abstractNumId="3">
    <w:nsid w:val="423E1811"/>
    <w:multiLevelType w:val="singleLevel"/>
    <w:tmpl w:val="423E1811"/>
    <w:lvl w:ilvl="0" w:tentative="0">
      <w:start w:val="2"/>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1E4264"/>
    <w:rsid w:val="00247BB1"/>
    <w:rsid w:val="002571F7"/>
    <w:rsid w:val="002641A6"/>
    <w:rsid w:val="002834C5"/>
    <w:rsid w:val="00293914"/>
    <w:rsid w:val="002C141E"/>
    <w:rsid w:val="002F6627"/>
    <w:rsid w:val="00304656"/>
    <w:rsid w:val="00305CE7"/>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911F9"/>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0D37"/>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1635C49"/>
    <w:rsid w:val="02E05818"/>
    <w:rsid w:val="03190CB5"/>
    <w:rsid w:val="039C3694"/>
    <w:rsid w:val="03C36E72"/>
    <w:rsid w:val="04096F7B"/>
    <w:rsid w:val="04506958"/>
    <w:rsid w:val="047F723D"/>
    <w:rsid w:val="04BF202C"/>
    <w:rsid w:val="052B2F21"/>
    <w:rsid w:val="05942874"/>
    <w:rsid w:val="05C72C4A"/>
    <w:rsid w:val="0616772D"/>
    <w:rsid w:val="066E1317"/>
    <w:rsid w:val="06EF0895"/>
    <w:rsid w:val="072916E2"/>
    <w:rsid w:val="07E31891"/>
    <w:rsid w:val="08685FA6"/>
    <w:rsid w:val="08AF74D4"/>
    <w:rsid w:val="08EB6C4F"/>
    <w:rsid w:val="091A4149"/>
    <w:rsid w:val="093A7BD7"/>
    <w:rsid w:val="09412D13"/>
    <w:rsid w:val="096B7D90"/>
    <w:rsid w:val="09CC3BD3"/>
    <w:rsid w:val="0A157CFC"/>
    <w:rsid w:val="0A516F86"/>
    <w:rsid w:val="0AB17A25"/>
    <w:rsid w:val="0AF52007"/>
    <w:rsid w:val="0B550CF8"/>
    <w:rsid w:val="0BA61553"/>
    <w:rsid w:val="0BB05F2E"/>
    <w:rsid w:val="0C2C7CAB"/>
    <w:rsid w:val="0CEF0CD8"/>
    <w:rsid w:val="0CFF18C7"/>
    <w:rsid w:val="0D5A43A4"/>
    <w:rsid w:val="0E772D33"/>
    <w:rsid w:val="0E9B2EC6"/>
    <w:rsid w:val="0ECF0DC1"/>
    <w:rsid w:val="0F877762"/>
    <w:rsid w:val="0FEF02AA"/>
    <w:rsid w:val="10833C11"/>
    <w:rsid w:val="10A73186"/>
    <w:rsid w:val="1142587A"/>
    <w:rsid w:val="11537A88"/>
    <w:rsid w:val="117D7E82"/>
    <w:rsid w:val="11EF56F0"/>
    <w:rsid w:val="12192A7F"/>
    <w:rsid w:val="12A643B3"/>
    <w:rsid w:val="12E12E71"/>
    <w:rsid w:val="12EF1A32"/>
    <w:rsid w:val="13ED62F9"/>
    <w:rsid w:val="14237BE5"/>
    <w:rsid w:val="145034D6"/>
    <w:rsid w:val="14531B4D"/>
    <w:rsid w:val="1497412F"/>
    <w:rsid w:val="14B46A8F"/>
    <w:rsid w:val="14E8498B"/>
    <w:rsid w:val="15C727F2"/>
    <w:rsid w:val="16777D74"/>
    <w:rsid w:val="167C3E7E"/>
    <w:rsid w:val="168801D3"/>
    <w:rsid w:val="17CA0378"/>
    <w:rsid w:val="18215961"/>
    <w:rsid w:val="18D23988"/>
    <w:rsid w:val="19393A07"/>
    <w:rsid w:val="19ED659F"/>
    <w:rsid w:val="1B177D78"/>
    <w:rsid w:val="1B9969DF"/>
    <w:rsid w:val="1BEC6B0F"/>
    <w:rsid w:val="1C270E13"/>
    <w:rsid w:val="1D8B05A9"/>
    <w:rsid w:val="1E641526"/>
    <w:rsid w:val="1EE241F9"/>
    <w:rsid w:val="1EE2522B"/>
    <w:rsid w:val="1F446C62"/>
    <w:rsid w:val="1FA53BA4"/>
    <w:rsid w:val="1FD71884"/>
    <w:rsid w:val="1FDC333E"/>
    <w:rsid w:val="20482782"/>
    <w:rsid w:val="209D4AAC"/>
    <w:rsid w:val="20EC75B1"/>
    <w:rsid w:val="21090163"/>
    <w:rsid w:val="21584C46"/>
    <w:rsid w:val="216B497A"/>
    <w:rsid w:val="21725D08"/>
    <w:rsid w:val="21894E00"/>
    <w:rsid w:val="224C47AB"/>
    <w:rsid w:val="233D2346"/>
    <w:rsid w:val="235A2EF8"/>
    <w:rsid w:val="23645B24"/>
    <w:rsid w:val="23735D67"/>
    <w:rsid w:val="237B69CA"/>
    <w:rsid w:val="23B76E36"/>
    <w:rsid w:val="23C71C0F"/>
    <w:rsid w:val="23FC3FAF"/>
    <w:rsid w:val="24AA57B9"/>
    <w:rsid w:val="24E32A79"/>
    <w:rsid w:val="252C08C4"/>
    <w:rsid w:val="254E083A"/>
    <w:rsid w:val="255D282B"/>
    <w:rsid w:val="2560231B"/>
    <w:rsid w:val="25A8619C"/>
    <w:rsid w:val="26123B38"/>
    <w:rsid w:val="26215F4F"/>
    <w:rsid w:val="26325A66"/>
    <w:rsid w:val="26996C1D"/>
    <w:rsid w:val="270E4FB2"/>
    <w:rsid w:val="27196C26"/>
    <w:rsid w:val="27257379"/>
    <w:rsid w:val="284D4DD9"/>
    <w:rsid w:val="289C7436"/>
    <w:rsid w:val="28BC1F5F"/>
    <w:rsid w:val="28F60FCD"/>
    <w:rsid w:val="2A351FC9"/>
    <w:rsid w:val="2A84085A"/>
    <w:rsid w:val="2A8455CF"/>
    <w:rsid w:val="2AEA4B61"/>
    <w:rsid w:val="2B726905"/>
    <w:rsid w:val="2BD76F8B"/>
    <w:rsid w:val="2C4464F3"/>
    <w:rsid w:val="2C8608B9"/>
    <w:rsid w:val="2D234B86"/>
    <w:rsid w:val="2D7626DC"/>
    <w:rsid w:val="2D8862A8"/>
    <w:rsid w:val="2E3F6F72"/>
    <w:rsid w:val="2E6A7D67"/>
    <w:rsid w:val="2E8E7EF9"/>
    <w:rsid w:val="2E903C71"/>
    <w:rsid w:val="2FAF6379"/>
    <w:rsid w:val="2FB50EF1"/>
    <w:rsid w:val="2FF65D56"/>
    <w:rsid w:val="2FF67B04"/>
    <w:rsid w:val="302C1778"/>
    <w:rsid w:val="304753CF"/>
    <w:rsid w:val="309A0DD7"/>
    <w:rsid w:val="30D30997"/>
    <w:rsid w:val="30E6401D"/>
    <w:rsid w:val="30FC55EE"/>
    <w:rsid w:val="316A07AA"/>
    <w:rsid w:val="326F3B9E"/>
    <w:rsid w:val="32CE6B16"/>
    <w:rsid w:val="3321133C"/>
    <w:rsid w:val="3379104B"/>
    <w:rsid w:val="33BA3F4B"/>
    <w:rsid w:val="33E83C08"/>
    <w:rsid w:val="34796F56"/>
    <w:rsid w:val="349D49F2"/>
    <w:rsid w:val="357C7A47"/>
    <w:rsid w:val="358D2CB9"/>
    <w:rsid w:val="35B50461"/>
    <w:rsid w:val="36653975"/>
    <w:rsid w:val="36E0150E"/>
    <w:rsid w:val="37D83F93"/>
    <w:rsid w:val="382F44FB"/>
    <w:rsid w:val="39AD1B7B"/>
    <w:rsid w:val="39D07618"/>
    <w:rsid w:val="39E02135"/>
    <w:rsid w:val="39FC040D"/>
    <w:rsid w:val="3A296D28"/>
    <w:rsid w:val="3AEB1E6D"/>
    <w:rsid w:val="3BE02D49"/>
    <w:rsid w:val="3C0F6D52"/>
    <w:rsid w:val="3C2123AD"/>
    <w:rsid w:val="3C634773"/>
    <w:rsid w:val="3CE60F00"/>
    <w:rsid w:val="3D0B53DD"/>
    <w:rsid w:val="3D7B789B"/>
    <w:rsid w:val="3D9F7A2D"/>
    <w:rsid w:val="3DC079A3"/>
    <w:rsid w:val="3E3A1504"/>
    <w:rsid w:val="3ED01E68"/>
    <w:rsid w:val="3ED92ACB"/>
    <w:rsid w:val="3F19380F"/>
    <w:rsid w:val="3F52287D"/>
    <w:rsid w:val="3FD31C10"/>
    <w:rsid w:val="3FDF05B5"/>
    <w:rsid w:val="40A1279E"/>
    <w:rsid w:val="40AB493B"/>
    <w:rsid w:val="414A7CB0"/>
    <w:rsid w:val="41504943"/>
    <w:rsid w:val="42F223AD"/>
    <w:rsid w:val="433F136A"/>
    <w:rsid w:val="437E5696"/>
    <w:rsid w:val="43B12268"/>
    <w:rsid w:val="43CA50D8"/>
    <w:rsid w:val="43ED0DC6"/>
    <w:rsid w:val="444E5D09"/>
    <w:rsid w:val="44FC39B7"/>
    <w:rsid w:val="452C4F46"/>
    <w:rsid w:val="45837C34"/>
    <w:rsid w:val="45BD3146"/>
    <w:rsid w:val="46674E60"/>
    <w:rsid w:val="478649EF"/>
    <w:rsid w:val="47C3256A"/>
    <w:rsid w:val="47CA56A6"/>
    <w:rsid w:val="47FA5C48"/>
    <w:rsid w:val="482E20D9"/>
    <w:rsid w:val="48FD1AAC"/>
    <w:rsid w:val="491E6E77"/>
    <w:rsid w:val="4A1C5F07"/>
    <w:rsid w:val="4A227A1C"/>
    <w:rsid w:val="4A7E6C1C"/>
    <w:rsid w:val="4A865A58"/>
    <w:rsid w:val="4A8C1339"/>
    <w:rsid w:val="4A9E6685"/>
    <w:rsid w:val="4AC61065"/>
    <w:rsid w:val="4ACA3C0F"/>
    <w:rsid w:val="4B0E7FA0"/>
    <w:rsid w:val="4B72052F"/>
    <w:rsid w:val="4BEB208F"/>
    <w:rsid w:val="4BF73B1F"/>
    <w:rsid w:val="4BFE0015"/>
    <w:rsid w:val="4C553155"/>
    <w:rsid w:val="4CD07C03"/>
    <w:rsid w:val="4D5C3245"/>
    <w:rsid w:val="4D834C75"/>
    <w:rsid w:val="4D860EA2"/>
    <w:rsid w:val="4DB52955"/>
    <w:rsid w:val="4E434405"/>
    <w:rsid w:val="4E824F2D"/>
    <w:rsid w:val="4E850579"/>
    <w:rsid w:val="4EB17D98"/>
    <w:rsid w:val="4ED240DA"/>
    <w:rsid w:val="4EF456FF"/>
    <w:rsid w:val="4FC13833"/>
    <w:rsid w:val="5019366F"/>
    <w:rsid w:val="502F0DDF"/>
    <w:rsid w:val="51114346"/>
    <w:rsid w:val="516A3A56"/>
    <w:rsid w:val="51C15D6C"/>
    <w:rsid w:val="51DF61F2"/>
    <w:rsid w:val="520B348B"/>
    <w:rsid w:val="52466271"/>
    <w:rsid w:val="5257047F"/>
    <w:rsid w:val="528B0128"/>
    <w:rsid w:val="52F12681"/>
    <w:rsid w:val="530921EA"/>
    <w:rsid w:val="5334256E"/>
    <w:rsid w:val="538A03E0"/>
    <w:rsid w:val="53AA43C3"/>
    <w:rsid w:val="54705828"/>
    <w:rsid w:val="5492579E"/>
    <w:rsid w:val="55603AEE"/>
    <w:rsid w:val="563F3703"/>
    <w:rsid w:val="568059A8"/>
    <w:rsid w:val="56CC3A20"/>
    <w:rsid w:val="56D305CF"/>
    <w:rsid w:val="570B7A8A"/>
    <w:rsid w:val="573249BD"/>
    <w:rsid w:val="576C677A"/>
    <w:rsid w:val="586236D9"/>
    <w:rsid w:val="58A92390"/>
    <w:rsid w:val="58F307D5"/>
    <w:rsid w:val="59777658"/>
    <w:rsid w:val="59D6437F"/>
    <w:rsid w:val="59F82547"/>
    <w:rsid w:val="5A307F33"/>
    <w:rsid w:val="5A5A6D5E"/>
    <w:rsid w:val="5A6E57B7"/>
    <w:rsid w:val="5B751975"/>
    <w:rsid w:val="5BA34735"/>
    <w:rsid w:val="5C0351D3"/>
    <w:rsid w:val="5D235B2D"/>
    <w:rsid w:val="5D296EBB"/>
    <w:rsid w:val="5D456E35"/>
    <w:rsid w:val="5D6D6D4D"/>
    <w:rsid w:val="5D755C5D"/>
    <w:rsid w:val="5DAB5B22"/>
    <w:rsid w:val="5E23390B"/>
    <w:rsid w:val="5F336C89"/>
    <w:rsid w:val="5F434264"/>
    <w:rsid w:val="5F8328B3"/>
    <w:rsid w:val="5FEA224C"/>
    <w:rsid w:val="610712C2"/>
    <w:rsid w:val="615A5895"/>
    <w:rsid w:val="61B0135C"/>
    <w:rsid w:val="61FE0917"/>
    <w:rsid w:val="6243457B"/>
    <w:rsid w:val="62AF1C11"/>
    <w:rsid w:val="63100901"/>
    <w:rsid w:val="634C7460"/>
    <w:rsid w:val="63B03E93"/>
    <w:rsid w:val="63CB65D6"/>
    <w:rsid w:val="64175CC0"/>
    <w:rsid w:val="653308D7"/>
    <w:rsid w:val="662B684D"/>
    <w:rsid w:val="66576847"/>
    <w:rsid w:val="66A03D4A"/>
    <w:rsid w:val="673B7F17"/>
    <w:rsid w:val="674C5C80"/>
    <w:rsid w:val="67BB4BB4"/>
    <w:rsid w:val="67BC1EF5"/>
    <w:rsid w:val="68633281"/>
    <w:rsid w:val="69771943"/>
    <w:rsid w:val="69E73067"/>
    <w:rsid w:val="6A184540"/>
    <w:rsid w:val="6A5135AE"/>
    <w:rsid w:val="6A5D1F52"/>
    <w:rsid w:val="6AC975E8"/>
    <w:rsid w:val="6B3739CD"/>
    <w:rsid w:val="6B574BF4"/>
    <w:rsid w:val="6B721A2E"/>
    <w:rsid w:val="6BB40298"/>
    <w:rsid w:val="6BD66460"/>
    <w:rsid w:val="6C44161C"/>
    <w:rsid w:val="6C953C26"/>
    <w:rsid w:val="6CAD0F6F"/>
    <w:rsid w:val="6CE32BE3"/>
    <w:rsid w:val="6D5669EF"/>
    <w:rsid w:val="6D63491A"/>
    <w:rsid w:val="6D8A5754"/>
    <w:rsid w:val="6DBE53FE"/>
    <w:rsid w:val="6E153270"/>
    <w:rsid w:val="6E4E22DE"/>
    <w:rsid w:val="6E7C509D"/>
    <w:rsid w:val="6EB505AF"/>
    <w:rsid w:val="6F1E7F02"/>
    <w:rsid w:val="6F6F075E"/>
    <w:rsid w:val="6FAE12B7"/>
    <w:rsid w:val="713C4FB8"/>
    <w:rsid w:val="713C65B5"/>
    <w:rsid w:val="71A80DB9"/>
    <w:rsid w:val="71F96A05"/>
    <w:rsid w:val="72200435"/>
    <w:rsid w:val="72DF5BFA"/>
    <w:rsid w:val="72E74AAF"/>
    <w:rsid w:val="733C4DFB"/>
    <w:rsid w:val="75695C4F"/>
    <w:rsid w:val="75DC28C5"/>
    <w:rsid w:val="763B583E"/>
    <w:rsid w:val="76FF686B"/>
    <w:rsid w:val="77955421"/>
    <w:rsid w:val="78347974"/>
    <w:rsid w:val="79077C59"/>
    <w:rsid w:val="7947274B"/>
    <w:rsid w:val="79EB2A00"/>
    <w:rsid w:val="79EF5BD6"/>
    <w:rsid w:val="7A214D4A"/>
    <w:rsid w:val="7A684727"/>
    <w:rsid w:val="7AAF05A8"/>
    <w:rsid w:val="7B734078"/>
    <w:rsid w:val="7B8A691F"/>
    <w:rsid w:val="7D7635FF"/>
    <w:rsid w:val="7DC50678"/>
    <w:rsid w:val="7E1E7F1F"/>
    <w:rsid w:val="7E431733"/>
    <w:rsid w:val="7EC108AA"/>
    <w:rsid w:val="7EC92489"/>
    <w:rsid w:val="7F8E0040"/>
    <w:rsid w:val="7FAE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jc w:val="center"/>
      <w:outlineLvl w:val="0"/>
    </w:pPr>
    <w:rPr>
      <w:rFonts w:ascii="Arial" w:hAnsi="Arial" w:cs="Arial"/>
      <w:b/>
      <w:bCs/>
      <w:sz w:val="32"/>
      <w:szCs w:val="3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37</Words>
  <Characters>214</Characters>
  <Lines>1</Lines>
  <Paragraphs>1</Paragraphs>
  <TotalTime>7</TotalTime>
  <ScaleCrop>false</ScaleCrop>
  <LinksUpToDate>false</LinksUpToDate>
  <CharactersWithSpaces>250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优服咨询</cp:lastModifiedBy>
  <cp:lastPrinted>2020-04-20T08:58:00Z</cp:lastPrinted>
  <dcterms:modified xsi:type="dcterms:W3CDTF">2022-03-21T06:51:51Z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B547F06D67DB4526892C5DF5F2D61358</vt:lpwstr>
  </property>
</Properties>
</file>