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both"/>
        <w:rPr>
          <w:rFonts w:hint="default"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val="en-US" w:eastAsia="zh-CN"/>
        </w:rPr>
        <w:t>附件4</w:t>
      </w:r>
    </w:p>
    <w:p>
      <w:pPr>
        <w:spacing w:line="596" w:lineRule="exact"/>
        <w:jc w:val="center"/>
        <w:rPr>
          <w:rFonts w:hint="default" w:ascii="Times New Roman" w:hAnsi="Times New Roman" w:eastAsia="方正小标宋_GBK" w:cs="Times New Roman"/>
          <w:color w:val="auto"/>
          <w:sz w:val="44"/>
          <w:szCs w:val="44"/>
        </w:rPr>
      </w:pPr>
    </w:p>
    <w:p>
      <w:pPr>
        <w:spacing w:line="596" w:lineRule="exact"/>
        <w:jc w:val="center"/>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重庆市璧山区妇女联合会</w:t>
      </w:r>
    </w:p>
    <w:p>
      <w:pPr>
        <w:spacing w:line="596" w:lineRule="exact"/>
        <w:jc w:val="center"/>
        <w:rPr>
          <w:rFonts w:hint="default" w:ascii="Times New Roman" w:hAnsi="Times New Roman" w:eastAsia="方正小标宋_GBK" w:cs="Times New Roman"/>
          <w:color w:val="auto"/>
          <w:sz w:val="44"/>
          <w:szCs w:val="44"/>
        </w:rPr>
      </w:pPr>
      <w:bookmarkStart w:id="20" w:name="_GoBack"/>
      <w:r>
        <w:rPr>
          <w:rFonts w:hint="default" w:ascii="Times New Roman" w:hAnsi="Times New Roman" w:eastAsia="方正小标宋_GBK" w:cs="Times New Roman"/>
          <w:color w:val="auto"/>
          <w:sz w:val="44"/>
          <w:szCs w:val="44"/>
        </w:rPr>
        <w:t>2021年整体支出绩效自评报告</w:t>
      </w:r>
    </w:p>
    <w:bookmarkEnd w:id="20"/>
    <w:p>
      <w:pPr>
        <w:pStyle w:val="20"/>
        <w:spacing w:line="596" w:lineRule="exact"/>
        <w:ind w:firstLine="640"/>
        <w:rPr>
          <w:rFonts w:hint="default" w:ascii="Times New Roman" w:hAnsi="Times New Roman" w:eastAsia="方正仿宋_GBK" w:cs="Times New Roman"/>
          <w:color w:val="auto"/>
          <w:sz w:val="32"/>
          <w:szCs w:val="32"/>
        </w:rPr>
      </w:pPr>
    </w:p>
    <w:p>
      <w:pPr>
        <w:spacing w:line="596"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一、基本情况</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（一）单位基本情况</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重庆市璧山区妇女联合会是中共重庆市璧山区委领导下的社会群众团体，是区委、区政府联系妇女群众的桥梁和纽带，是推动妇女儿童事业发展的重要力量。是全额财政拨款</w:t>
      </w:r>
      <w:r>
        <w:rPr>
          <w:rFonts w:hint="default" w:ascii="Times New Roman" w:hAnsi="Times New Roman" w:eastAsia="方正仿宋_GBK" w:cs="Times New Roman"/>
          <w:color w:val="auto"/>
          <w:kern w:val="0"/>
          <w:sz w:val="32"/>
          <w:szCs w:val="32"/>
        </w:rPr>
        <w:t>正处级</w:t>
      </w:r>
      <w:r>
        <w:rPr>
          <w:rFonts w:hint="default" w:ascii="Times New Roman" w:hAnsi="Times New Roman" w:eastAsia="方正仿宋_GBK" w:cs="Times New Roman"/>
          <w:color w:val="auto"/>
          <w:sz w:val="32"/>
          <w:szCs w:val="32"/>
        </w:rPr>
        <w:t>单位。</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机关核定行政编制7名（含妇儿工委办公室工作人员1名）、事业编制2名。实有机关行政编制人员7名，其中：主席1名、副主席1名，二级调研员1名，三级调研员1名，内设机构负责人职数2名（正职），编制及工资关系在本单位、工作在区委直属机关工委的正处级领导干部1名。有正科级内设机构2个：办公室和维权发展部。有退休人员4名（副处3名，正科1名）。有经编办、人力社保局和财政审批的临聘人员2名。有编制在璧山区群团活动中心，实际由区妇联管理使用的事业编制人员2名。</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（二）职能职责</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kern w:val="0"/>
          <w:sz w:val="32"/>
          <w:szCs w:val="32"/>
        </w:rPr>
        <w:t>妇联组织的基本职能是：代表和维护妇女</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"http://www.so.com/s?q=%E5%88%A9%E7%9B%8A&amp;ie=utf-8&amp;src=internal_wenda_recommend_textn"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利益</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，促进男女平等。具体是：团结、动员妇女投身改革开放和</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"http://www.so.com/s?q=%E7%A4%BE%E4%BC%9A%E4%B8%BB%E4%B9%89&amp;ie=utf-8&amp;src=internal_wenda_recommend_textn"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社会主义</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现代化建设，促进</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"http://www.so.com/s?q=%E7%BB%8F%E6%B5%8E%E5%8F%91%E5%B1%95&amp;ie=utf-8&amp;src=internal_wenda_recommend_textn"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经济发展</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和社会主义现代化建设，促进经济发展和社会全面进步；教育、引导广大妇女，增强自尊、自信、自立、自强的</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"http://www.so.com/s?q=%E7%B2%BE%E7%A5%9E&amp;ie=utf-8&amp;src=internal_wenda_recommend_textn"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精神</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，全面提高素质，促进妇女人才成长；代表妇女参与国家和社会事务的</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"http://www.so.com/s?q=%E6%B0%91%E4%B8%BB%E7%AE%A1%E7%90%86&amp;ie=utf-8&amp;src=internal_wenda_recommend_textn"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民主管理</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"http://www.so.com/s?q=%E6%B0%91%E4%B8%BB%E7%9B%91%E7%9D%A3&amp;ie=utf-8&amp;src=internal_wenda_recommend_textn"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民主监督</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，参与有关妇女儿童</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"http://www.so.com/s?q=%E6%B3%95%E5%BE%8B&amp;ie=utf-8&amp;src=internal_wenda_recommend_textn"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法律</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"http://www.so.com/s?q=%E6%B3%95%E8%A7%84&amp;ie=utf-8&amp;src=internal_wenda_recommend_textn"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法规</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"http://www.so.com/s?q=%E8%A7%84%E7%AB%A0&amp;ie=utf-8&amp;src=internal_wenda_recommend_textn"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规章</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的制定，维护妇女儿童合法权益；加强与社会各界的联系、协调和推动社会各界为妇女儿童办</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"http://www.so.com/s?q=%E5%AE%9E%E4%BA%8B&amp;ie=utf-8&amp;src=internal_wenda_recommend_textn"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实事</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、办好事；为妇女儿童服务。巩固和扩大各族各界妇女的联谊，促进祖国统一大业。积极发展同世界各国妇女的友好交往，增进了解和友谊，</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"http://www.so.com/s?q=%E7%BB%B4%E6%8A%A4%E4%B8%96%E7%95%8C%E5%92%8C%E5%B9%B3&amp;ie=utf-8&amp;src=internal_wenda_recommend_textn"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eastAsia="方正仿宋_GBK" w:cs="Times New Roman"/>
          <w:color w:val="auto"/>
          <w:kern w:val="0"/>
          <w:sz w:val="32"/>
          <w:szCs w:val="32"/>
        </w:rPr>
        <w:t>维护世界和平</w:t>
      </w:r>
      <w:r>
        <w:rPr>
          <w:rFonts w:hint="default" w:ascii="Times New Roman" w:hAnsi="Times New Roman" w:eastAsia="方正仿宋_GBK" w:cs="Times New Roman"/>
          <w:color w:val="auto"/>
          <w:kern w:val="0"/>
          <w:sz w:val="32"/>
          <w:szCs w:val="32"/>
        </w:rPr>
        <w:fldChar w:fldCharType="end"/>
      </w:r>
      <w:r>
        <w:rPr>
          <w:rFonts w:hint="default" w:ascii="Times New Roman" w:hAnsi="Times New Roman" w:eastAsia="方正仿宋_GBK" w:cs="Times New Roman"/>
          <w:color w:val="auto"/>
          <w:kern w:val="0"/>
          <w:sz w:val="32"/>
          <w:szCs w:val="32"/>
        </w:rPr>
        <w:t>。</w:t>
      </w:r>
      <w:r>
        <w:rPr>
          <w:rFonts w:hint="default" w:ascii="Times New Roman" w:hAnsi="Times New Roman" w:eastAsia="方正仿宋_GBK" w:cs="Times New Roman"/>
          <w:color w:val="auto"/>
          <w:sz w:val="32"/>
          <w:szCs w:val="32"/>
        </w:rPr>
        <w:t>完成</w:t>
      </w:r>
      <w:r>
        <w:rPr>
          <w:rFonts w:hint="default" w:ascii="Times New Roman" w:hAnsi="Times New Roman" w:eastAsia="方正仿宋_GBK" w:cs="Times New Roman"/>
          <w:color w:val="auto"/>
          <w:kern w:val="0"/>
          <w:sz w:val="32"/>
          <w:szCs w:val="32"/>
        </w:rPr>
        <w:t>区委、区政府和市</w:t>
      </w:r>
      <w:r>
        <w:rPr>
          <w:rFonts w:hint="default" w:ascii="Times New Roman" w:hAnsi="Times New Roman" w:eastAsia="方正仿宋_GBK" w:cs="Times New Roman"/>
          <w:color w:val="auto"/>
          <w:sz w:val="32"/>
          <w:szCs w:val="32"/>
        </w:rPr>
        <w:t>妇联</w:t>
      </w:r>
      <w:r>
        <w:rPr>
          <w:rFonts w:hint="default" w:ascii="Times New Roman" w:hAnsi="Times New Roman" w:eastAsia="方正仿宋_GBK" w:cs="Times New Roman"/>
          <w:color w:val="auto"/>
          <w:kern w:val="0"/>
          <w:sz w:val="32"/>
          <w:szCs w:val="32"/>
        </w:rPr>
        <w:t>交办的其他事项。</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（三）预算及支出情况</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2021年部门年初预算数一般公共预算拨款</w:t>
      </w:r>
      <w:r>
        <w:rPr>
          <w:rFonts w:hint="default" w:ascii="Times New Roman" w:hAnsi="Times New Roman" w:eastAsia="方正仿宋_GBK" w:cs="Times New Roman"/>
          <w:color w:val="auto"/>
          <w:kern w:val="0"/>
          <w:sz w:val="32"/>
          <w:szCs w:val="32"/>
          <w:lang w:val="en-US" w:eastAsia="zh-CN"/>
        </w:rPr>
        <w:t>276.03</w:t>
      </w:r>
      <w:r>
        <w:rPr>
          <w:rFonts w:hint="default" w:ascii="Times New Roman" w:hAnsi="Times New Roman" w:eastAsia="方正仿宋_GBK" w:cs="Times New Roman"/>
          <w:color w:val="auto"/>
          <w:kern w:val="0"/>
          <w:sz w:val="32"/>
          <w:szCs w:val="32"/>
        </w:rPr>
        <w:t>万元，其中：项目支出94.68万元。2021年调整预算数</w:t>
      </w:r>
      <w:r>
        <w:rPr>
          <w:rFonts w:hint="default" w:ascii="Times New Roman" w:hAnsi="Times New Roman" w:eastAsia="方正仿宋_GBK" w:cs="Times New Roman"/>
          <w:color w:val="auto"/>
          <w:kern w:val="0"/>
          <w:sz w:val="32"/>
          <w:szCs w:val="32"/>
          <w:lang w:val="en-US" w:eastAsia="zh-CN"/>
        </w:rPr>
        <w:t>331.23</w:t>
      </w:r>
      <w:r>
        <w:rPr>
          <w:rFonts w:hint="default" w:ascii="Times New Roman" w:hAnsi="Times New Roman" w:eastAsia="方正仿宋_GBK" w:cs="Times New Roman"/>
          <w:color w:val="auto"/>
          <w:kern w:val="0"/>
          <w:sz w:val="32"/>
          <w:szCs w:val="32"/>
        </w:rPr>
        <w:t>万元，其中：一般公共服务</w:t>
      </w:r>
      <w:r>
        <w:rPr>
          <w:rFonts w:hint="default" w:ascii="Times New Roman" w:hAnsi="Times New Roman" w:eastAsia="方正仿宋_GBK" w:cs="Times New Roman"/>
          <w:color w:val="auto"/>
          <w:kern w:val="0"/>
          <w:sz w:val="32"/>
          <w:szCs w:val="32"/>
          <w:lang w:val="en-US" w:eastAsia="zh-CN"/>
        </w:rPr>
        <w:t>266.34</w:t>
      </w:r>
      <w:r>
        <w:rPr>
          <w:rFonts w:hint="default" w:ascii="Times New Roman" w:hAnsi="Times New Roman" w:eastAsia="方正仿宋_GBK" w:cs="Times New Roman"/>
          <w:color w:val="auto"/>
          <w:kern w:val="0"/>
          <w:sz w:val="32"/>
          <w:szCs w:val="32"/>
        </w:rPr>
        <w:t>万元，社会保障和就业</w:t>
      </w:r>
      <w:r>
        <w:rPr>
          <w:rFonts w:hint="default" w:ascii="Times New Roman" w:hAnsi="Times New Roman" w:eastAsia="方正仿宋_GBK" w:cs="Times New Roman"/>
          <w:color w:val="auto"/>
          <w:kern w:val="0"/>
          <w:sz w:val="32"/>
          <w:szCs w:val="32"/>
          <w:lang w:val="en-US" w:eastAsia="zh-CN"/>
        </w:rPr>
        <w:t>41.99</w:t>
      </w:r>
      <w:r>
        <w:rPr>
          <w:rFonts w:hint="default" w:ascii="Times New Roman" w:hAnsi="Times New Roman" w:eastAsia="方正仿宋_GBK" w:cs="Times New Roman"/>
          <w:color w:val="auto"/>
          <w:kern w:val="0"/>
          <w:sz w:val="32"/>
          <w:szCs w:val="32"/>
        </w:rPr>
        <w:t>万元，卫生健康支出</w:t>
      </w:r>
      <w:r>
        <w:rPr>
          <w:rFonts w:hint="default" w:ascii="Times New Roman" w:hAnsi="Times New Roman" w:eastAsia="方正仿宋_GBK" w:cs="Times New Roman"/>
          <w:color w:val="auto"/>
          <w:kern w:val="0"/>
          <w:sz w:val="32"/>
          <w:szCs w:val="32"/>
          <w:lang w:val="en-US" w:eastAsia="zh-CN"/>
        </w:rPr>
        <w:t>10.05</w:t>
      </w:r>
      <w:r>
        <w:rPr>
          <w:rFonts w:hint="default" w:ascii="Times New Roman" w:hAnsi="Times New Roman" w:eastAsia="方正仿宋_GBK" w:cs="Times New Roman"/>
          <w:color w:val="auto"/>
          <w:kern w:val="0"/>
          <w:sz w:val="32"/>
          <w:szCs w:val="32"/>
        </w:rPr>
        <w:t>万元，住房保障</w:t>
      </w:r>
      <w:r>
        <w:rPr>
          <w:rFonts w:hint="default" w:ascii="Times New Roman" w:hAnsi="Times New Roman" w:eastAsia="方正仿宋_GBK" w:cs="Times New Roman"/>
          <w:color w:val="auto"/>
          <w:kern w:val="0"/>
          <w:sz w:val="32"/>
          <w:szCs w:val="32"/>
          <w:lang w:val="en-US" w:eastAsia="zh-CN"/>
        </w:rPr>
        <w:t>12.85</w:t>
      </w:r>
      <w:r>
        <w:rPr>
          <w:rFonts w:hint="default" w:ascii="Times New Roman" w:hAnsi="Times New Roman" w:eastAsia="方正仿宋_GBK" w:cs="Times New Roman"/>
          <w:color w:val="auto"/>
          <w:kern w:val="0"/>
          <w:sz w:val="32"/>
          <w:szCs w:val="32"/>
        </w:rPr>
        <w:t>万元。</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2021年全年支出</w:t>
      </w:r>
      <w:r>
        <w:rPr>
          <w:rFonts w:hint="default" w:ascii="Times New Roman" w:hAnsi="Times New Roman" w:eastAsia="方正仿宋_GBK" w:cs="Times New Roman"/>
          <w:color w:val="auto"/>
          <w:kern w:val="0"/>
          <w:sz w:val="32"/>
          <w:szCs w:val="32"/>
          <w:lang w:val="en-US" w:eastAsia="zh-CN"/>
        </w:rPr>
        <w:t>331.23</w:t>
      </w:r>
      <w:r>
        <w:rPr>
          <w:rFonts w:hint="default" w:ascii="Times New Roman" w:hAnsi="Times New Roman" w:eastAsia="方正仿宋_GBK" w:cs="Times New Roman"/>
          <w:color w:val="auto"/>
          <w:kern w:val="0"/>
          <w:sz w:val="32"/>
          <w:szCs w:val="32"/>
        </w:rPr>
        <w:t>万元，其中项目支出94.68万元。</w:t>
      </w:r>
    </w:p>
    <w:p>
      <w:pPr>
        <w:spacing w:line="596"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二、绩效评价基本情况</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（一）绩效评价目的</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次绩效评价是围绕本单位的职能职责，以预算及支出为抓手，洞悉人、财、物资源与职能匹配情况，进而从更宽泛的层面把握本单位的职能履行情况，从支出效益分析中总结经验、查找问题，促进财政资金管理，强化单位责任意识，进一步完善“全方位、全过程、全覆盖”的财政预算绩效管理体系，优化财政资源配置，提高财政资金的使用效益，完善管理制度，更好地完成各项工作任务。</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（二）绩效评价原则、评价指标体系、评价方法</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绩效评价原则包括科学规范原则、公开公正原则、分级分类原则、绩效相关原则。</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整个指标体系分为投入（7分），过程（24分），产出（42分），效益（27分），共设置了4个一级指标，10个二级指标，29个三级指标。</w:t>
      </w:r>
    </w:p>
    <w:p>
      <w:pPr>
        <w:spacing w:line="596" w:lineRule="exact"/>
        <w:ind w:firstLine="640" w:firstLineChars="200"/>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本次绩效评价运用了比较法、因素分析法、最低成本法、公众评判法进行评价。</w:t>
      </w:r>
    </w:p>
    <w:p>
      <w:pPr>
        <w:spacing w:line="596" w:lineRule="exact"/>
        <w:ind w:firstLine="640" w:firstLineChars="200"/>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（1）比较法：是指通过对绩效目标与实施效果、历史与当期的比较，综合分析绩效目标实现程度。</w:t>
      </w:r>
    </w:p>
    <w:p>
      <w:pPr>
        <w:spacing w:line="596" w:lineRule="exact"/>
        <w:ind w:firstLine="640" w:firstLineChars="200"/>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（2）因素分析法：是指通过综合分析影响绩效目标实现、实施效果的内外因素，评价绩效目标实现程度。</w:t>
      </w:r>
    </w:p>
    <w:p>
      <w:pPr>
        <w:spacing w:line="596" w:lineRule="exact"/>
        <w:ind w:firstLine="640" w:firstLineChars="200"/>
        <w:rPr>
          <w:rFonts w:hint="default" w:ascii="Times New Roman" w:hAnsi="Times New Roman" w:eastAsia="方正仿宋_GBK" w:cs="Times New Roman"/>
          <w:bCs/>
          <w:color w:val="auto"/>
          <w:sz w:val="32"/>
          <w:szCs w:val="32"/>
        </w:rPr>
      </w:pPr>
      <w:r>
        <w:rPr>
          <w:rFonts w:hint="default" w:ascii="Times New Roman" w:hAnsi="Times New Roman" w:eastAsia="方正仿宋_GBK" w:cs="Times New Roman"/>
          <w:bCs/>
          <w:color w:val="auto"/>
          <w:sz w:val="32"/>
          <w:szCs w:val="32"/>
        </w:rPr>
        <w:t>（3）公众评判法：是指通过专家评估、公众问卷及抽样调查等对财政资金使用效果进行评判，评价绩效目标实现程度。</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（三）绩效评价工作过程</w:t>
      </w:r>
    </w:p>
    <w:p>
      <w:pPr>
        <w:spacing w:line="596" w:lineRule="exact"/>
        <w:ind w:firstLine="640" w:firstLineChars="200"/>
        <w:rPr>
          <w:rFonts w:hint="default" w:ascii="Times New Roman" w:hAnsi="Times New Roman" w:eastAsia="方正仿宋_GBK" w:cs="Times New Roman"/>
          <w:color w:val="auto"/>
          <w:sz w:val="32"/>
          <w:szCs w:val="32"/>
        </w:rPr>
      </w:pPr>
      <w:bookmarkStart w:id="0" w:name="_Toc15698"/>
      <w:bookmarkStart w:id="1" w:name="_Toc12694"/>
      <w:r>
        <w:rPr>
          <w:rFonts w:hint="default" w:ascii="Times New Roman" w:hAnsi="Times New Roman" w:eastAsia="方正仿宋_GBK" w:cs="Times New Roman"/>
          <w:color w:val="auto"/>
          <w:sz w:val="32"/>
          <w:szCs w:val="32"/>
        </w:rPr>
        <w:t>1. 前期准备阶段。成立了绩效评价工作小组，由财务分管领导任组长，成员由办公室财务人员、业务部室、纪检人员组成。绩效评价工作小组组织各部室就项目评价提出要求并培训，确保项目绩效评价顺利开展，评价结果真实可靠。</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 组织实施阶段。绩效评价工作小组收集各项目资料，结合各部室自评结果进行进一步核实和修改；确定部门整体评价指标，客观真实反映一年来各部室所做的工作，确保部门职能职责和年度工作计划如期完成；</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 分析评价阶段。结合2021年度预决算情况对单位投入、过程、产出和效益进行打分评价，根据各部室项目绩效评价结果审核修改整体绩效评价结果，形成整体支出绩效评价表。</w:t>
      </w:r>
    </w:p>
    <w:bookmarkEnd w:id="0"/>
    <w:bookmarkEnd w:id="1"/>
    <w:p>
      <w:pPr>
        <w:spacing w:line="596"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三、绩效评价情况及结论</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2021年度本单位整体绩效自评得分为9</w:t>
      </w:r>
      <w:r>
        <w:rPr>
          <w:rFonts w:hint="default" w:ascii="Times New Roman" w:hAnsi="Times New Roman" w:eastAsia="方正仿宋_GBK" w:cs="Times New Roman"/>
          <w:color w:val="auto"/>
          <w:sz w:val="32"/>
          <w:szCs w:val="32"/>
          <w:lang w:val="en-US" w:eastAsia="zh-CN"/>
        </w:rPr>
        <w:t>8</w:t>
      </w:r>
      <w:r>
        <w:rPr>
          <w:rFonts w:hint="default" w:ascii="Times New Roman" w:hAnsi="Times New Roman" w:eastAsia="方正仿宋_GBK" w:cs="Times New Roman"/>
          <w:color w:val="auto"/>
          <w:sz w:val="32"/>
          <w:szCs w:val="32"/>
        </w:rPr>
        <w:t>分。详细情况分析如下：</w:t>
      </w:r>
    </w:p>
    <w:p>
      <w:pPr>
        <w:spacing w:line="596" w:lineRule="exact"/>
        <w:ind w:firstLine="640" w:firstLineChars="200"/>
        <w:rPr>
          <w:rFonts w:hint="default" w:ascii="Times New Roman" w:hAnsi="Times New Roman" w:eastAsia="方正楷体_GBK" w:cs="Times New Roman"/>
          <w:color w:val="auto"/>
          <w:sz w:val="32"/>
          <w:szCs w:val="32"/>
        </w:rPr>
      </w:pPr>
      <w:bookmarkStart w:id="2" w:name="_Toc3061"/>
      <w:bookmarkStart w:id="3" w:name="_Toc12119"/>
      <w:r>
        <w:rPr>
          <w:rFonts w:hint="default" w:ascii="Times New Roman" w:hAnsi="Times New Roman" w:eastAsia="方正楷体_GBK" w:cs="Times New Roman"/>
          <w:color w:val="auto"/>
          <w:sz w:val="32"/>
          <w:szCs w:val="32"/>
        </w:rPr>
        <w:t>（一）投入评价情况</w:t>
      </w:r>
      <w:bookmarkEnd w:id="2"/>
      <w:bookmarkEnd w:id="3"/>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2021年，本单位投入指标在整体绩效自评中所占分值为7分，实际得分为7分，详细得分情况如下：</w:t>
      </w:r>
    </w:p>
    <w:p>
      <w:pPr>
        <w:spacing w:line="596" w:lineRule="exact"/>
        <w:ind w:firstLine="640" w:firstLineChars="200"/>
        <w:outlineLvl w:val="2"/>
        <w:rPr>
          <w:rFonts w:hint="default" w:ascii="Times New Roman" w:hAnsi="Times New Roman" w:eastAsia="方正仿宋_GBK" w:cs="Times New Roman"/>
          <w:color w:val="auto"/>
          <w:sz w:val="32"/>
          <w:szCs w:val="32"/>
        </w:rPr>
      </w:pPr>
      <w:bookmarkStart w:id="4" w:name="_Toc12548"/>
      <w:bookmarkStart w:id="5" w:name="_Toc15416"/>
      <w:r>
        <w:rPr>
          <w:rFonts w:hint="default" w:ascii="Times New Roman" w:hAnsi="Times New Roman" w:eastAsia="方正仿宋_GBK" w:cs="Times New Roman"/>
          <w:color w:val="auto"/>
          <w:sz w:val="32"/>
          <w:szCs w:val="32"/>
        </w:rPr>
        <w:t>1.目标设定</w:t>
      </w:r>
      <w:bookmarkEnd w:id="4"/>
      <w:bookmarkEnd w:id="5"/>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（1）绩效目标合理性</w:t>
      </w:r>
    </w:p>
    <w:p>
      <w:pPr>
        <w:snapToGrid w:val="0"/>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度，本单位依据国家法律法规、国民经济和社会发展总体规划，以及《中共重庆市璧山区委办公室关于印发&lt;重庆市璧山区妇女联合会机关机构编制方案&gt;的通知》（璧山委办发〔2016〕44号）中所定的职能职责，制定了部门整体工作计划。我单位制定的整体工作计划与部门中长期实施规划、部门履职、年度工作任务完全符合，该指标得1分。</w:t>
      </w:r>
    </w:p>
    <w:p>
      <w:pPr>
        <w:numPr>
          <w:ilvl w:val="0"/>
          <w:numId w:val="1"/>
        </w:num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绩效指标明确性</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度，本单位根据区妇联年度预算与年度计划，将单位整体工作计划细化分解为具体的7个预算项目，另有市级资金项目1个，分别对应编制了《项目支出绩效目标申报表》，并通过清晰、可衡量的指标值予以体现，该指标得2分。</w:t>
      </w:r>
    </w:p>
    <w:p>
      <w:pPr>
        <w:spacing w:line="596" w:lineRule="exact"/>
        <w:ind w:firstLine="640" w:firstLineChars="200"/>
        <w:outlineLvl w:val="2"/>
        <w:rPr>
          <w:rFonts w:hint="default" w:ascii="Times New Roman" w:hAnsi="Times New Roman" w:eastAsia="方正仿宋_GBK" w:cs="Times New Roman"/>
          <w:color w:val="auto"/>
          <w:sz w:val="32"/>
          <w:szCs w:val="32"/>
        </w:rPr>
      </w:pPr>
      <w:bookmarkStart w:id="6" w:name="_Toc26758"/>
      <w:bookmarkStart w:id="7" w:name="_Toc12158"/>
      <w:r>
        <w:rPr>
          <w:rFonts w:hint="default" w:ascii="Times New Roman" w:hAnsi="Times New Roman" w:eastAsia="方正仿宋_GBK" w:cs="Times New Roman"/>
          <w:color w:val="auto"/>
          <w:sz w:val="32"/>
          <w:szCs w:val="32"/>
        </w:rPr>
        <w:t>2.预算配置</w:t>
      </w:r>
      <w:bookmarkEnd w:id="6"/>
      <w:bookmarkEnd w:id="7"/>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（1）在职人员控制率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2021年我单位年末行政编制7人、事业编制2人、临聘编制2人，实际在职正式职工7人、临聘人员2人，在职人员控制率为100%，该指标得2分。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（2）“三公经费”变动率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2021年部门“三公”经费预算共计70000元，同2020年“三公”经费预算</w:t>
      </w:r>
      <w:r>
        <w:rPr>
          <w:rFonts w:hint="default" w:ascii="Times New Roman" w:hAnsi="Times New Roman" w:eastAsia="方正仿宋_GBK" w:cs="Times New Roman"/>
          <w:color w:val="auto"/>
          <w:sz w:val="32"/>
          <w:szCs w:val="32"/>
          <w:lang w:val="en-US" w:eastAsia="zh-CN"/>
        </w:rPr>
        <w:t>80000</w:t>
      </w:r>
      <w:r>
        <w:rPr>
          <w:rFonts w:hint="default" w:ascii="Times New Roman" w:hAnsi="Times New Roman" w:eastAsia="方正仿宋_GBK" w:cs="Times New Roman"/>
          <w:color w:val="auto"/>
          <w:sz w:val="32"/>
          <w:szCs w:val="32"/>
        </w:rPr>
        <w:t>元相比减少</w:t>
      </w:r>
      <w:r>
        <w:rPr>
          <w:rFonts w:hint="default" w:ascii="Times New Roman" w:hAnsi="Times New Roman" w:eastAsia="方正仿宋_GBK" w:cs="Times New Roman"/>
          <w:color w:val="auto"/>
          <w:sz w:val="32"/>
          <w:szCs w:val="32"/>
          <w:lang w:val="en-US" w:eastAsia="zh-CN"/>
        </w:rPr>
        <w:t>10000</w:t>
      </w:r>
      <w:r>
        <w:rPr>
          <w:rFonts w:hint="default" w:ascii="Times New Roman" w:hAnsi="Times New Roman" w:eastAsia="方正仿宋_GBK" w:cs="Times New Roman"/>
          <w:color w:val="auto"/>
          <w:sz w:val="32"/>
          <w:szCs w:val="32"/>
        </w:rPr>
        <w:t>元。其中：2021年度未产生因公出国（境）费用，与2020年持平；公务接待费14150.3元，比2020年的8720元增加</w:t>
      </w:r>
      <w:r>
        <w:rPr>
          <w:rFonts w:hint="default" w:ascii="Times New Roman" w:hAnsi="Times New Roman" w:eastAsia="方正仿宋_GBK" w:cs="Times New Roman"/>
          <w:color w:val="auto"/>
          <w:sz w:val="32"/>
          <w:szCs w:val="32"/>
          <w:lang w:val="en-US" w:eastAsia="zh-CN"/>
        </w:rPr>
        <w:t>5430.3</w:t>
      </w:r>
      <w:r>
        <w:rPr>
          <w:rFonts w:hint="default" w:ascii="Times New Roman" w:hAnsi="Times New Roman" w:eastAsia="方正仿宋_GBK" w:cs="Times New Roman"/>
          <w:color w:val="auto"/>
          <w:sz w:val="32"/>
          <w:szCs w:val="32"/>
        </w:rPr>
        <w:t>元，公务接待费保持较低支出，主要原因系按中央八项规定严格开支和单位对公务接待严格规范；未产生公务用车运行维护费，与2020年持平。“三公经费”变动率为</w:t>
      </w:r>
      <w:r>
        <w:rPr>
          <w:rFonts w:hint="default" w:ascii="Times New Roman" w:hAnsi="Times New Roman" w:eastAsia="方正仿宋_GBK" w:cs="Times New Roman"/>
          <w:color w:val="auto"/>
          <w:sz w:val="32"/>
          <w:szCs w:val="32"/>
          <w:lang w:val="en-US" w:eastAsia="zh-CN"/>
        </w:rPr>
        <w:t>62.3</w:t>
      </w:r>
      <w:r>
        <w:rPr>
          <w:rFonts w:hint="default"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lang w:val="en-US" w:eastAsia="zh-CN"/>
        </w:rPr>
        <w:t>但是仍保持较低支出。</w:t>
      </w:r>
      <w:r>
        <w:rPr>
          <w:rFonts w:hint="default" w:ascii="Times New Roman" w:hAnsi="Times New Roman" w:eastAsia="方正仿宋_GBK" w:cs="Times New Roman"/>
          <w:color w:val="auto"/>
          <w:sz w:val="32"/>
          <w:szCs w:val="32"/>
        </w:rPr>
        <w:t>该指标得2分。</w:t>
      </w:r>
    </w:p>
    <w:p>
      <w:pPr>
        <w:spacing w:line="596" w:lineRule="exact"/>
        <w:ind w:firstLine="640" w:firstLineChars="200"/>
        <w:jc w:val="left"/>
        <w:outlineLvl w:val="1"/>
        <w:rPr>
          <w:rFonts w:hint="default" w:ascii="Times New Roman" w:hAnsi="Times New Roman" w:eastAsia="方正楷体_GBK" w:cs="Times New Roman"/>
          <w:color w:val="auto"/>
          <w:sz w:val="32"/>
          <w:szCs w:val="32"/>
        </w:rPr>
      </w:pPr>
      <w:bookmarkStart w:id="8" w:name="_Toc2909"/>
      <w:bookmarkStart w:id="9" w:name="_Toc8924"/>
      <w:r>
        <w:rPr>
          <w:rFonts w:hint="default" w:ascii="Times New Roman" w:hAnsi="Times New Roman" w:eastAsia="方正楷体_GBK" w:cs="Times New Roman"/>
          <w:color w:val="auto"/>
          <w:sz w:val="32"/>
          <w:szCs w:val="32"/>
        </w:rPr>
        <w:t>（二）过程评价情况</w:t>
      </w:r>
      <w:bookmarkEnd w:id="8"/>
      <w:bookmarkEnd w:id="9"/>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2021年，本单位过程指标在整体绩效自评中所占分值为24分，实际得分为2</w:t>
      </w:r>
      <w:r>
        <w:rPr>
          <w:rFonts w:hint="default"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rPr>
        <w:t>分，详细得分情况如下：</w:t>
      </w:r>
    </w:p>
    <w:p>
      <w:pPr>
        <w:spacing w:line="596" w:lineRule="exact"/>
        <w:ind w:firstLine="640" w:firstLineChars="200"/>
        <w:outlineLvl w:val="2"/>
        <w:rPr>
          <w:rFonts w:hint="default" w:ascii="Times New Roman" w:hAnsi="Times New Roman" w:eastAsia="方正仿宋_GBK" w:cs="Times New Roman"/>
          <w:color w:val="auto"/>
          <w:sz w:val="32"/>
          <w:szCs w:val="32"/>
        </w:rPr>
      </w:pPr>
      <w:bookmarkStart w:id="10" w:name="_Toc20079"/>
      <w:bookmarkStart w:id="11" w:name="_Toc20572"/>
      <w:r>
        <w:rPr>
          <w:rFonts w:hint="default" w:ascii="Times New Roman" w:hAnsi="Times New Roman" w:eastAsia="方正仿宋_GBK" w:cs="Times New Roman"/>
          <w:color w:val="auto"/>
          <w:sz w:val="32"/>
          <w:szCs w:val="32"/>
        </w:rPr>
        <w:t>1.预算执行</w:t>
      </w:r>
      <w:bookmarkEnd w:id="10"/>
      <w:bookmarkEnd w:id="11"/>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（1）预算完成率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2021年度，我单位年初预算数2760254.52元；本年收入合计3312349.6元；年度调整预算数3312349.6元，预算完成数3312349.6元，预算完成率为100%，该指标得1.5分。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（2）预算调整率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2021年度，部门年初预算数为2760254.52元，年末调整预算数为3312349.6元，预算调整金额为</w:t>
      </w:r>
      <w:r>
        <w:rPr>
          <w:rFonts w:hint="default" w:ascii="Times New Roman" w:hAnsi="Times New Roman" w:eastAsia="方正仿宋_GBK" w:cs="Times New Roman"/>
          <w:color w:val="auto"/>
          <w:sz w:val="32"/>
          <w:szCs w:val="32"/>
          <w:lang w:val="en-US" w:eastAsia="zh-CN"/>
        </w:rPr>
        <w:t>552095.08</w:t>
      </w:r>
      <w:r>
        <w:rPr>
          <w:rFonts w:hint="default" w:ascii="Times New Roman" w:hAnsi="Times New Roman" w:eastAsia="方正仿宋_GBK" w:cs="Times New Roman"/>
          <w:color w:val="auto"/>
          <w:sz w:val="32"/>
          <w:szCs w:val="32"/>
        </w:rPr>
        <w:t>元。预算调整率为</w:t>
      </w:r>
      <w:r>
        <w:rPr>
          <w:rFonts w:hint="default" w:ascii="Times New Roman" w:hAnsi="Times New Roman" w:eastAsia="方正仿宋_GBK" w:cs="Times New Roman"/>
          <w:color w:val="auto"/>
          <w:sz w:val="32"/>
          <w:szCs w:val="32"/>
          <w:lang w:val="en-US" w:eastAsia="zh-CN"/>
        </w:rPr>
        <w:t>20</w:t>
      </w:r>
      <w:r>
        <w:rPr>
          <w:rFonts w:hint="default" w:ascii="Times New Roman" w:hAnsi="Times New Roman" w:eastAsia="方正仿宋_GBK" w:cs="Times New Roman"/>
          <w:color w:val="auto"/>
          <w:sz w:val="32"/>
          <w:szCs w:val="32"/>
        </w:rPr>
        <w:t>%，该指标得</w:t>
      </w:r>
      <w:r>
        <w:rPr>
          <w:rFonts w:hint="default" w:ascii="Times New Roman" w:hAnsi="Times New Roman" w:eastAsia="方正仿宋_GBK" w:cs="Times New Roman"/>
          <w:color w:val="auto"/>
          <w:sz w:val="32"/>
          <w:szCs w:val="32"/>
          <w:lang w:val="en-US" w:eastAsia="zh-CN"/>
        </w:rPr>
        <w:t>0.5</w:t>
      </w:r>
      <w:r>
        <w:rPr>
          <w:rFonts w:hint="default" w:ascii="Times New Roman" w:hAnsi="Times New Roman" w:eastAsia="方正仿宋_GBK" w:cs="Times New Roman"/>
          <w:color w:val="auto"/>
          <w:sz w:val="32"/>
          <w:szCs w:val="32"/>
        </w:rPr>
        <w:t>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（3）结转结余率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2021年度，本单位无年末财政拨款结转和结余资金，结转结余率为0，该指标得1.5分。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（4）公用经费控制率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2021年度，单位公用经费实际支出427331.81元，公用经费预算安排</w:t>
      </w:r>
      <w:r>
        <w:rPr>
          <w:rFonts w:hint="default" w:ascii="Times New Roman" w:hAnsi="Times New Roman" w:eastAsia="方正仿宋_GBK" w:cs="Times New Roman"/>
          <w:color w:val="auto"/>
          <w:sz w:val="32"/>
          <w:szCs w:val="32"/>
          <w:lang w:val="en-US" w:eastAsia="zh-CN"/>
        </w:rPr>
        <w:t>421813.81</w:t>
      </w:r>
      <w:r>
        <w:rPr>
          <w:rFonts w:hint="default" w:ascii="Times New Roman" w:hAnsi="Times New Roman" w:eastAsia="方正仿宋_GBK" w:cs="Times New Roman"/>
          <w:color w:val="auto"/>
          <w:sz w:val="32"/>
          <w:szCs w:val="32"/>
        </w:rPr>
        <w:t>元，公用经费控制率为10</w:t>
      </w:r>
      <w:r>
        <w:rPr>
          <w:rFonts w:hint="default" w:ascii="Times New Roman" w:hAnsi="Times New Roman" w:eastAsia="方正仿宋_GBK" w:cs="Times New Roman"/>
          <w:color w:val="auto"/>
          <w:sz w:val="32"/>
          <w:szCs w:val="32"/>
          <w:lang w:val="en-US" w:eastAsia="zh-CN"/>
        </w:rPr>
        <w:t>1.3</w:t>
      </w:r>
      <w:r>
        <w:rPr>
          <w:rFonts w:hint="default" w:ascii="Times New Roman" w:hAnsi="Times New Roman" w:eastAsia="方正仿宋_GBK" w:cs="Times New Roman"/>
          <w:color w:val="auto"/>
          <w:sz w:val="32"/>
          <w:szCs w:val="32"/>
        </w:rPr>
        <w:t>%。该指标得1.5分。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（5）“三公经费”控制率</w:t>
      </w:r>
    </w:p>
    <w:p>
      <w:pPr>
        <w:spacing w:line="596" w:lineRule="exact"/>
        <w:ind w:firstLine="640" w:firstLineChars="200"/>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2021年度，单位“三公经费”实际支出14150.3元，“三公经费”预算安排</w:t>
      </w:r>
      <w:r>
        <w:rPr>
          <w:rFonts w:hint="default"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rPr>
        <w:t>0000元，“三公经费”控制率为</w:t>
      </w:r>
      <w:r>
        <w:rPr>
          <w:rFonts w:hint="default" w:ascii="Times New Roman" w:hAnsi="Times New Roman" w:eastAsia="方正仿宋_GBK" w:cs="Times New Roman"/>
          <w:color w:val="auto"/>
          <w:sz w:val="32"/>
          <w:szCs w:val="32"/>
          <w:lang w:val="en-US" w:eastAsia="zh-CN"/>
        </w:rPr>
        <w:t>20.2</w:t>
      </w:r>
      <w:r>
        <w:rPr>
          <w:rFonts w:hint="default" w:ascii="Times New Roman" w:hAnsi="Times New Roman" w:eastAsia="方正仿宋_GBK" w:cs="Times New Roman"/>
          <w:color w:val="auto"/>
          <w:sz w:val="32"/>
          <w:szCs w:val="32"/>
        </w:rPr>
        <w:t>%。该指标得</w:t>
      </w:r>
      <w:r>
        <w:rPr>
          <w:rFonts w:hint="default" w:ascii="Times New Roman" w:hAnsi="Times New Roman" w:eastAsia="方正仿宋_GBK" w:cs="Times New Roman"/>
          <w:color w:val="auto"/>
          <w:sz w:val="32"/>
          <w:szCs w:val="32"/>
          <w:lang w:val="en-US" w:eastAsia="zh-CN"/>
        </w:rPr>
        <w:t>1.5</w:t>
      </w:r>
      <w:r>
        <w:rPr>
          <w:rFonts w:hint="default" w:ascii="Times New Roman" w:hAnsi="Times New Roman" w:eastAsia="方正仿宋_GBK" w:cs="Times New Roman"/>
          <w:color w:val="auto"/>
          <w:sz w:val="32"/>
          <w:szCs w:val="32"/>
        </w:rPr>
        <w:t>分。</w:t>
      </w:r>
      <w:r>
        <w:rPr>
          <w:rFonts w:hint="default" w:ascii="Times New Roman" w:hAnsi="Times New Roman" w:eastAsia="方正仿宋_GBK" w:cs="Times New Roman"/>
          <w:color w:val="auto"/>
          <w:sz w:val="32"/>
          <w:szCs w:val="32"/>
          <w:lang w:val="en-US" w:eastAsia="zh-CN"/>
        </w:rPr>
        <w:t xml:space="preserve">  </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（6）政府采购执行率</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2021年度，本单位实施政府采购34428</w:t>
      </w:r>
      <w:r>
        <w:rPr>
          <w:rFonts w:hint="default" w:ascii="Times New Roman" w:hAnsi="Times New Roman" w:eastAsia="方正仿宋_GBK" w:cs="Times New Roman"/>
          <w:color w:val="auto"/>
          <w:sz w:val="32"/>
          <w:szCs w:val="32"/>
          <w:lang w:val="en-US" w:eastAsia="zh-CN"/>
        </w:rPr>
        <w:t>元</w:t>
      </w:r>
      <w:r>
        <w:rPr>
          <w:rFonts w:hint="default" w:ascii="Times New Roman" w:hAnsi="Times New Roman" w:eastAsia="方正仿宋_GBK" w:cs="Times New Roman"/>
          <w:color w:val="auto"/>
          <w:sz w:val="32"/>
          <w:szCs w:val="32"/>
        </w:rPr>
        <w:t>，本年度</w:t>
      </w:r>
      <w:r>
        <w:rPr>
          <w:rFonts w:hint="default" w:ascii="Times New Roman" w:hAnsi="Times New Roman" w:eastAsia="方正仿宋_GBK" w:cs="Times New Roman"/>
          <w:color w:val="auto"/>
          <w:sz w:val="32"/>
          <w:szCs w:val="32"/>
          <w:lang w:val="en-US" w:eastAsia="zh-CN"/>
        </w:rPr>
        <w:t>政府</w:t>
      </w:r>
      <w:r>
        <w:rPr>
          <w:rFonts w:hint="default" w:ascii="Times New Roman" w:hAnsi="Times New Roman" w:eastAsia="方正仿宋_GBK" w:cs="Times New Roman"/>
          <w:color w:val="auto"/>
          <w:sz w:val="32"/>
          <w:szCs w:val="32"/>
        </w:rPr>
        <w:t>采购预算安排</w:t>
      </w:r>
      <w:r>
        <w:rPr>
          <w:rFonts w:hint="default" w:ascii="Times New Roman" w:hAnsi="Times New Roman" w:eastAsia="方正仿宋_GBK" w:cs="Times New Roman"/>
          <w:color w:val="auto"/>
          <w:sz w:val="32"/>
          <w:szCs w:val="32"/>
          <w:lang w:val="en-US" w:eastAsia="zh-CN"/>
        </w:rPr>
        <w:t>56000元</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执行率59.69元</w:t>
      </w:r>
      <w:r>
        <w:rPr>
          <w:rFonts w:hint="default" w:ascii="Times New Roman" w:hAnsi="Times New Roman" w:eastAsia="方正仿宋_GBK" w:cs="Times New Roman"/>
          <w:color w:val="auto"/>
          <w:sz w:val="32"/>
          <w:szCs w:val="32"/>
        </w:rPr>
        <w:t>。该指标得1分。</w:t>
      </w:r>
    </w:p>
    <w:p>
      <w:pPr>
        <w:spacing w:line="596" w:lineRule="exact"/>
        <w:ind w:firstLine="640" w:firstLineChars="200"/>
        <w:outlineLvl w:val="2"/>
        <w:rPr>
          <w:rFonts w:hint="default" w:ascii="Times New Roman" w:hAnsi="Times New Roman" w:eastAsia="方正仿宋_GBK" w:cs="Times New Roman"/>
          <w:color w:val="auto"/>
          <w:sz w:val="32"/>
          <w:szCs w:val="32"/>
        </w:rPr>
      </w:pPr>
      <w:bookmarkStart w:id="12" w:name="_Toc9087"/>
      <w:bookmarkStart w:id="13" w:name="_Toc11113"/>
      <w:r>
        <w:rPr>
          <w:rFonts w:hint="default" w:ascii="Times New Roman" w:hAnsi="Times New Roman" w:eastAsia="方正仿宋_GBK" w:cs="Times New Roman"/>
          <w:color w:val="auto"/>
          <w:sz w:val="32"/>
          <w:szCs w:val="32"/>
        </w:rPr>
        <w:t>2.预算管理</w:t>
      </w:r>
      <w:bookmarkEnd w:id="12"/>
      <w:bookmarkEnd w:id="13"/>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（1）管理制度健全</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单位整体经济业务共涉及预算、收支、采购、资产、建设项目以及合同等六大业务板块，针对各业务板块分别设有相关的经济业务管理制度：预算管理内部控制制度、收支管理内部控制制度、政府采购内部控制制度、资产管理内部控制制度、建设项目内部控制制度、合同管理内部控制制度，在部门财务和会计核算等相关工作设立了财务管理制度、会计核算制度等相关管理制度。各项制度合法合规且完整，共同构成了我部门预算管理制度体系。我单位根据《中华人民共和国会计法》、《中华人民共和国国家金库条例》、《党政机关厉行节约反对浪费条例》结合我部门实际情况编制了《重庆市璧山区妇女联合会内部控制手册》，该指标得1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（2）资金使用合规</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本单位根据《中华人民共和国预算法》（2014年），《行政事业单位内部控制规范（试行）》（财会〔2012〕21号），《重庆市预算审查监督条例》（重庆市人民代表大会常务委员会公告〔2016〕第45号）等重庆市政策以及本单位实际情况编制了《重庆市璧山区妇女联合会内部控制手册》，并严格按照该制度执行相关工作，囊括了项目申报、年度预算编制、预算内部分解、预算执行、预算调整、预算调剂、决算编制、绩效评价、信息公开等关键业务，资金使用无截留、挤占、挪用、虚列支出等情况。该指标得5分。</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（3）预决算信息公开</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本单位根据信息公开要求，及时撰写《重庆市璧山区妇女联合会2021年部门预算情况说明》和《2021年预算公开表》，按时保质的完成了信息公开工作，该指标得1分。</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（4）工程项目管理</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2021年，本单位整体工作未涉及工程项目，本次绩效自评不予评判，该指标得3分。</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（5）基础信息完善</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2021年，本单位基础数据信息和会计信息资料均按照相关法律法规以及上级文件要求进行填列、保管，信息资料真实、完整、准确。该指标得1分。</w:t>
      </w:r>
    </w:p>
    <w:p>
      <w:pPr>
        <w:spacing w:line="596" w:lineRule="exact"/>
        <w:ind w:firstLine="640" w:firstLineChars="200"/>
        <w:outlineLvl w:val="2"/>
        <w:rPr>
          <w:rFonts w:hint="default" w:ascii="Times New Roman" w:hAnsi="Times New Roman" w:eastAsia="方正仿宋_GBK" w:cs="Times New Roman"/>
          <w:color w:val="auto"/>
          <w:sz w:val="32"/>
          <w:szCs w:val="32"/>
        </w:rPr>
      </w:pPr>
      <w:bookmarkStart w:id="14" w:name="_Toc32735"/>
      <w:bookmarkStart w:id="15" w:name="_Toc26396"/>
      <w:r>
        <w:rPr>
          <w:rFonts w:hint="default" w:ascii="Times New Roman" w:hAnsi="Times New Roman" w:eastAsia="方正仿宋_GBK" w:cs="Times New Roman"/>
          <w:color w:val="auto"/>
          <w:sz w:val="32"/>
          <w:szCs w:val="32"/>
        </w:rPr>
        <w:t>3.资产管理</w:t>
      </w:r>
      <w:bookmarkEnd w:id="14"/>
      <w:bookmarkEnd w:id="15"/>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（1）管理制度健全</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本单位参照《重庆市璧山区行政事业单位国有资产管理办法》结合本单位的国有资产实际情况制定了《重庆市璧山区妇女联合会内部控制手册》，根据国有资产的配置使用、处置等相关情况编制了《2021年资产台账》和《2021年资产报表分析报告》，该指标得1.5分。</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（2）资产管理安全</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本单位根据《行政单位国有资产管理暂行办法》《事业单位国有资产管理暂行办法》等有关规定对部门资产进行管理，结合我部门实际建立了《重庆市璧山区妇女联合会内部控制手册》和《资产台账》，形成了资产保存完整、使用合规、配置合理、处置规范、收入及时足额上缴、账实相符的工作局面，并结合《行政事业单位国有资产报告制度》等有关规定对我单位本年度资产总体、配置、使用、处置以及收益情况等分析报告，形成《2021年度行政事业性国有资产分析报告内容提要》。该指标得2分。</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（3）固定资产利用率</w:t>
      </w:r>
    </w:p>
    <w:p>
      <w:pPr>
        <w:spacing w:line="596" w:lineRule="exact"/>
        <w:ind w:firstLine="640" w:firstLineChars="200"/>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截至2021年12月31日，本单位实际在用固定资产账面净值总额1203211.19元，占固定资产账面净值总额的100%，固定资产利用率为100%。该指标得1分。</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（三）产出评价情况</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2021年，本单位产出指标——职责履行指标在整体绩效自评中所占分值为42分，实际得分为42分，详细得分情况如下：</w:t>
      </w:r>
    </w:p>
    <w:p>
      <w:pPr>
        <w:widowControl/>
        <w:spacing w:line="596" w:lineRule="exact"/>
        <w:ind w:firstLine="64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1. 妇女素质提升覆盖率</w:t>
      </w:r>
    </w:p>
    <w:p>
      <w:pPr>
        <w:spacing w:line="596" w:lineRule="exact"/>
        <w:ind w:firstLine="64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2021年度，本单位根据自身</w:t>
      </w:r>
      <w:r>
        <w:rPr>
          <w:rFonts w:hint="default" w:ascii="Times New Roman" w:hAnsi="Times New Roman" w:eastAsia="方正仿宋_GBK" w:cs="Times New Roman"/>
          <w:color w:val="auto"/>
          <w:kern w:val="0"/>
          <w:sz w:val="32"/>
          <w:szCs w:val="32"/>
        </w:rPr>
        <w:t>职责，实施“基层妇联领头雁培训计划”，加强各级妇联干部执委培训，结合党史学习教育，开展妇联执委、妇联干部培训2期，业务培训2期，党史专题培训3期，确保任期内三级妇联执委轮训</w:t>
      </w:r>
      <w:r>
        <w:rPr>
          <w:rFonts w:hint="default" w:ascii="Times New Roman" w:hAnsi="Times New Roman" w:eastAsia="方正仿宋_GBK" w:cs="Times New Roman"/>
          <w:bCs/>
          <w:color w:val="auto"/>
          <w:sz w:val="32"/>
          <w:szCs w:val="32"/>
        </w:rPr>
        <w:t>95%以上</w:t>
      </w:r>
      <w:r>
        <w:rPr>
          <w:rFonts w:hint="default" w:ascii="Times New Roman" w:hAnsi="Times New Roman" w:eastAsia="方正仿宋_GBK" w:cs="Times New Roman"/>
          <w:color w:val="auto"/>
          <w:sz w:val="32"/>
          <w:szCs w:val="32"/>
        </w:rPr>
        <w:t>，该指标得6分。</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sz w:val="32"/>
          <w:szCs w:val="32"/>
        </w:rPr>
        <w:t xml:space="preserve">2. </w:t>
      </w:r>
      <w:r>
        <w:rPr>
          <w:rFonts w:hint="default" w:ascii="Times New Roman" w:hAnsi="Times New Roman" w:eastAsia="方正仿宋_GBK" w:cs="Times New Roman"/>
          <w:color w:val="auto"/>
          <w:kern w:val="0"/>
          <w:sz w:val="32"/>
          <w:szCs w:val="32"/>
        </w:rPr>
        <w:t>教育引导妇女情况</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2021年度，本单位</w:t>
      </w:r>
      <w:r>
        <w:rPr>
          <w:rFonts w:hint="default" w:ascii="Times New Roman" w:hAnsi="Times New Roman" w:eastAsia="方正仿宋_GBK" w:cs="Times New Roman"/>
          <w:color w:val="auto"/>
          <w:sz w:val="32"/>
          <w:szCs w:val="32"/>
          <w:lang w:val="zh-CN"/>
        </w:rPr>
        <w:t>深入开展“百千万巾帼大宣讲”</w:t>
      </w:r>
      <w:r>
        <w:rPr>
          <w:rFonts w:hint="default" w:ascii="Times New Roman" w:hAnsi="Times New Roman" w:eastAsia="方正仿宋_GBK" w:cs="Times New Roman"/>
          <w:color w:val="auto"/>
          <w:sz w:val="32"/>
          <w:szCs w:val="32"/>
        </w:rPr>
        <w:t>，累计开展十九届六中全会专题集中宣讲及党史故事宣讲720余场次，</w:t>
      </w:r>
      <w:r>
        <w:rPr>
          <w:rFonts w:hint="default" w:ascii="Times New Roman" w:hAnsi="Times New Roman" w:eastAsia="方正仿宋_GBK" w:cs="Times New Roman"/>
          <w:color w:val="auto"/>
          <w:sz w:val="32"/>
          <w:szCs w:val="32"/>
          <w:lang w:val="zh-CN"/>
        </w:rPr>
        <w:t>受众4万余人次</w:t>
      </w:r>
      <w:r>
        <w:rPr>
          <w:rFonts w:hint="default" w:ascii="Times New Roman" w:hAnsi="Times New Roman" w:eastAsia="方正仿宋_GBK" w:cs="Times New Roman"/>
          <w:color w:val="auto"/>
          <w:kern w:val="0"/>
          <w:sz w:val="32"/>
          <w:szCs w:val="32"/>
        </w:rPr>
        <w:t>。</w:t>
      </w:r>
      <w:r>
        <w:rPr>
          <w:rFonts w:hint="default" w:ascii="Times New Roman" w:hAnsi="Times New Roman" w:eastAsia="方正仿宋_GBK" w:cs="Times New Roman"/>
          <w:color w:val="auto"/>
          <w:sz w:val="32"/>
          <w:szCs w:val="32"/>
        </w:rPr>
        <w:t>举办璧山区纪念“三八”国际妇女节111周年系列活动，凝聚全区各行各业、各条战线的女性，展现奋斗女性的风采，并以此为契机进一步贯彻男女平等基本国策。</w:t>
      </w:r>
      <w:r>
        <w:rPr>
          <w:rFonts w:hint="default" w:ascii="Times New Roman" w:hAnsi="Times New Roman" w:eastAsia="方正仿宋_GBK" w:cs="Times New Roman"/>
          <w:color w:val="auto"/>
          <w:kern w:val="0"/>
          <w:sz w:val="32"/>
          <w:szCs w:val="32"/>
        </w:rPr>
        <w:t>该指标得6分。</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3.</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kern w:val="0"/>
          <w:sz w:val="32"/>
          <w:szCs w:val="32"/>
        </w:rPr>
        <w:t>服务妇女创新创业情况</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2021年度，本单位举办家政服务“巴渝大姐”技能培训、电商“巴渝网姐”提升培训，开设“巾帼创新创业”手工剪纸技术和“巾帼创新业”插花技术等培训课程，提升广大妇女创业创新能力。该指标得6分。</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4.</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kern w:val="0"/>
          <w:sz w:val="32"/>
          <w:szCs w:val="32"/>
        </w:rPr>
        <w:t>维护妇女儿童合法权益情况</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2021年度，根据本单位职责，开展“建设法治中国 巾帼在行动”法制宣传活动，利用三八节等重要节点发放《反家庭暴力法》《民法典》宣传单资料10000余份。开展“千万妇女大学法”线上宣传活动惠及5万余人。完成2011-2020年妇女儿童发展纲要（规划）终期评估，代表重庆市接受国家两纲终期检查。建立一站式人身安全保护令申请工作机制，全面推动一站式多元化解纠纷和诉讼服务建设。联合下发了《关于印发〈做好婚姻家庭纠纷预防化解工作的意见〉的通知》（璧妇发〔2021〕27号），建立了婚姻家庭矛盾纠纷多元化解机制，形成婚姻家庭纠纷信息的互联互通、数据的共享共用。完成了预计目标，该指标得6分。</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5.</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kern w:val="0"/>
          <w:sz w:val="32"/>
          <w:szCs w:val="32"/>
        </w:rPr>
        <w:t>家庭文明建设情况</w:t>
      </w:r>
    </w:p>
    <w:p>
      <w:pPr>
        <w:pStyle w:val="8"/>
        <w:spacing w:line="594" w:lineRule="exact"/>
        <w:ind w:left="0" w:leftChars="0" w:firstLine="64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2021年度，根据本单位职责，持续开展“最美家庭”系列评选，积极参与璧山区创文工作，在全区各社区建立家庭教育指导服务站，开展家庭教育培训和指导服务200余场，惠及近14000人。开展“学党史 传家风 育新人”家庭教育宣传活动，为400余组家庭送去家庭指导服务。开展家庭亲子示范活动100余场次，引导家庭在活动中感受向善向美的家庭文明氛围，强化家庭文明，弘扬传统文化。该指标得6分。</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6.</w:t>
      </w: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kern w:val="0"/>
          <w:sz w:val="32"/>
          <w:szCs w:val="32"/>
        </w:rPr>
        <w:t>基层妇联组织建设覆盖率</w:t>
      </w:r>
    </w:p>
    <w:p>
      <w:pPr>
        <w:pStyle w:val="8"/>
        <w:adjustRightInd w:val="0"/>
        <w:snapToGrid w:val="0"/>
        <w:spacing w:line="594" w:lineRule="exact"/>
        <w:ind w:left="0" w:leftChars="0" w:firstLine="64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2021年度，本单位坚持党建带妇建，抓住换届契机，进一步加强村（社区）妇联组织建设，推进妇女进村（社区）“两委”，完成女性100%进村支“两委”；指导公安局妇委会改建公安系统妇联，解决“小马拉大车”，工作力量薄弱、工作覆盖不全面等问题。该指标得6分。</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7. 妇联阵地建设管理情况</w:t>
      </w:r>
    </w:p>
    <w:p>
      <w:pPr>
        <w:spacing w:line="596" w:lineRule="exact"/>
        <w:ind w:firstLine="640" w:firstLineChars="200"/>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rPr>
        <w:t>2021年，结合本单位履职情况，新建妇女微家6个，全区累计建立199个。</w:t>
      </w:r>
      <w:r>
        <w:rPr>
          <w:rFonts w:hint="default" w:ascii="Times New Roman" w:hAnsi="Times New Roman" w:eastAsia="方正仿宋_GBK" w:cs="Times New Roman"/>
          <w:bCs/>
          <w:color w:val="auto"/>
          <w:sz w:val="32"/>
          <w:szCs w:val="32"/>
        </w:rPr>
        <w:t>主要开展家庭教育、种养殖互助、绿色生活及志愿服务等工作。</w:t>
      </w:r>
      <w:r>
        <w:rPr>
          <w:rFonts w:hint="default" w:ascii="Times New Roman" w:hAnsi="Times New Roman" w:eastAsia="方正仿宋_GBK" w:cs="Times New Roman"/>
          <w:color w:val="auto"/>
          <w:kern w:val="0"/>
          <w:sz w:val="32"/>
          <w:szCs w:val="32"/>
        </w:rPr>
        <w:t>推进了市级示范6个妇女之家、6个儿童之家建设，完成率100%，该指标得4分。</w:t>
      </w:r>
    </w:p>
    <w:p>
      <w:pPr>
        <w:spacing w:line="596"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（四）效益评价情况</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2021年，我部门效益指标在整体绩效自评中所占分值为27分，实际得分为26分，详细得分情况如下：</w:t>
      </w:r>
    </w:p>
    <w:p>
      <w:pPr>
        <w:spacing w:line="596" w:lineRule="exact"/>
        <w:ind w:firstLine="640" w:firstLineChars="200"/>
        <w:outlineLvl w:val="2"/>
        <w:rPr>
          <w:rFonts w:hint="default" w:ascii="Times New Roman" w:hAnsi="Times New Roman" w:eastAsia="方正仿宋_GBK" w:cs="Times New Roman"/>
          <w:color w:val="auto"/>
          <w:sz w:val="32"/>
          <w:szCs w:val="32"/>
        </w:rPr>
      </w:pPr>
      <w:bookmarkStart w:id="16" w:name="_Toc10394"/>
      <w:bookmarkStart w:id="17" w:name="_Toc2477"/>
      <w:r>
        <w:rPr>
          <w:rFonts w:hint="default" w:ascii="Times New Roman" w:hAnsi="Times New Roman" w:eastAsia="方正仿宋_GBK" w:cs="Times New Roman"/>
          <w:color w:val="auto"/>
          <w:sz w:val="32"/>
          <w:szCs w:val="32"/>
        </w:rPr>
        <w:t>1.经济效益</w:t>
      </w:r>
      <w:bookmarkEnd w:id="16"/>
      <w:bookmarkEnd w:id="17"/>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（1）团结、动员妇女参与经济建设情况</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Cs/>
          <w:color w:val="auto"/>
          <w:kern w:val="0"/>
          <w:sz w:val="32"/>
          <w:szCs w:val="32"/>
        </w:rPr>
        <w:t>2021年，本单位以“乡村振兴、绿色生活、创业创新”三大行动为抓手，举办家政、电商、创新驱动等创新创业培训，帮助妇女创新创业。该指标</w:t>
      </w:r>
      <w:r>
        <w:rPr>
          <w:rFonts w:hint="default" w:ascii="Times New Roman" w:hAnsi="Times New Roman" w:eastAsia="方正仿宋_GBK" w:cs="Times New Roman"/>
          <w:color w:val="auto"/>
          <w:sz w:val="32"/>
          <w:szCs w:val="32"/>
        </w:rPr>
        <w:t>得7分。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2.环境效益</w:t>
      </w:r>
    </w:p>
    <w:p>
      <w:pPr>
        <w:pStyle w:val="2"/>
        <w:spacing w:line="596" w:lineRule="exact"/>
        <w:ind w:firstLine="640" w:firstLineChars="200"/>
        <w:rPr>
          <w:rFonts w:hint="default" w:ascii="Times New Roman" w:hAnsi="Times New Roman" w:cs="Times New Roman"/>
          <w:color w:val="auto"/>
        </w:rPr>
      </w:pPr>
      <w:r>
        <w:rPr>
          <w:rFonts w:hint="default" w:ascii="Times New Roman" w:hAnsi="Times New Roman" w:cs="Times New Roman"/>
          <w:color w:val="auto"/>
        </w:rPr>
        <w:t>202</w:t>
      </w:r>
      <w:r>
        <w:rPr>
          <w:rFonts w:hint="default" w:ascii="Times New Roman" w:hAnsi="Times New Roman" w:cs="Times New Roman"/>
          <w:color w:val="auto"/>
          <w:lang w:val="en-US"/>
        </w:rPr>
        <w:t>1</w:t>
      </w:r>
      <w:r>
        <w:rPr>
          <w:rFonts w:hint="default" w:ascii="Times New Roman" w:hAnsi="Times New Roman" w:cs="Times New Roman"/>
          <w:color w:val="auto"/>
        </w:rPr>
        <w:t>年度，本单位为提升全区广大妇女生态文明意识，通过组织志愿活动，</w:t>
      </w:r>
      <w:r>
        <w:rPr>
          <w:rFonts w:hint="default" w:ascii="Times New Roman" w:hAnsi="Times New Roman" w:cs="Times New Roman"/>
          <w:color w:val="auto"/>
          <w:kern w:val="0"/>
        </w:rPr>
        <w:t>深入背街巷道、公路两侧及广场公园等开展卫生清洁行动累计50余场次</w:t>
      </w:r>
      <w:r>
        <w:rPr>
          <w:rFonts w:hint="default" w:ascii="Times New Roman" w:hAnsi="Times New Roman" w:cs="Times New Roman"/>
          <w:color w:val="auto"/>
        </w:rPr>
        <w:t>，开展“巾帼护河 共建生态家园”巾帼志愿服务活动30余场次，该指标得7分。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3.社会效益</w:t>
      </w:r>
    </w:p>
    <w:p>
      <w:pPr>
        <w:spacing w:line="594"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仿宋_GBK" w:cs="Times New Roman"/>
          <w:color w:val="auto"/>
          <w:sz w:val="32"/>
          <w:szCs w:val="32"/>
        </w:rPr>
        <w:t>2021年度，本单位面向群众开展“四史”宣传教育活动，引导广大家庭和妇女“听党话 树新风”。开展2021年“最美家庭”线上揭晓暨家风故事会，充分发挥优秀典型家庭的示范引领作用，进一步弘扬优良文明家风，深化家庭文明建设。开展“绿色理念我倡导”行动，引导广大妇女家庭树立健康意识、养成良好的卫生习惯和绿色文明方式。选树“全国脱贫攻坚先进个人”“重庆市三八红旗手（集体）”“重庆市科技创新巾帼建功标兵”、重庆市最美巾帼倡导者、奋斗者等先进典型，引导广大妇女群众见贤思齐、知贤学贤。坚持“开门问计听民意”，开设“意见箱”征求意见9条，我为妇女群众办实事79件。该指标得7分。</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4.社会公众或服务对象满意度</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根据组织部反馈的民主测评结果，本单位对妇联干部对妇联工作在业务指导过程中的满意度和考察服务对象对妇女儿童工作的满意度为85%，该指标得5分。</w:t>
      </w:r>
    </w:p>
    <w:p>
      <w:pPr>
        <w:spacing w:line="596"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四、主要经验及做法</w:t>
      </w:r>
    </w:p>
    <w:p>
      <w:pPr>
        <w:spacing w:line="596" w:lineRule="exact"/>
        <w:ind w:firstLine="640" w:firstLineChars="200"/>
        <w:rPr>
          <w:rFonts w:hint="default" w:ascii="Times New Roman" w:hAnsi="Times New Roman" w:eastAsia="方正仿宋_GBK" w:cs="Times New Roman"/>
          <w:color w:val="auto"/>
          <w:sz w:val="32"/>
          <w:szCs w:val="32"/>
        </w:rPr>
      </w:pPr>
      <w:bookmarkStart w:id="18" w:name="_Toc20501"/>
      <w:r>
        <w:rPr>
          <w:rFonts w:hint="default" w:ascii="Times New Roman" w:hAnsi="Times New Roman" w:eastAsia="方正仿宋_GBK" w:cs="Times New Roman"/>
          <w:color w:val="auto"/>
          <w:sz w:val="32"/>
          <w:szCs w:val="32"/>
        </w:rPr>
        <w:t>2021年，本单位不断完善内部控制多项制度，</w:t>
      </w:r>
      <w:r>
        <w:rPr>
          <w:rFonts w:hint="default" w:ascii="Times New Roman" w:hAnsi="Times New Roman" w:eastAsia="方正仿宋_GBK" w:cs="Times New Roman"/>
          <w:bCs/>
          <w:color w:val="auto"/>
          <w:sz w:val="32"/>
          <w:szCs w:val="32"/>
        </w:rPr>
        <w:t>进一步加强了机关财务、公务用车、公务接待、办公设备及困难妇女儿童慰问物资等管理工作，规范了政府采购行为，提高了机关管理效能，促进党风廉政建设。</w:t>
      </w:r>
    </w:p>
    <w:p>
      <w:pPr>
        <w:spacing w:line="596"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五、存在的问题和建议</w:t>
      </w:r>
    </w:p>
    <w:p>
      <w:pPr>
        <w:spacing w:line="596" w:lineRule="exact"/>
        <w:ind w:firstLine="640" w:firstLineChars="200"/>
        <w:jc w:val="left"/>
        <w:outlineLvl w:val="1"/>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（一）预算管理工作水平有待提高</w:t>
      </w:r>
      <w:bookmarkEnd w:id="18"/>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预算编制不够明确和细化，2021年度，本单位未在年初进行政府采购预算申报，导致当年不能实施政府采购。下一步工作中，将全面落实六大业务板块的预算管理工作，加强政府采购预算管理，合理预算采购金额。</w:t>
      </w:r>
    </w:p>
    <w:p>
      <w:pPr>
        <w:spacing w:line="596" w:lineRule="exact"/>
        <w:ind w:firstLine="640" w:firstLineChars="200"/>
        <w:jc w:val="left"/>
        <w:outlineLvl w:val="1"/>
        <w:rPr>
          <w:rFonts w:hint="default" w:ascii="Times New Roman" w:hAnsi="Times New Roman" w:eastAsia="方正楷体_GBK" w:cs="Times New Roman"/>
          <w:color w:val="auto"/>
          <w:sz w:val="32"/>
          <w:szCs w:val="32"/>
        </w:rPr>
      </w:pPr>
      <w:bookmarkStart w:id="19" w:name="_Toc11829"/>
      <w:r>
        <w:rPr>
          <w:rFonts w:hint="default" w:ascii="Times New Roman" w:hAnsi="Times New Roman" w:eastAsia="方正楷体_GBK" w:cs="Times New Roman"/>
          <w:color w:val="auto"/>
          <w:sz w:val="32"/>
          <w:szCs w:val="32"/>
        </w:rPr>
        <w:t>（二）项目经费管控力度有待加强</w:t>
      </w:r>
      <w:bookmarkEnd w:id="19"/>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2021年度，本单位对项目经费虽然进行了预算绩效评价，但绩效理念尚未牢固树立，存在重投入轻管理、重支出轻绩效的意识，在执行过程中还存在一些不完善和监督机制缺失的问题，在项目经费的使用中存在混用现象。</w:t>
      </w:r>
    </w:p>
    <w:p>
      <w:pPr>
        <w:spacing w:line="596"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下一步，将进一步细化预算编制工作，加强各部室的预算管理意识，严格按照预算编制的相关制度和要求进行预算编制；二是加强预算绩效管理，做好项目资金绩效监控。</w:t>
      </w:r>
    </w:p>
    <w:p>
      <w:pPr>
        <w:spacing w:line="596" w:lineRule="exact"/>
        <w:ind w:firstLine="640" w:firstLineChars="200"/>
        <w:rPr>
          <w:rFonts w:hint="default" w:ascii="Times New Roman" w:hAnsi="Times New Roman" w:eastAsia="方正仿宋_GBK" w:cs="Times New Roman"/>
          <w:color w:val="auto"/>
          <w:sz w:val="32"/>
          <w:szCs w:val="32"/>
        </w:rPr>
      </w:pPr>
    </w:p>
    <w:p>
      <w:pPr>
        <w:spacing w:line="596" w:lineRule="exact"/>
        <w:ind w:firstLine="640" w:firstLineChars="200"/>
        <w:rPr>
          <w:rFonts w:hint="default" w:ascii="Times New Roman" w:hAnsi="Times New Roman" w:eastAsia="方正仿宋_GBK" w:cs="Times New Roman"/>
          <w:color w:val="auto"/>
          <w:sz w:val="32"/>
          <w:szCs w:val="32"/>
        </w:rPr>
      </w:pPr>
    </w:p>
    <w:p>
      <w:pPr>
        <w:spacing w:line="596" w:lineRule="exact"/>
        <w:ind w:firstLine="640" w:firstLineChars="200"/>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重庆市璧山区妇女联合会</w:t>
      </w:r>
    </w:p>
    <w:p>
      <w:pPr>
        <w:spacing w:line="596" w:lineRule="exact"/>
        <w:ind w:firstLine="6080" w:firstLineChars="19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2022年3月21日</w:t>
      </w:r>
    </w:p>
    <w:sectPr>
      <w:footerReference r:id="rId3" w:type="default"/>
      <w:pgSz w:w="11906" w:h="16838"/>
      <w:pgMar w:top="1984" w:right="1446" w:bottom="1644" w:left="144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7CDD8C1-7074-41FA-9521-0B4BC8585630}"/>
  </w:font>
  <w:font w:name="Arial">
    <w:panose1 w:val="020B0604020202020204"/>
    <w:charset w:val="01"/>
    <w:family w:val="swiss"/>
    <w:pitch w:val="default"/>
    <w:sig w:usb0="E0002EFF" w:usb1="C000785B" w:usb2="00000009" w:usb3="00000000" w:csb0="400001FF" w:csb1="FFFF0000"/>
    <w:embedRegular r:id="rId2" w:fontKey="{7E83BB97-A4E5-44FE-A733-488A53E0813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111063A-07AA-484A-A696-80D3179DE028}"/>
  </w:font>
  <w:font w:name="Symbol">
    <w:panose1 w:val="05050102010706020507"/>
    <w:charset w:val="02"/>
    <w:family w:val="roman"/>
    <w:pitch w:val="default"/>
    <w:sig w:usb0="00000000" w:usb1="00000000" w:usb2="00000000" w:usb3="00000000" w:csb0="80000000" w:csb1="00000000"/>
    <w:embedRegular r:id="rId4" w:fontKey="{B38D2D4E-ED19-4198-82B0-014C7C2367E8}"/>
  </w:font>
  <w:font w:name="Calibri">
    <w:panose1 w:val="020F0502020204030204"/>
    <w:charset w:val="00"/>
    <w:family w:val="swiss"/>
    <w:pitch w:val="default"/>
    <w:sig w:usb0="E4002EFF" w:usb1="C000247B" w:usb2="00000009" w:usb3="00000000" w:csb0="200001FF" w:csb1="00000000"/>
    <w:embedRegular r:id="rId5" w:fontKey="{663C0133-69DB-4CA9-B4EA-E5C69012BC57}"/>
  </w:font>
  <w:font w:name="方正仿宋_GBK">
    <w:panose1 w:val="03000509000000000000"/>
    <w:charset w:val="86"/>
    <w:family w:val="script"/>
    <w:pitch w:val="default"/>
    <w:sig w:usb0="00000001" w:usb1="080E0000" w:usb2="00000000" w:usb3="00000000" w:csb0="00040000" w:csb1="00000000"/>
    <w:embedRegular r:id="rId6" w:fontKey="{B3BDCE2B-EE7E-4766-B0BC-B4930E6985E8}"/>
  </w:font>
  <w:font w:name="方正小标宋_GBK">
    <w:panose1 w:val="03000509000000000000"/>
    <w:charset w:val="86"/>
    <w:family w:val="script"/>
    <w:pitch w:val="default"/>
    <w:sig w:usb0="00000001" w:usb1="080E0000" w:usb2="00000000" w:usb3="00000000" w:csb0="00040000" w:csb1="00000000"/>
    <w:embedRegular r:id="rId7" w:fontKey="{57C31622-11B6-47F7-9109-718D0CC3336E}"/>
  </w:font>
  <w:font w:name="方正黑体_GBK">
    <w:panose1 w:val="03000509000000000000"/>
    <w:charset w:val="86"/>
    <w:family w:val="script"/>
    <w:pitch w:val="default"/>
    <w:sig w:usb0="00000001" w:usb1="080E0000" w:usb2="00000000" w:usb3="00000000" w:csb0="00040000" w:csb1="00000000"/>
    <w:embedRegular r:id="rId8" w:fontKey="{09888ED9-93B0-4346-A218-849DA8F5035E}"/>
  </w:font>
  <w:font w:name="方正楷体_GBK">
    <w:panose1 w:val="03000509000000000000"/>
    <w:charset w:val="86"/>
    <w:family w:val="script"/>
    <w:pitch w:val="default"/>
    <w:sig w:usb0="00000001" w:usb1="080E0000" w:usb2="00000000" w:usb3="00000000" w:csb0="00040000" w:csb1="00000000"/>
    <w:embedRegular r:id="rId9" w:fontKey="{99DCD5E5-CF18-4799-826E-C94DA303BB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445135" cy="2305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w="6350">
                        <a:noFill/>
                      </a:ln>
                      <a:effectLst/>
                    </wps:spPr>
                    <wps:txbx>
                      <w:txbxContent>
                        <w:p>
                          <w:pPr>
                            <w:pStyle w:val="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- 13 -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15pt;width:35.05pt;mso-position-horizontal:outside;mso-position-horizontal-relative:margin;mso-wrap-style:none;z-index:251659264;mso-width-relative:page;mso-height-relative:page;" filled="f" stroked="f" coordsize="21600,21600" o:gfxdata="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fc+G9IAAAADAQAADwAAAAAAAAABACAAAAAiAAAAZHJzL2Rvd25yZXYueG1s&#10;UEsBAhQAFAAAAAgAh07iQLqT1Ys3AgAAYQQAAA4AAAAAAAAAAQAgAAAAIQEAAGRycy9lMm9Eb2Mu&#10;eG1sUEsFBgAAAAAGAAYAWQEAAMoFAAAAAA==&#10;">
              <v:fill on="f" focussize="0,0"/>
              <v:stroke on="f" weight="0.5pt"/>
              <v:imagedata o:title=""/>
              <o:lock v:ext="edit" aspectratio="f"/>
              <v:textbox inset="0mm,0mm,0mm,0mm" style="mso-fit-shape-to-text:t;">
                <w:txbxContent>
                  <w:p>
                    <w:pPr>
                      <w:pStyle w:val="5"/>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rPr>
                      <w:t>- 13 -</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69FD49"/>
    <w:multiLevelType w:val="singleLevel"/>
    <w:tmpl w:val="2969FD4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iNTE2ZGZhZDk1ZGFjMTRmMWUyZTRkZWYxYzQ0MjMifQ=="/>
  </w:docVars>
  <w:rsids>
    <w:rsidRoot w:val="74FA4B9E"/>
    <w:rsid w:val="00015F69"/>
    <w:rsid w:val="00026EC8"/>
    <w:rsid w:val="000360B7"/>
    <w:rsid w:val="00047FDB"/>
    <w:rsid w:val="000516ED"/>
    <w:rsid w:val="00054F8A"/>
    <w:rsid w:val="000615C1"/>
    <w:rsid w:val="00063DAE"/>
    <w:rsid w:val="00066DCE"/>
    <w:rsid w:val="00073722"/>
    <w:rsid w:val="00083CB8"/>
    <w:rsid w:val="000919A0"/>
    <w:rsid w:val="000B4CBF"/>
    <w:rsid w:val="000C0818"/>
    <w:rsid w:val="000C29B9"/>
    <w:rsid w:val="000E3B5F"/>
    <w:rsid w:val="000F1FAC"/>
    <w:rsid w:val="0010711D"/>
    <w:rsid w:val="00111283"/>
    <w:rsid w:val="00120533"/>
    <w:rsid w:val="00122949"/>
    <w:rsid w:val="00127122"/>
    <w:rsid w:val="001300F4"/>
    <w:rsid w:val="00130F4C"/>
    <w:rsid w:val="001568C4"/>
    <w:rsid w:val="001568DC"/>
    <w:rsid w:val="00162BE0"/>
    <w:rsid w:val="00177557"/>
    <w:rsid w:val="00184599"/>
    <w:rsid w:val="00186430"/>
    <w:rsid w:val="001864A1"/>
    <w:rsid w:val="0018658C"/>
    <w:rsid w:val="00196534"/>
    <w:rsid w:val="001974AA"/>
    <w:rsid w:val="001A4C7E"/>
    <w:rsid w:val="001D32AC"/>
    <w:rsid w:val="001F02C4"/>
    <w:rsid w:val="001F4894"/>
    <w:rsid w:val="00202180"/>
    <w:rsid w:val="00207B18"/>
    <w:rsid w:val="00211EBB"/>
    <w:rsid w:val="0022352B"/>
    <w:rsid w:val="00232A57"/>
    <w:rsid w:val="00246896"/>
    <w:rsid w:val="00247676"/>
    <w:rsid w:val="00247ACF"/>
    <w:rsid w:val="0025082A"/>
    <w:rsid w:val="002763A2"/>
    <w:rsid w:val="00290D67"/>
    <w:rsid w:val="002935AB"/>
    <w:rsid w:val="002A29C2"/>
    <w:rsid w:val="002A5DD0"/>
    <w:rsid w:val="002C6E89"/>
    <w:rsid w:val="002F0C05"/>
    <w:rsid w:val="002F247D"/>
    <w:rsid w:val="003024EA"/>
    <w:rsid w:val="003150F6"/>
    <w:rsid w:val="00331795"/>
    <w:rsid w:val="00331E8B"/>
    <w:rsid w:val="00334E50"/>
    <w:rsid w:val="00336F9D"/>
    <w:rsid w:val="003425C2"/>
    <w:rsid w:val="0034364B"/>
    <w:rsid w:val="00345F4B"/>
    <w:rsid w:val="0036243D"/>
    <w:rsid w:val="00377BA4"/>
    <w:rsid w:val="00380AA1"/>
    <w:rsid w:val="00381F00"/>
    <w:rsid w:val="003923C2"/>
    <w:rsid w:val="003934B7"/>
    <w:rsid w:val="00395A6C"/>
    <w:rsid w:val="003C59C1"/>
    <w:rsid w:val="003D06DF"/>
    <w:rsid w:val="003D1DAD"/>
    <w:rsid w:val="003D428E"/>
    <w:rsid w:val="003D721F"/>
    <w:rsid w:val="004117DA"/>
    <w:rsid w:val="00421AC6"/>
    <w:rsid w:val="00431C94"/>
    <w:rsid w:val="00440D70"/>
    <w:rsid w:val="00443BA3"/>
    <w:rsid w:val="00452331"/>
    <w:rsid w:val="00487BFC"/>
    <w:rsid w:val="00494849"/>
    <w:rsid w:val="00496B86"/>
    <w:rsid w:val="004A4507"/>
    <w:rsid w:val="004C16E8"/>
    <w:rsid w:val="004C314C"/>
    <w:rsid w:val="004C5143"/>
    <w:rsid w:val="004D2691"/>
    <w:rsid w:val="004F7C31"/>
    <w:rsid w:val="005022DD"/>
    <w:rsid w:val="0050562B"/>
    <w:rsid w:val="005100BB"/>
    <w:rsid w:val="00515978"/>
    <w:rsid w:val="00523A69"/>
    <w:rsid w:val="005453D2"/>
    <w:rsid w:val="00553015"/>
    <w:rsid w:val="00561CF5"/>
    <w:rsid w:val="0056266D"/>
    <w:rsid w:val="0057043F"/>
    <w:rsid w:val="005744CA"/>
    <w:rsid w:val="00580C6E"/>
    <w:rsid w:val="00581902"/>
    <w:rsid w:val="00596AE8"/>
    <w:rsid w:val="005A0A1B"/>
    <w:rsid w:val="005A5B2C"/>
    <w:rsid w:val="005A5E20"/>
    <w:rsid w:val="005B3566"/>
    <w:rsid w:val="005C14B1"/>
    <w:rsid w:val="005C7253"/>
    <w:rsid w:val="005C76E1"/>
    <w:rsid w:val="005E54E1"/>
    <w:rsid w:val="005E6F68"/>
    <w:rsid w:val="005F3297"/>
    <w:rsid w:val="00615F9D"/>
    <w:rsid w:val="00654183"/>
    <w:rsid w:val="00661FAF"/>
    <w:rsid w:val="00662FA3"/>
    <w:rsid w:val="006800D1"/>
    <w:rsid w:val="006844D2"/>
    <w:rsid w:val="00692DD6"/>
    <w:rsid w:val="006A314F"/>
    <w:rsid w:val="006A7778"/>
    <w:rsid w:val="006B1270"/>
    <w:rsid w:val="006B304D"/>
    <w:rsid w:val="006E5D89"/>
    <w:rsid w:val="006E5E04"/>
    <w:rsid w:val="0070290B"/>
    <w:rsid w:val="007135FE"/>
    <w:rsid w:val="007143AD"/>
    <w:rsid w:val="00715C74"/>
    <w:rsid w:val="00717C9F"/>
    <w:rsid w:val="007212C7"/>
    <w:rsid w:val="00723884"/>
    <w:rsid w:val="00736818"/>
    <w:rsid w:val="007372D4"/>
    <w:rsid w:val="00742F51"/>
    <w:rsid w:val="00756016"/>
    <w:rsid w:val="007617C2"/>
    <w:rsid w:val="007624F5"/>
    <w:rsid w:val="00773B72"/>
    <w:rsid w:val="00774E9D"/>
    <w:rsid w:val="007825F8"/>
    <w:rsid w:val="007859B7"/>
    <w:rsid w:val="00795443"/>
    <w:rsid w:val="0079581D"/>
    <w:rsid w:val="00796734"/>
    <w:rsid w:val="007B672C"/>
    <w:rsid w:val="007E11C5"/>
    <w:rsid w:val="007E5A7E"/>
    <w:rsid w:val="008007EB"/>
    <w:rsid w:val="00802A98"/>
    <w:rsid w:val="00803382"/>
    <w:rsid w:val="00804081"/>
    <w:rsid w:val="0081077C"/>
    <w:rsid w:val="0081536D"/>
    <w:rsid w:val="00824C1D"/>
    <w:rsid w:val="0083133B"/>
    <w:rsid w:val="0083637C"/>
    <w:rsid w:val="008370D8"/>
    <w:rsid w:val="00840E71"/>
    <w:rsid w:val="008441EE"/>
    <w:rsid w:val="008477B9"/>
    <w:rsid w:val="00851F28"/>
    <w:rsid w:val="00853505"/>
    <w:rsid w:val="00874346"/>
    <w:rsid w:val="0087560E"/>
    <w:rsid w:val="008801E2"/>
    <w:rsid w:val="0088387F"/>
    <w:rsid w:val="008906BA"/>
    <w:rsid w:val="00893AFF"/>
    <w:rsid w:val="00897F98"/>
    <w:rsid w:val="008B635C"/>
    <w:rsid w:val="008C4654"/>
    <w:rsid w:val="008C7635"/>
    <w:rsid w:val="009203D6"/>
    <w:rsid w:val="0092594E"/>
    <w:rsid w:val="009321A1"/>
    <w:rsid w:val="00940158"/>
    <w:rsid w:val="00955CE5"/>
    <w:rsid w:val="00957F41"/>
    <w:rsid w:val="00960A9C"/>
    <w:rsid w:val="00990ECB"/>
    <w:rsid w:val="00993033"/>
    <w:rsid w:val="009A062F"/>
    <w:rsid w:val="009A113D"/>
    <w:rsid w:val="009A1862"/>
    <w:rsid w:val="009E3904"/>
    <w:rsid w:val="00A123BF"/>
    <w:rsid w:val="00A12866"/>
    <w:rsid w:val="00A14047"/>
    <w:rsid w:val="00A35457"/>
    <w:rsid w:val="00A66196"/>
    <w:rsid w:val="00A7244E"/>
    <w:rsid w:val="00A92C7E"/>
    <w:rsid w:val="00AA24B8"/>
    <w:rsid w:val="00AB434D"/>
    <w:rsid w:val="00AB7A4B"/>
    <w:rsid w:val="00AD0026"/>
    <w:rsid w:val="00AD0B85"/>
    <w:rsid w:val="00AD1DF8"/>
    <w:rsid w:val="00AE479D"/>
    <w:rsid w:val="00AF1472"/>
    <w:rsid w:val="00B019A8"/>
    <w:rsid w:val="00B04830"/>
    <w:rsid w:val="00B17FC0"/>
    <w:rsid w:val="00B41819"/>
    <w:rsid w:val="00B65AEC"/>
    <w:rsid w:val="00BA1E2F"/>
    <w:rsid w:val="00BA666E"/>
    <w:rsid w:val="00BD04F5"/>
    <w:rsid w:val="00BD467B"/>
    <w:rsid w:val="00BD48CF"/>
    <w:rsid w:val="00BD5031"/>
    <w:rsid w:val="00BE72C0"/>
    <w:rsid w:val="00C12AB1"/>
    <w:rsid w:val="00C21E3D"/>
    <w:rsid w:val="00C26140"/>
    <w:rsid w:val="00C46420"/>
    <w:rsid w:val="00C47EFF"/>
    <w:rsid w:val="00C617C9"/>
    <w:rsid w:val="00C61CDD"/>
    <w:rsid w:val="00C63238"/>
    <w:rsid w:val="00C63903"/>
    <w:rsid w:val="00C7198B"/>
    <w:rsid w:val="00C72365"/>
    <w:rsid w:val="00C73EE9"/>
    <w:rsid w:val="00C96FB7"/>
    <w:rsid w:val="00CB2579"/>
    <w:rsid w:val="00CB4A2A"/>
    <w:rsid w:val="00CB5DFF"/>
    <w:rsid w:val="00CB647F"/>
    <w:rsid w:val="00CC1B9C"/>
    <w:rsid w:val="00CC3DB8"/>
    <w:rsid w:val="00D1232A"/>
    <w:rsid w:val="00D30975"/>
    <w:rsid w:val="00D315BD"/>
    <w:rsid w:val="00D33694"/>
    <w:rsid w:val="00D348B3"/>
    <w:rsid w:val="00D36DBC"/>
    <w:rsid w:val="00D41E2C"/>
    <w:rsid w:val="00D45D63"/>
    <w:rsid w:val="00D60E04"/>
    <w:rsid w:val="00D766EF"/>
    <w:rsid w:val="00D806F6"/>
    <w:rsid w:val="00D85054"/>
    <w:rsid w:val="00D87399"/>
    <w:rsid w:val="00DA1904"/>
    <w:rsid w:val="00DD3761"/>
    <w:rsid w:val="00DE73ED"/>
    <w:rsid w:val="00DF6634"/>
    <w:rsid w:val="00E06C4C"/>
    <w:rsid w:val="00E26E2C"/>
    <w:rsid w:val="00E47DEA"/>
    <w:rsid w:val="00E60F15"/>
    <w:rsid w:val="00E73088"/>
    <w:rsid w:val="00E7686D"/>
    <w:rsid w:val="00E810A2"/>
    <w:rsid w:val="00E96019"/>
    <w:rsid w:val="00E97497"/>
    <w:rsid w:val="00EA43B0"/>
    <w:rsid w:val="00EB5BF3"/>
    <w:rsid w:val="00EE6FB9"/>
    <w:rsid w:val="00EF1B4E"/>
    <w:rsid w:val="00EF3A64"/>
    <w:rsid w:val="00F028CF"/>
    <w:rsid w:val="00F02C58"/>
    <w:rsid w:val="00F059AB"/>
    <w:rsid w:val="00F07FF9"/>
    <w:rsid w:val="00F2601B"/>
    <w:rsid w:val="00F32A55"/>
    <w:rsid w:val="00F40533"/>
    <w:rsid w:val="00F77C25"/>
    <w:rsid w:val="00F80572"/>
    <w:rsid w:val="00F81AC7"/>
    <w:rsid w:val="00F83E00"/>
    <w:rsid w:val="00F90177"/>
    <w:rsid w:val="00F9631F"/>
    <w:rsid w:val="00FA09D5"/>
    <w:rsid w:val="00FA6ABC"/>
    <w:rsid w:val="00FB2C4C"/>
    <w:rsid w:val="00FD48BA"/>
    <w:rsid w:val="00FD56D9"/>
    <w:rsid w:val="00FD7731"/>
    <w:rsid w:val="00FF1DEF"/>
    <w:rsid w:val="00FF21D8"/>
    <w:rsid w:val="00FF4AF2"/>
    <w:rsid w:val="014261F5"/>
    <w:rsid w:val="01AA433B"/>
    <w:rsid w:val="025108FC"/>
    <w:rsid w:val="04796CD2"/>
    <w:rsid w:val="04DC5171"/>
    <w:rsid w:val="053D6B2D"/>
    <w:rsid w:val="05F84F8B"/>
    <w:rsid w:val="06033076"/>
    <w:rsid w:val="07C307D7"/>
    <w:rsid w:val="09A961EE"/>
    <w:rsid w:val="0A0E7241"/>
    <w:rsid w:val="0A1B45E5"/>
    <w:rsid w:val="0C212294"/>
    <w:rsid w:val="0C22164E"/>
    <w:rsid w:val="0D632B48"/>
    <w:rsid w:val="0D670B41"/>
    <w:rsid w:val="0D6C6CE2"/>
    <w:rsid w:val="0DD16307"/>
    <w:rsid w:val="0E1E2C2A"/>
    <w:rsid w:val="0E34594F"/>
    <w:rsid w:val="0E62565E"/>
    <w:rsid w:val="0F2C5B78"/>
    <w:rsid w:val="0F5F2D95"/>
    <w:rsid w:val="0FBB42FD"/>
    <w:rsid w:val="12060178"/>
    <w:rsid w:val="12AE00FC"/>
    <w:rsid w:val="13056013"/>
    <w:rsid w:val="143A54E6"/>
    <w:rsid w:val="14AE72A9"/>
    <w:rsid w:val="15676FCD"/>
    <w:rsid w:val="169B5AB6"/>
    <w:rsid w:val="176A52B1"/>
    <w:rsid w:val="1832762B"/>
    <w:rsid w:val="18B365AF"/>
    <w:rsid w:val="18D463A4"/>
    <w:rsid w:val="19363B81"/>
    <w:rsid w:val="19672D11"/>
    <w:rsid w:val="19D62F6E"/>
    <w:rsid w:val="1AA8217E"/>
    <w:rsid w:val="1AE91BE8"/>
    <w:rsid w:val="1BB82344"/>
    <w:rsid w:val="1EB01FF4"/>
    <w:rsid w:val="1ECA436B"/>
    <w:rsid w:val="1EE96E3F"/>
    <w:rsid w:val="1FBA5686"/>
    <w:rsid w:val="21E712DC"/>
    <w:rsid w:val="224841B7"/>
    <w:rsid w:val="23066C07"/>
    <w:rsid w:val="242F43C3"/>
    <w:rsid w:val="247D2B40"/>
    <w:rsid w:val="24B54753"/>
    <w:rsid w:val="24C442EE"/>
    <w:rsid w:val="25673C67"/>
    <w:rsid w:val="25C84665"/>
    <w:rsid w:val="25FF78CC"/>
    <w:rsid w:val="26A7150C"/>
    <w:rsid w:val="26F33DEA"/>
    <w:rsid w:val="2C1A3D1A"/>
    <w:rsid w:val="2D083883"/>
    <w:rsid w:val="2E394069"/>
    <w:rsid w:val="2E3D2992"/>
    <w:rsid w:val="2FDE2CA9"/>
    <w:rsid w:val="31664DAF"/>
    <w:rsid w:val="31BF2C22"/>
    <w:rsid w:val="31D02515"/>
    <w:rsid w:val="31F736F0"/>
    <w:rsid w:val="32031AD2"/>
    <w:rsid w:val="323A27ED"/>
    <w:rsid w:val="33AE6DC0"/>
    <w:rsid w:val="33DD6BF0"/>
    <w:rsid w:val="348068CD"/>
    <w:rsid w:val="360D6810"/>
    <w:rsid w:val="368C2E63"/>
    <w:rsid w:val="376E0693"/>
    <w:rsid w:val="38FB7913"/>
    <w:rsid w:val="3A025872"/>
    <w:rsid w:val="3C802741"/>
    <w:rsid w:val="3CC9636E"/>
    <w:rsid w:val="3E6E38AB"/>
    <w:rsid w:val="3EEF5E57"/>
    <w:rsid w:val="3FCC4276"/>
    <w:rsid w:val="3FCF2466"/>
    <w:rsid w:val="403D1AAF"/>
    <w:rsid w:val="410E31B2"/>
    <w:rsid w:val="41C143DD"/>
    <w:rsid w:val="42934F97"/>
    <w:rsid w:val="42AA5D6C"/>
    <w:rsid w:val="42E21EEB"/>
    <w:rsid w:val="42E43ED3"/>
    <w:rsid w:val="43284BCD"/>
    <w:rsid w:val="435515A5"/>
    <w:rsid w:val="446A6F5E"/>
    <w:rsid w:val="44942497"/>
    <w:rsid w:val="474F7F3C"/>
    <w:rsid w:val="489D7CF7"/>
    <w:rsid w:val="491B5780"/>
    <w:rsid w:val="4A7417B0"/>
    <w:rsid w:val="4C11134F"/>
    <w:rsid w:val="4D666EB0"/>
    <w:rsid w:val="4F0F42C6"/>
    <w:rsid w:val="4F6053B0"/>
    <w:rsid w:val="4F810A2B"/>
    <w:rsid w:val="4FB65F4E"/>
    <w:rsid w:val="4FD80384"/>
    <w:rsid w:val="50881C36"/>
    <w:rsid w:val="51352B33"/>
    <w:rsid w:val="52182CEF"/>
    <w:rsid w:val="52901A32"/>
    <w:rsid w:val="540C03E8"/>
    <w:rsid w:val="545649EA"/>
    <w:rsid w:val="547B1DCD"/>
    <w:rsid w:val="55506313"/>
    <w:rsid w:val="5589715A"/>
    <w:rsid w:val="56352A32"/>
    <w:rsid w:val="56ED0925"/>
    <w:rsid w:val="570913F8"/>
    <w:rsid w:val="581438FE"/>
    <w:rsid w:val="58203396"/>
    <w:rsid w:val="5A0D1B10"/>
    <w:rsid w:val="5A110017"/>
    <w:rsid w:val="5ABD7629"/>
    <w:rsid w:val="5AE168C9"/>
    <w:rsid w:val="5B230954"/>
    <w:rsid w:val="5C1A7088"/>
    <w:rsid w:val="5C396463"/>
    <w:rsid w:val="5D49662E"/>
    <w:rsid w:val="5E7439F6"/>
    <w:rsid w:val="604D6D19"/>
    <w:rsid w:val="60BB20FD"/>
    <w:rsid w:val="61114224"/>
    <w:rsid w:val="611D052D"/>
    <w:rsid w:val="62280FE2"/>
    <w:rsid w:val="62B9014A"/>
    <w:rsid w:val="62CC24CF"/>
    <w:rsid w:val="6329180D"/>
    <w:rsid w:val="633942FD"/>
    <w:rsid w:val="6366436A"/>
    <w:rsid w:val="64DD603F"/>
    <w:rsid w:val="64E2722B"/>
    <w:rsid w:val="65B55B3B"/>
    <w:rsid w:val="66184D17"/>
    <w:rsid w:val="67EC5256"/>
    <w:rsid w:val="67EC6E22"/>
    <w:rsid w:val="682E5FF6"/>
    <w:rsid w:val="68B75566"/>
    <w:rsid w:val="697E3AC4"/>
    <w:rsid w:val="699308E5"/>
    <w:rsid w:val="69D92C7F"/>
    <w:rsid w:val="6A06073E"/>
    <w:rsid w:val="6A3F66F2"/>
    <w:rsid w:val="6A482B04"/>
    <w:rsid w:val="6A900A59"/>
    <w:rsid w:val="6B0F630C"/>
    <w:rsid w:val="6B692C20"/>
    <w:rsid w:val="6B8149FF"/>
    <w:rsid w:val="6BA00FED"/>
    <w:rsid w:val="6BDF3041"/>
    <w:rsid w:val="6C3E1DD8"/>
    <w:rsid w:val="6CC26A35"/>
    <w:rsid w:val="6E1977C8"/>
    <w:rsid w:val="6E383AB2"/>
    <w:rsid w:val="6ECC4C98"/>
    <w:rsid w:val="6EF507E9"/>
    <w:rsid w:val="6F7A2AFD"/>
    <w:rsid w:val="702B0BEF"/>
    <w:rsid w:val="703D2B27"/>
    <w:rsid w:val="70492F55"/>
    <w:rsid w:val="70A45A1E"/>
    <w:rsid w:val="70B72344"/>
    <w:rsid w:val="70D055A5"/>
    <w:rsid w:val="71641A4B"/>
    <w:rsid w:val="720C103A"/>
    <w:rsid w:val="72150C98"/>
    <w:rsid w:val="722E72DC"/>
    <w:rsid w:val="72C70068"/>
    <w:rsid w:val="73716C33"/>
    <w:rsid w:val="74690183"/>
    <w:rsid w:val="74E56795"/>
    <w:rsid w:val="74FA4B9E"/>
    <w:rsid w:val="750E579C"/>
    <w:rsid w:val="763145C8"/>
    <w:rsid w:val="773646A4"/>
    <w:rsid w:val="775272F9"/>
    <w:rsid w:val="77996CB0"/>
    <w:rsid w:val="7A12598F"/>
    <w:rsid w:val="7A610047"/>
    <w:rsid w:val="7A9111AE"/>
    <w:rsid w:val="7B23325F"/>
    <w:rsid w:val="7D066CB5"/>
    <w:rsid w:val="7E1A1B1C"/>
    <w:rsid w:val="7EE9423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1"/>
    <w:qFormat/>
    <w:uiPriority w:val="0"/>
    <w:rPr>
      <w:rFonts w:ascii="方正仿宋_GBK" w:hAnsi="方正仿宋_GBK" w:eastAsia="方正仿宋_GBK" w:cs="方正仿宋_GBK"/>
      <w:sz w:val="32"/>
      <w:szCs w:val="32"/>
      <w:lang w:val="zh-CN" w:bidi="zh-CN"/>
    </w:rPr>
  </w:style>
  <w:style w:type="paragraph" w:styleId="3">
    <w:name w:val="Body Text Indent"/>
    <w:basedOn w:val="1"/>
    <w:link w:val="22"/>
    <w:qFormat/>
    <w:uiPriority w:val="0"/>
    <w:pPr>
      <w:spacing w:after="120"/>
      <w:ind w:left="420" w:leftChars="200"/>
    </w:pPr>
  </w:style>
  <w:style w:type="paragraph" w:styleId="4">
    <w:name w:val="Balloon Text"/>
    <w:basedOn w:val="1"/>
    <w:link w:val="19"/>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8">
    <w:name w:val="Body Text First Indent 2"/>
    <w:basedOn w:val="3"/>
    <w:link w:val="23"/>
    <w:qFormat/>
    <w:uiPriority w:val="0"/>
    <w:pPr>
      <w:ind w:firstLine="420" w:firstLineChars="200"/>
    </w:pPr>
  </w:style>
  <w:style w:type="character" w:styleId="11">
    <w:name w:val="page number"/>
    <w:basedOn w:val="10"/>
    <w:qFormat/>
    <w:uiPriority w:val="0"/>
  </w:style>
  <w:style w:type="paragraph" w:customStyle="1" w:styleId="12">
    <w:name w:val="p0"/>
    <w:basedOn w:val="1"/>
    <w:qFormat/>
    <w:uiPriority w:val="99"/>
    <w:pPr>
      <w:widowControl/>
    </w:pPr>
    <w:rPr>
      <w:kern w:val="0"/>
      <w:szCs w:val="21"/>
    </w:rPr>
  </w:style>
  <w:style w:type="paragraph" w:customStyle="1" w:styleId="13">
    <w:name w:val="列出段落1"/>
    <w:basedOn w:val="1"/>
    <w:qFormat/>
    <w:uiPriority w:val="1"/>
    <w:pPr>
      <w:ind w:left="106" w:firstLine="640"/>
    </w:pPr>
    <w:rPr>
      <w:rFonts w:ascii="方正仿宋_GBK" w:hAnsi="方正仿宋_GBK" w:eastAsia="方正仿宋_GBK" w:cs="方正仿宋_GBK"/>
      <w:lang w:val="zh-CN" w:bidi="zh-CN"/>
    </w:rPr>
  </w:style>
  <w:style w:type="paragraph" w:customStyle="1" w:styleId="14">
    <w:name w:val="列出段落2"/>
    <w:basedOn w:val="1"/>
    <w:unhideWhenUsed/>
    <w:qFormat/>
    <w:uiPriority w:val="99"/>
    <w:pPr>
      <w:ind w:firstLine="420" w:firstLineChars="200"/>
    </w:pPr>
  </w:style>
  <w:style w:type="paragraph" w:customStyle="1" w:styleId="15">
    <w:name w:val="列出段落3"/>
    <w:basedOn w:val="1"/>
    <w:unhideWhenUsed/>
    <w:qFormat/>
    <w:uiPriority w:val="99"/>
    <w:pPr>
      <w:ind w:firstLine="420" w:firstLineChars="200"/>
    </w:pPr>
  </w:style>
  <w:style w:type="character" w:customStyle="1" w:styleId="16">
    <w:name w:val="NormalCharacter"/>
    <w:semiHidden/>
    <w:qFormat/>
    <w:uiPriority w:val="0"/>
  </w:style>
  <w:style w:type="character" w:customStyle="1" w:styleId="17">
    <w:name w:val="页眉 Char"/>
    <w:link w:val="6"/>
    <w:qFormat/>
    <w:uiPriority w:val="0"/>
    <w:rPr>
      <w:rFonts w:ascii="Calibri" w:hAnsi="Calibri"/>
      <w:kern w:val="2"/>
      <w:sz w:val="18"/>
      <w:szCs w:val="24"/>
    </w:rPr>
  </w:style>
  <w:style w:type="paragraph" w:customStyle="1" w:styleId="18">
    <w:name w:val="Default"/>
    <w:qFormat/>
    <w:uiPriority w:val="0"/>
    <w:pPr>
      <w:autoSpaceDE w:val="0"/>
      <w:autoSpaceDN w:val="0"/>
      <w:adjustRightInd w:val="0"/>
    </w:pPr>
    <w:rPr>
      <w:rFonts w:ascii="Arial" w:hAnsi="Arial" w:eastAsia="宋体" w:cs="Arial"/>
      <w:color w:val="000000"/>
      <w:sz w:val="24"/>
      <w:szCs w:val="24"/>
      <w:lang w:val="en-US" w:eastAsia="zh-CN" w:bidi="ar-SA"/>
    </w:rPr>
  </w:style>
  <w:style w:type="character" w:customStyle="1" w:styleId="19">
    <w:name w:val="批注框文本 Char"/>
    <w:basedOn w:val="10"/>
    <w:link w:val="4"/>
    <w:qFormat/>
    <w:uiPriority w:val="0"/>
    <w:rPr>
      <w:rFonts w:ascii="Calibri" w:hAnsi="Calibri"/>
      <w:kern w:val="2"/>
      <w:sz w:val="18"/>
      <w:szCs w:val="18"/>
    </w:rPr>
  </w:style>
  <w:style w:type="paragraph" w:styleId="20">
    <w:name w:val="List Paragraph"/>
    <w:basedOn w:val="1"/>
    <w:qFormat/>
    <w:uiPriority w:val="34"/>
    <w:pPr>
      <w:ind w:firstLine="420" w:firstLineChars="200"/>
    </w:pPr>
    <w:rPr>
      <w:rFonts w:ascii="Times New Roman" w:hAnsi="Times New Roman"/>
    </w:rPr>
  </w:style>
  <w:style w:type="character" w:customStyle="1" w:styleId="21">
    <w:name w:val="正文文本 Char"/>
    <w:basedOn w:val="10"/>
    <w:link w:val="2"/>
    <w:qFormat/>
    <w:uiPriority w:val="0"/>
    <w:rPr>
      <w:rFonts w:ascii="方正仿宋_GBK" w:hAnsi="方正仿宋_GBK" w:eastAsia="方正仿宋_GBK" w:cs="方正仿宋_GBK"/>
      <w:kern w:val="2"/>
      <w:sz w:val="32"/>
      <w:szCs w:val="32"/>
      <w:lang w:val="zh-CN" w:bidi="zh-CN"/>
    </w:rPr>
  </w:style>
  <w:style w:type="character" w:customStyle="1" w:styleId="22">
    <w:name w:val="正文文本缩进 Char"/>
    <w:basedOn w:val="10"/>
    <w:link w:val="3"/>
    <w:qFormat/>
    <w:uiPriority w:val="0"/>
    <w:rPr>
      <w:rFonts w:ascii="Calibri" w:hAnsi="Calibri"/>
      <w:kern w:val="2"/>
      <w:sz w:val="21"/>
      <w:szCs w:val="24"/>
    </w:rPr>
  </w:style>
  <w:style w:type="character" w:customStyle="1" w:styleId="23">
    <w:name w:val="正文首行缩进 2 Char"/>
    <w:basedOn w:val="22"/>
    <w:link w:val="8"/>
    <w:qFormat/>
    <w:uiPriority w:val="0"/>
    <w:rPr>
      <w:rFonts w:ascii="Calibri" w:hAnsi="Calibri"/>
      <w:kern w:val="2"/>
      <w:sz w:val="21"/>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13</Pages>
  <Words>5890</Words>
  <Characters>6350</Characters>
  <Lines>15</Lines>
  <Paragraphs>15</Paragraphs>
  <TotalTime>12</TotalTime>
  <ScaleCrop>false</ScaleCrop>
  <LinksUpToDate>false</LinksUpToDate>
  <CharactersWithSpaces>6367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2021-04-01T12:23:00Z</dcterms:created>
  <dc:creator>Administrator</dc:creator>
  <cp:lastModifiedBy>shiiy</cp:lastModifiedBy>
  <cp:lastPrinted>2021-04-01T05:04:00Z</cp:lastPrinted>
  <dcterms:modified xsi:type="dcterms:W3CDTF">2022-10-12T02:58:03Z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KSOSaveFontToCloudKey">
    <vt:lpwstr>252515650_embed</vt:lpwstr>
  </property>
  <property fmtid="{D5CDD505-2E9C-101B-9397-08002B2CF9AE}" pid="4" name="ICV">
    <vt:lpwstr>896A808DE6784675B741158578DB6C64</vt:lpwstr>
  </property>
</Properties>
</file>