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lef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附件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</w:p>
    <w:p>
      <w:pPr>
        <w:spacing w:line="596" w:lineRule="exact"/>
        <w:jc w:val="center"/>
        <w:rPr>
          <w:rFonts w:hint="eastAsia" w:eastAsia="方正小标宋_GBK"/>
          <w:sz w:val="44"/>
          <w:szCs w:val="32"/>
          <w:lang w:eastAsia="zh-CN"/>
        </w:rPr>
      </w:pPr>
      <w:bookmarkStart w:id="0" w:name="_GoBack"/>
      <w:bookmarkEnd w:id="0"/>
      <w:r>
        <w:rPr>
          <w:rFonts w:hint="eastAsia" w:eastAsia="方正小标宋_GBK"/>
          <w:sz w:val="44"/>
          <w:szCs w:val="32"/>
          <w:lang w:eastAsia="zh-CN"/>
        </w:rPr>
        <w:t>重庆市</w:t>
      </w:r>
      <w:r>
        <w:rPr>
          <w:rFonts w:hint="eastAsia" w:eastAsia="方正小标宋_GBK"/>
          <w:sz w:val="44"/>
          <w:szCs w:val="32"/>
        </w:rPr>
        <w:t>璧山</w:t>
      </w:r>
      <w:r>
        <w:rPr>
          <w:rFonts w:eastAsia="方正小标宋_GBK"/>
          <w:sz w:val="44"/>
          <w:szCs w:val="32"/>
        </w:rPr>
        <w:t>区</w:t>
      </w:r>
      <w:r>
        <w:rPr>
          <w:rFonts w:hint="eastAsia" w:eastAsia="方正小标宋_GBK"/>
          <w:sz w:val="44"/>
          <w:szCs w:val="32"/>
          <w:lang w:eastAsia="zh-CN"/>
        </w:rPr>
        <w:t>司法局</w:t>
      </w:r>
    </w:p>
    <w:p>
      <w:pPr>
        <w:pStyle w:val="9"/>
        <w:spacing w:line="596" w:lineRule="exact"/>
        <w:ind w:left="359" w:leftChars="171" w:firstLine="1100" w:firstLineChars="250"/>
        <w:rPr>
          <w:rFonts w:eastAsia="方正小标宋_GBK"/>
          <w:sz w:val="44"/>
          <w:szCs w:val="32"/>
        </w:rPr>
      </w:pPr>
      <w:r>
        <w:rPr>
          <w:rFonts w:hint="eastAsia" w:eastAsia="方正小标宋_GBK"/>
          <w:sz w:val="44"/>
          <w:szCs w:val="32"/>
        </w:rPr>
        <w:t>2021</w:t>
      </w:r>
      <w:r>
        <w:rPr>
          <w:rFonts w:eastAsia="方正小标宋_GBK"/>
          <w:sz w:val="44"/>
          <w:szCs w:val="32"/>
        </w:rPr>
        <w:t>年</w:t>
      </w:r>
      <w:r>
        <w:rPr>
          <w:rFonts w:hint="eastAsia" w:eastAsia="方正小标宋_GBK"/>
          <w:sz w:val="44"/>
          <w:szCs w:val="32"/>
        </w:rPr>
        <w:t>度</w:t>
      </w:r>
      <w:r>
        <w:rPr>
          <w:rFonts w:eastAsia="方正小标宋_GBK"/>
          <w:sz w:val="44"/>
          <w:szCs w:val="32"/>
        </w:rPr>
        <w:t>整体支出绩效</w:t>
      </w:r>
      <w:r>
        <w:rPr>
          <w:rFonts w:hint="eastAsia" w:eastAsia="方正小标宋_GBK"/>
          <w:sz w:val="44"/>
          <w:szCs w:val="32"/>
        </w:rPr>
        <w:t>自评</w:t>
      </w:r>
      <w:r>
        <w:rPr>
          <w:rFonts w:eastAsia="方正小标宋_GBK"/>
          <w:sz w:val="44"/>
          <w:szCs w:val="32"/>
        </w:rPr>
        <w:t>报告</w:t>
      </w:r>
    </w:p>
    <w:p>
      <w:pPr>
        <w:pStyle w:val="9"/>
        <w:spacing w:line="596" w:lineRule="exact"/>
        <w:ind w:left="357" w:firstLine="640"/>
        <w:rPr>
          <w:rFonts w:eastAsia="方正仿宋_GBK"/>
          <w:sz w:val="32"/>
          <w:szCs w:val="32"/>
        </w:rPr>
      </w:pPr>
    </w:p>
    <w:p>
      <w:pPr>
        <w:spacing w:line="596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一、基本</w:t>
      </w:r>
      <w:r>
        <w:rPr>
          <w:rFonts w:hint="eastAsia" w:eastAsia="方正黑体_GBK"/>
          <w:sz w:val="32"/>
          <w:szCs w:val="32"/>
        </w:rPr>
        <w:t>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（一）职能职责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负责区政府规范性文件的合法性审查和报送备案工作，负责镇人民政府、街道办事处和区政府部门规范性文件的备案审查工作。组织开展规范性文件清理工作。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    负责综合协调行政执法，承办行政复议等相关工作。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 xml:space="preserve">    负责拟定法治宣传教育规划，组织实施普法宣传工作。指导人民调解工作和人民陪审员、人民监督员选任管理工作，负责基层司法所建设。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 xml:space="preserve">    指导、管理全区社区矫正工作，指导全区帮教安置工作。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 xml:space="preserve">    负责拟订全区公共法律服务体系建设规划并指导实施，统筹和布局城乡、区域法律服务资源。指导、监督律师、法律援助、司法鉴定、公证和基层法律服务管理工作。负责全区国家统一法律职业资格证书备案、变更登记等工作。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 xml:space="preserve">    负责本系统服装和警车管理工作，负责本系统财务、装备、设施、场所等保障工作。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 xml:space="preserve">    规划、协调、指导全区法治人才队伍建设相关工作，负责本系统队伍建设，负责机关、直属单位、法律服务行业党建工作。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 xml:space="preserve">    负责本系统信息化建设和应急处突指挥工作。负责区司法行政系统对外宣传等工作。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 xml:space="preserve">    完成区委、区政府交办的其他任务。</w:t>
      </w:r>
    </w:p>
    <w:p>
      <w:pPr>
        <w:pStyle w:val="10"/>
        <w:tabs>
          <w:tab w:val="center" w:pos="4153"/>
          <w:tab w:val="left" w:pos="7275"/>
        </w:tabs>
        <w:spacing w:line="600" w:lineRule="exact"/>
        <w:ind w:left="640" w:firstLine="0" w:firstLineChars="0"/>
        <w:jc w:val="left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（二）单位构成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区司法局为正处级行政机关。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内设机构9个：区委依法治区办秘书科、办公室、规范性文件管理科、社区矫正管理局、行政复议与应诉科、人民参与和促进法治科、法律服务管理科、政治处、普法与依法治理科。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派出机构15个：璧城司法所、璧泉司法所、青杠司法所、来凤司法所、丁家司法所、大路司法所、大兴司法所、正兴司法所、八塘司法所、七塘司法所、河边司法所、福禄司法所、广普司法所、三合司法所、健龙司法所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重庆市璧山区司法局属行政单位，编制数59人，实有人数58人。</w:t>
      </w:r>
    </w:p>
    <w:p>
      <w:pPr>
        <w:numPr>
          <w:ilvl w:val="0"/>
          <w:numId w:val="1"/>
        </w:num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预算及支出情况</w:t>
      </w:r>
      <w:r>
        <w:rPr>
          <w:rFonts w:eastAsia="方正仿宋_GBK"/>
          <w:sz w:val="32"/>
          <w:szCs w:val="32"/>
        </w:rPr>
        <w:t>。</w:t>
      </w:r>
    </w:p>
    <w:p>
      <w:pPr>
        <w:numPr>
          <w:ilvl w:val="0"/>
          <w:numId w:val="0"/>
        </w:numPr>
        <w:spacing w:line="596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收入预算：2021年年初预算数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238.81</w:t>
      </w:r>
      <w:r>
        <w:rPr>
          <w:rFonts w:hint="default" w:ascii="Times New Roman" w:hAnsi="Times New Roman" w:eastAsia="方正仿宋_GBK" w:cs="Times New Roman"/>
          <w:sz w:val="32"/>
        </w:rPr>
        <w:t>万元，其中：一般公共预算拨款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2238.81</w:t>
      </w:r>
      <w:r>
        <w:rPr>
          <w:rFonts w:hint="default" w:ascii="Times New Roman" w:hAnsi="Times New Roman" w:eastAsia="方正仿宋_GBK" w:cs="Times New Roman"/>
          <w:sz w:val="32"/>
        </w:rPr>
        <w:t>万元，政府性基金预算拨款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</w:rPr>
        <w:t>万元，国有资本经营预算收入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</w:rPr>
        <w:t>万元。收入较2020年增加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433.95</w:t>
      </w:r>
      <w:r>
        <w:rPr>
          <w:rFonts w:hint="default" w:ascii="Times New Roman" w:hAnsi="Times New Roman" w:eastAsia="方正仿宋_GBK" w:cs="Times New Roman"/>
          <w:sz w:val="32"/>
        </w:rPr>
        <w:t>万元，主要是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32"/>
        </w:rPr>
        <w:t>经费拨款增加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30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0.57</w:t>
      </w:r>
      <w:r>
        <w:rPr>
          <w:rFonts w:hint="default" w:ascii="Times New Roman" w:hAnsi="Times New Roman" w:eastAsia="方正仿宋_GBK" w:cs="Times New Roman"/>
          <w:sz w:val="32"/>
        </w:rPr>
        <w:t>万元。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支出预算：2021年年初预算数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2238.81</w:t>
      </w:r>
      <w:r>
        <w:rPr>
          <w:rFonts w:hint="default" w:ascii="Times New Roman" w:hAnsi="Times New Roman" w:eastAsia="方正仿宋_GBK" w:cs="Times New Roman"/>
          <w:sz w:val="32"/>
        </w:rPr>
        <w:t>万元，其中：公共安全支出预算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1830.19</w:t>
      </w:r>
      <w:r>
        <w:rPr>
          <w:rFonts w:hint="default" w:ascii="Times New Roman" w:hAnsi="Times New Roman" w:eastAsia="方正仿宋_GBK" w:cs="Times New Roman"/>
          <w:sz w:val="32"/>
        </w:rPr>
        <w:t>万元，社会保障和就业支出预算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204.97</w:t>
      </w:r>
      <w:r>
        <w:rPr>
          <w:rFonts w:hint="default" w:ascii="Times New Roman" w:hAnsi="Times New Roman" w:eastAsia="方正仿宋_GBK" w:cs="Times New Roman"/>
          <w:sz w:val="32"/>
        </w:rPr>
        <w:t>万元，卫生健康支出预算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5.27</w:t>
      </w:r>
      <w:r>
        <w:rPr>
          <w:rFonts w:hint="default" w:ascii="Times New Roman" w:hAnsi="Times New Roman" w:eastAsia="方正仿宋_GBK" w:cs="Times New Roman"/>
          <w:sz w:val="32"/>
        </w:rPr>
        <w:t>万元，住房保障支出预算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108.37</w:t>
      </w:r>
      <w:r>
        <w:rPr>
          <w:rFonts w:hint="default" w:ascii="Times New Roman" w:hAnsi="Times New Roman" w:eastAsia="方正仿宋_GBK" w:cs="Times New Roman"/>
          <w:sz w:val="32"/>
        </w:rPr>
        <w:t>万元。支出预算较2020年增加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433.95</w:t>
      </w:r>
      <w:r>
        <w:rPr>
          <w:rFonts w:hint="default" w:ascii="Times New Roman" w:hAnsi="Times New Roman" w:eastAsia="方正仿宋_GBK" w:cs="Times New Roman"/>
          <w:sz w:val="32"/>
        </w:rPr>
        <w:t>万元，主要是基本支出预算增加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133.38</w:t>
      </w:r>
      <w:r>
        <w:rPr>
          <w:rFonts w:hint="default" w:ascii="Times New Roman" w:hAnsi="Times New Roman" w:eastAsia="方正仿宋_GBK" w:cs="Times New Roman"/>
          <w:sz w:val="32"/>
        </w:rPr>
        <w:t>万元，项目支出预算增加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30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0.57</w:t>
      </w:r>
      <w:r>
        <w:rPr>
          <w:rFonts w:hint="default" w:ascii="Times New Roman" w:hAnsi="Times New Roman" w:eastAsia="方正仿宋_GBK" w:cs="Times New Roman"/>
          <w:sz w:val="32"/>
        </w:rPr>
        <w:t>万元。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二、绩效评价</w:t>
      </w:r>
      <w:r>
        <w:rPr>
          <w:rFonts w:hint="eastAsia" w:eastAsia="方正黑体_GBK"/>
          <w:sz w:val="32"/>
          <w:szCs w:val="32"/>
        </w:rPr>
        <w:t>基本</w:t>
      </w:r>
      <w:r>
        <w:rPr>
          <w:rFonts w:eastAsia="方正黑体_GBK"/>
          <w:sz w:val="32"/>
          <w:szCs w:val="32"/>
        </w:rPr>
        <w:t>情况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（一）绩效评价目的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通过全方位、全覆盖、全过程总结经验教训并提出对策建议等。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（二）绩效评价原则</w:t>
      </w:r>
    </w:p>
    <w:p>
      <w:pPr>
        <w:spacing w:line="596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绩效评价原则包括</w:t>
      </w:r>
      <w:r>
        <w:rPr>
          <w:rFonts w:ascii="仿宋_GB2312" w:eastAsia="仿宋_GB2312"/>
          <w:bCs/>
          <w:sz w:val="32"/>
          <w:szCs w:val="32"/>
        </w:rPr>
        <w:t>科学规范原则</w:t>
      </w:r>
      <w:r>
        <w:rPr>
          <w:rFonts w:hint="eastAsia" w:ascii="仿宋_GB2312" w:eastAsia="仿宋_GB2312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公开公正原则</w:t>
      </w:r>
      <w:r>
        <w:rPr>
          <w:rFonts w:hint="eastAsia" w:ascii="仿宋_GB2312" w:eastAsia="仿宋_GB2312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分级分类原则</w:t>
      </w:r>
      <w:r>
        <w:rPr>
          <w:rFonts w:hint="eastAsia" w:ascii="仿宋_GB2312" w:eastAsia="仿宋_GB2312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绩效相关原则。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（三）绩效评价工作过程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包括前期准备、组织实施、分析评价等。</w:t>
      </w:r>
    </w:p>
    <w:p>
      <w:pPr>
        <w:spacing w:line="596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</w:t>
      </w:r>
      <w:r>
        <w:rPr>
          <w:rFonts w:hint="eastAsia" w:eastAsia="方正黑体_GBK"/>
          <w:sz w:val="32"/>
          <w:szCs w:val="32"/>
        </w:rPr>
        <w:t>绩效</w:t>
      </w:r>
      <w:r>
        <w:rPr>
          <w:rFonts w:eastAsia="方正黑体_GBK"/>
          <w:sz w:val="32"/>
          <w:szCs w:val="32"/>
        </w:rPr>
        <w:t>评价情况及结论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</w:t>
      </w:r>
      <w:r>
        <w:rPr>
          <w:rFonts w:hint="eastAsia" w:eastAsia="方正仿宋_GBK"/>
          <w:sz w:val="32"/>
          <w:szCs w:val="32"/>
        </w:rPr>
        <w:t>投入评价情况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投入部分指标的具体分析</w:t>
      </w:r>
      <w:r>
        <w:rPr>
          <w:rFonts w:hint="eastAsia" w:eastAsia="方正仿宋_GBK"/>
          <w:sz w:val="32"/>
          <w:szCs w:val="32"/>
          <w:lang w:eastAsia="zh-CN"/>
        </w:rPr>
        <w:t>：在目标设定方面满足绩效目标合理性和绩效指标明确性；在预算配置方面在职人员控制率和"三公经费"变动率均在合理范围内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</w:t>
      </w:r>
      <w:r>
        <w:rPr>
          <w:rFonts w:hint="eastAsia" w:eastAsia="方正仿宋_GBK"/>
          <w:sz w:val="32"/>
          <w:szCs w:val="32"/>
        </w:rPr>
        <w:t>过程评价情况</w:t>
      </w:r>
    </w:p>
    <w:p>
      <w:pPr>
        <w:spacing w:line="596" w:lineRule="exact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</w:rPr>
        <w:t>过程部分指标的具体分析</w:t>
      </w:r>
      <w:r>
        <w:rPr>
          <w:rFonts w:hint="eastAsia" w:eastAsia="方正仿宋_GBK"/>
          <w:sz w:val="32"/>
          <w:szCs w:val="32"/>
          <w:lang w:eastAsia="zh-CN"/>
        </w:rPr>
        <w:t>：政府采购执行率较差，主要原因是政府采购全部使用政法纪检监察转移支付资金，年初未预算</w:t>
      </w:r>
      <w:r>
        <w:rPr>
          <w:rFonts w:hint="eastAsia" w:eastAsia="方正仿宋_GBK"/>
          <w:sz w:val="32"/>
          <w:szCs w:val="32"/>
        </w:rPr>
        <w:t>。</w:t>
      </w:r>
      <w:r>
        <w:rPr>
          <w:rFonts w:hint="eastAsia" w:eastAsia="方正仿宋_GBK"/>
          <w:sz w:val="32"/>
          <w:szCs w:val="32"/>
          <w:lang w:eastAsia="zh-CN"/>
        </w:rPr>
        <w:t>预算</w:t>
      </w:r>
      <w:r>
        <w:rPr>
          <w:rFonts w:hint="eastAsia" w:eastAsia="方正仿宋_GBK"/>
          <w:sz w:val="32"/>
          <w:szCs w:val="32"/>
        </w:rPr>
        <w:t>管理制度</w:t>
      </w:r>
      <w:r>
        <w:rPr>
          <w:rFonts w:hint="eastAsia" w:eastAsia="方正仿宋_GBK"/>
          <w:sz w:val="32"/>
          <w:szCs w:val="32"/>
          <w:lang w:eastAsia="zh-CN"/>
        </w:rPr>
        <w:t>不够健全，资产管理较差。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（三）</w:t>
      </w:r>
      <w:r>
        <w:rPr>
          <w:rFonts w:hint="eastAsia" w:eastAsia="方正仿宋_GBK"/>
          <w:sz w:val="32"/>
          <w:szCs w:val="32"/>
        </w:rPr>
        <w:t>产出评价情况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产出部分指标的具体分析</w:t>
      </w:r>
      <w:r>
        <w:rPr>
          <w:rFonts w:hint="eastAsia" w:eastAsia="方正仿宋_GBK"/>
          <w:sz w:val="32"/>
          <w:szCs w:val="32"/>
          <w:lang w:eastAsia="zh-CN"/>
        </w:rPr>
        <w:t>：在法治宣传经费、社区矫正、安置帮教、人民调解等职责履行方面表现较好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（四）效益评价情况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效益部分指标的具体分析</w:t>
      </w:r>
      <w:r>
        <w:rPr>
          <w:rFonts w:hint="eastAsia" w:eastAsia="方正仿宋_GBK"/>
          <w:sz w:val="32"/>
          <w:szCs w:val="32"/>
          <w:lang w:eastAsia="zh-CN"/>
        </w:rPr>
        <w:t>：法治环境不断优化法，治意识不断增强，服务对象满意度超预期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96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四</w:t>
      </w:r>
      <w:r>
        <w:rPr>
          <w:rFonts w:eastAsia="方正黑体_GBK"/>
          <w:sz w:val="32"/>
          <w:szCs w:val="32"/>
        </w:rPr>
        <w:t>、主要经验及做法</w:t>
      </w:r>
    </w:p>
    <w:p>
      <w:pPr>
        <w:spacing w:line="596" w:lineRule="exact"/>
        <w:ind w:firstLine="640" w:firstLineChars="200"/>
        <w:rPr>
          <w:rFonts w:hint="default" w:eastAsia="方正仿宋_GBK"/>
          <w:sz w:val="32"/>
          <w:szCs w:val="32"/>
          <w:lang w:eastAsia="zh-CN"/>
        </w:rPr>
      </w:pPr>
      <w:r>
        <w:rPr>
          <w:rFonts w:hint="default" w:eastAsia="方正仿宋_GBK"/>
          <w:sz w:val="32"/>
          <w:szCs w:val="32"/>
        </w:rPr>
        <w:t>1.</w:t>
      </w:r>
      <w:r>
        <w:rPr>
          <w:rFonts w:hint="default" w:eastAsia="方正仿宋_GBK"/>
          <w:sz w:val="32"/>
          <w:szCs w:val="32"/>
          <w:lang w:eastAsia="zh-CN"/>
        </w:rPr>
        <w:t>前期需做好文件收集工作；</w:t>
      </w:r>
    </w:p>
    <w:p>
      <w:pPr>
        <w:spacing w:line="596" w:lineRule="exact"/>
        <w:ind w:firstLine="640" w:firstLineChars="200"/>
        <w:rPr>
          <w:rFonts w:hint="default" w:eastAsia="方正仿宋_GBK"/>
          <w:sz w:val="32"/>
          <w:szCs w:val="32"/>
          <w:lang w:eastAsia="zh-CN"/>
        </w:rPr>
      </w:pPr>
      <w:r>
        <w:rPr>
          <w:rFonts w:hint="default" w:eastAsia="方正仿宋_GBK"/>
          <w:sz w:val="32"/>
          <w:szCs w:val="32"/>
        </w:rPr>
        <w:t>2.</w:t>
      </w:r>
      <w:r>
        <w:rPr>
          <w:rFonts w:hint="default" w:eastAsia="方正仿宋_GBK"/>
          <w:sz w:val="32"/>
          <w:szCs w:val="32"/>
          <w:lang w:eastAsia="zh-CN"/>
        </w:rPr>
        <w:t>中期应做好项目监督工作；</w:t>
      </w:r>
    </w:p>
    <w:p>
      <w:pPr>
        <w:spacing w:line="596" w:lineRule="exact"/>
        <w:ind w:firstLine="640" w:firstLineChars="200"/>
        <w:rPr>
          <w:rFonts w:hint="eastAsia" w:eastAsia="方正黑体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3.</w:t>
      </w:r>
      <w:r>
        <w:rPr>
          <w:rFonts w:hint="default" w:eastAsia="方正仿宋_GBK"/>
          <w:sz w:val="32"/>
          <w:szCs w:val="32"/>
          <w:lang w:eastAsia="zh-CN"/>
        </w:rPr>
        <w:t>后期要做好绩效自评工作。</w:t>
      </w:r>
    </w:p>
    <w:p>
      <w:pPr>
        <w:spacing w:line="596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五、</w:t>
      </w:r>
      <w:r>
        <w:rPr>
          <w:rFonts w:eastAsia="方正黑体_GBK"/>
          <w:sz w:val="32"/>
          <w:szCs w:val="32"/>
        </w:rPr>
        <w:t>存在的问题和建议</w:t>
      </w:r>
    </w:p>
    <w:p>
      <w:pPr>
        <w:spacing w:line="596" w:lineRule="exact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（一）问题</w:t>
      </w:r>
    </w:p>
    <w:p>
      <w:pPr>
        <w:spacing w:line="596" w:lineRule="exact"/>
        <w:ind w:firstLine="640" w:firstLineChars="200"/>
        <w:rPr>
          <w:rFonts w:hint="default" w:eastAsia="方正仿宋_GBK"/>
          <w:sz w:val="32"/>
          <w:szCs w:val="32"/>
          <w:lang w:eastAsia="zh-CN"/>
        </w:rPr>
      </w:pPr>
      <w:r>
        <w:rPr>
          <w:rFonts w:hint="default" w:eastAsia="方正仿宋_GBK"/>
          <w:sz w:val="32"/>
          <w:szCs w:val="32"/>
        </w:rPr>
        <w:t>1.</w:t>
      </w:r>
      <w:r>
        <w:rPr>
          <w:rFonts w:hint="default" w:eastAsia="方正仿宋_GBK"/>
          <w:sz w:val="32"/>
          <w:szCs w:val="32"/>
          <w:lang w:eastAsia="zh-CN"/>
        </w:rPr>
        <w:t>前期准备不足，导致开展绩效工作困难重重；</w:t>
      </w:r>
    </w:p>
    <w:p>
      <w:pPr>
        <w:spacing w:line="596" w:lineRule="exact"/>
        <w:ind w:firstLine="640" w:firstLineChars="200"/>
        <w:rPr>
          <w:rFonts w:hint="default" w:eastAsia="方正仿宋_GBK"/>
          <w:sz w:val="32"/>
          <w:szCs w:val="32"/>
          <w:lang w:eastAsia="zh-CN"/>
        </w:rPr>
      </w:pPr>
      <w:r>
        <w:rPr>
          <w:rFonts w:hint="default" w:eastAsia="方正仿宋_GBK"/>
          <w:sz w:val="32"/>
          <w:szCs w:val="32"/>
        </w:rPr>
        <w:t>2.</w:t>
      </w:r>
      <w:r>
        <w:rPr>
          <w:rFonts w:hint="default" w:eastAsia="方正仿宋_GBK"/>
          <w:sz w:val="32"/>
          <w:szCs w:val="32"/>
          <w:lang w:eastAsia="zh-CN"/>
        </w:rPr>
        <w:t>业务知识薄弱，业务能力欠缺；</w:t>
      </w:r>
    </w:p>
    <w:p>
      <w:pPr>
        <w:spacing w:line="596" w:lineRule="exact"/>
        <w:ind w:firstLine="640" w:firstLineChars="200"/>
        <w:rPr>
          <w:rFonts w:hint="default" w:eastAsia="方正仿宋_GBK"/>
          <w:sz w:val="32"/>
          <w:szCs w:val="32"/>
          <w:lang w:eastAsia="zh-CN"/>
        </w:rPr>
      </w:pPr>
      <w:r>
        <w:rPr>
          <w:rFonts w:hint="default" w:eastAsia="方正仿宋_GBK"/>
          <w:sz w:val="32"/>
          <w:szCs w:val="32"/>
        </w:rPr>
        <w:t>3.</w:t>
      </w:r>
      <w:r>
        <w:rPr>
          <w:rFonts w:hint="default" w:eastAsia="方正仿宋_GBK"/>
          <w:sz w:val="32"/>
          <w:szCs w:val="32"/>
          <w:lang w:eastAsia="zh-CN"/>
        </w:rPr>
        <w:t>财务兼职开展绩效工作，时间精力有限。</w:t>
      </w:r>
    </w:p>
    <w:p>
      <w:pPr>
        <w:spacing w:line="596" w:lineRule="exact"/>
        <w:ind w:firstLine="640" w:firstLineChars="200"/>
        <w:rPr>
          <w:rFonts w:hint="default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（二）建议</w:t>
      </w:r>
    </w:p>
    <w:p>
      <w:pPr>
        <w:spacing w:line="596" w:lineRule="exact"/>
        <w:ind w:firstLine="640" w:firstLineChars="200"/>
        <w:rPr>
          <w:rFonts w:hint="default" w:eastAsia="方正仿宋_GBK"/>
          <w:sz w:val="32"/>
          <w:szCs w:val="32"/>
          <w:lang w:eastAsia="zh-CN"/>
        </w:rPr>
      </w:pPr>
      <w:r>
        <w:rPr>
          <w:rFonts w:hint="default" w:eastAsia="方正仿宋_GBK"/>
          <w:sz w:val="32"/>
          <w:szCs w:val="32"/>
        </w:rPr>
        <w:t>1.</w:t>
      </w:r>
      <w:r>
        <w:rPr>
          <w:rFonts w:hint="default" w:eastAsia="方正仿宋_GBK"/>
          <w:sz w:val="32"/>
          <w:szCs w:val="32"/>
          <w:lang w:val="en-US" w:eastAsia="zh-CN"/>
        </w:rPr>
        <w:t>建议绩效中心加强对各单位绩效工作的指导、监督、检查；</w:t>
      </w:r>
    </w:p>
    <w:p>
      <w:pPr>
        <w:spacing w:line="596" w:lineRule="exact"/>
        <w:ind w:firstLine="640" w:firstLineChars="20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default" w:eastAsia="方正仿宋_GBK"/>
          <w:sz w:val="32"/>
          <w:szCs w:val="32"/>
          <w:lang w:val="en-US" w:eastAsia="zh-CN"/>
        </w:rPr>
        <w:t>2.</w:t>
      </w:r>
      <w:r>
        <w:rPr>
          <w:rFonts w:hint="default" w:eastAsia="方正仿宋_GBK"/>
          <w:sz w:val="32"/>
          <w:szCs w:val="32"/>
          <w:lang w:eastAsia="zh-CN"/>
        </w:rPr>
        <w:t>建议加大对绩效目标、绩效管理、绩效评价等培训力度；</w:t>
      </w:r>
    </w:p>
    <w:p>
      <w:pPr>
        <w:spacing w:line="596" w:lineRule="exact"/>
        <w:ind w:firstLine="640" w:firstLineChars="200"/>
        <w:rPr>
          <w:rFonts w:hint="default" w:eastAsia="方正仿宋_GBK"/>
          <w:sz w:val="32"/>
          <w:szCs w:val="32"/>
          <w:lang w:eastAsia="zh-CN"/>
        </w:rPr>
      </w:pPr>
      <w:r>
        <w:rPr>
          <w:rFonts w:hint="default" w:eastAsia="方正仿宋_GBK"/>
          <w:sz w:val="32"/>
          <w:szCs w:val="32"/>
          <w:lang w:val="en-US" w:eastAsia="zh-CN"/>
        </w:rPr>
        <w:t>3</w:t>
      </w:r>
      <w:r>
        <w:rPr>
          <w:rFonts w:hint="default" w:eastAsia="方正仿宋_GBK"/>
          <w:sz w:val="32"/>
          <w:szCs w:val="32"/>
        </w:rPr>
        <w:t>.</w:t>
      </w:r>
      <w:r>
        <w:rPr>
          <w:rFonts w:hint="default" w:eastAsia="方正仿宋_GBK"/>
          <w:sz w:val="32"/>
          <w:szCs w:val="32"/>
          <w:lang w:eastAsia="zh-CN"/>
        </w:rPr>
        <w:t>建议安排专人负责绩效工作，财务配合。</w:t>
      </w:r>
    </w:p>
    <w:p>
      <w:pPr>
        <w:spacing w:line="596" w:lineRule="exact"/>
        <w:ind w:firstLine="640"/>
        <w:jc w:val="both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</w:p>
    <w:p>
      <w:pPr>
        <w:spacing w:line="596" w:lineRule="exact"/>
        <w:ind w:firstLine="640"/>
        <w:jc w:val="both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</w:p>
    <w:p>
      <w:pPr>
        <w:spacing w:line="596" w:lineRule="exact"/>
        <w:ind w:firstLine="5440" w:firstLineChars="17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重庆市璧山区司法局</w:t>
      </w:r>
    </w:p>
    <w:p>
      <w:pPr>
        <w:spacing w:line="596" w:lineRule="exact"/>
        <w:ind w:firstLine="5760" w:firstLineChars="180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2022年3月16日</w:t>
      </w:r>
    </w:p>
    <w:p>
      <w:pPr>
        <w:spacing w:line="596" w:lineRule="exact"/>
        <w:jc w:val="both"/>
        <w:rPr>
          <w:rFonts w:eastAsia="方正仿宋_GBK"/>
          <w:sz w:val="32"/>
          <w:szCs w:val="32"/>
        </w:rPr>
      </w:pPr>
    </w:p>
    <w:sectPr>
      <w:pgSz w:w="11906" w:h="16838"/>
      <w:pgMar w:top="1588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2DC3E8"/>
    <w:multiLevelType w:val="singleLevel"/>
    <w:tmpl w:val="952DC3E8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M4MjljNGQ3YjYyNWRlOWM0ZmExMmRhOWNmY2NiNWEifQ=="/>
  </w:docVars>
  <w:rsids>
    <w:rsidRoot w:val="00806865"/>
    <w:rsid w:val="00043A15"/>
    <w:rsid w:val="000575E2"/>
    <w:rsid w:val="00063B15"/>
    <w:rsid w:val="0009607E"/>
    <w:rsid w:val="000B5DB9"/>
    <w:rsid w:val="000C0972"/>
    <w:rsid w:val="00171AB3"/>
    <w:rsid w:val="001C3D64"/>
    <w:rsid w:val="001C641A"/>
    <w:rsid w:val="001C6822"/>
    <w:rsid w:val="001E256D"/>
    <w:rsid w:val="001E2D5B"/>
    <w:rsid w:val="00247BB1"/>
    <w:rsid w:val="002571F7"/>
    <w:rsid w:val="002641A6"/>
    <w:rsid w:val="002834C5"/>
    <w:rsid w:val="00293914"/>
    <w:rsid w:val="002C141E"/>
    <w:rsid w:val="002F6627"/>
    <w:rsid w:val="00304656"/>
    <w:rsid w:val="00333D24"/>
    <w:rsid w:val="003532F1"/>
    <w:rsid w:val="00357647"/>
    <w:rsid w:val="00365C0E"/>
    <w:rsid w:val="00381982"/>
    <w:rsid w:val="00381F5B"/>
    <w:rsid w:val="00384864"/>
    <w:rsid w:val="003B01B9"/>
    <w:rsid w:val="003E4915"/>
    <w:rsid w:val="003E75C4"/>
    <w:rsid w:val="00401B11"/>
    <w:rsid w:val="00422429"/>
    <w:rsid w:val="0043034C"/>
    <w:rsid w:val="00443E03"/>
    <w:rsid w:val="00487348"/>
    <w:rsid w:val="00497B55"/>
    <w:rsid w:val="004C051C"/>
    <w:rsid w:val="00516F77"/>
    <w:rsid w:val="00547BAD"/>
    <w:rsid w:val="00550210"/>
    <w:rsid w:val="005516E1"/>
    <w:rsid w:val="00563118"/>
    <w:rsid w:val="005A221A"/>
    <w:rsid w:val="005B5ED1"/>
    <w:rsid w:val="00606BA5"/>
    <w:rsid w:val="006417E5"/>
    <w:rsid w:val="0064309B"/>
    <w:rsid w:val="00671BB5"/>
    <w:rsid w:val="006772C6"/>
    <w:rsid w:val="006C7720"/>
    <w:rsid w:val="006C793C"/>
    <w:rsid w:val="006D100A"/>
    <w:rsid w:val="006E6E29"/>
    <w:rsid w:val="00704B56"/>
    <w:rsid w:val="00725E01"/>
    <w:rsid w:val="00732DA5"/>
    <w:rsid w:val="00770339"/>
    <w:rsid w:val="0077453E"/>
    <w:rsid w:val="007B27A0"/>
    <w:rsid w:val="007C2693"/>
    <w:rsid w:val="007D04AB"/>
    <w:rsid w:val="007D7B0E"/>
    <w:rsid w:val="007E54DF"/>
    <w:rsid w:val="00806211"/>
    <w:rsid w:val="00806865"/>
    <w:rsid w:val="0081273A"/>
    <w:rsid w:val="0082343D"/>
    <w:rsid w:val="00831BF0"/>
    <w:rsid w:val="00837D1D"/>
    <w:rsid w:val="00844EE6"/>
    <w:rsid w:val="00871B89"/>
    <w:rsid w:val="00880010"/>
    <w:rsid w:val="008A7625"/>
    <w:rsid w:val="008D02AF"/>
    <w:rsid w:val="008D25A0"/>
    <w:rsid w:val="009108DF"/>
    <w:rsid w:val="00974291"/>
    <w:rsid w:val="009A23DE"/>
    <w:rsid w:val="00A1196F"/>
    <w:rsid w:val="00A27343"/>
    <w:rsid w:val="00A3725D"/>
    <w:rsid w:val="00A45BE4"/>
    <w:rsid w:val="00AD0DAD"/>
    <w:rsid w:val="00AF31E0"/>
    <w:rsid w:val="00B07031"/>
    <w:rsid w:val="00B17BC3"/>
    <w:rsid w:val="00B34D05"/>
    <w:rsid w:val="00B85927"/>
    <w:rsid w:val="00BC3295"/>
    <w:rsid w:val="00BD1848"/>
    <w:rsid w:val="00BF6FF2"/>
    <w:rsid w:val="00C31CE4"/>
    <w:rsid w:val="00C77086"/>
    <w:rsid w:val="00C858DD"/>
    <w:rsid w:val="00CD33CE"/>
    <w:rsid w:val="00CF26C3"/>
    <w:rsid w:val="00D610B4"/>
    <w:rsid w:val="00D86135"/>
    <w:rsid w:val="00E05A32"/>
    <w:rsid w:val="00E225F8"/>
    <w:rsid w:val="00E25A0F"/>
    <w:rsid w:val="00E42BE7"/>
    <w:rsid w:val="00E55405"/>
    <w:rsid w:val="00E72086"/>
    <w:rsid w:val="00E91393"/>
    <w:rsid w:val="00EB0A75"/>
    <w:rsid w:val="00EF2A45"/>
    <w:rsid w:val="00F70C2E"/>
    <w:rsid w:val="00F9262E"/>
    <w:rsid w:val="00F93438"/>
    <w:rsid w:val="00FA41F0"/>
    <w:rsid w:val="00FD0041"/>
    <w:rsid w:val="00FE38F2"/>
    <w:rsid w:val="02E03BD9"/>
    <w:rsid w:val="0D72457C"/>
    <w:rsid w:val="70B2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 Spacing"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1492</Words>
  <Characters>1589</Characters>
  <Lines>1</Lines>
  <Paragraphs>1</Paragraphs>
  <TotalTime>0</TotalTime>
  <ScaleCrop>false</ScaleCrop>
  <LinksUpToDate>false</LinksUpToDate>
  <CharactersWithSpaces>1617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2020-04-20T08:58:00Z</dcterms:created>
  <dc:creator>Administrator</dc:creator>
  <cp:lastModifiedBy>雪人</cp:lastModifiedBy>
  <cp:lastPrinted>2020-04-20T08:58:00Z</cp:lastPrinted>
  <dcterms:modified xsi:type="dcterms:W3CDTF">2022-10-13T13:29:05Z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B24D48AD645A41BF91FF43CC1FCCD260</vt:lpwstr>
  </property>
</Properties>
</file>