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</w:p>
    <w:p>
      <w:pPr>
        <w:spacing w:line="596" w:lineRule="exact"/>
        <w:jc w:val="center"/>
        <w:rPr>
          <w:rFonts w:hint="eastAsia" w:eastAsia="方正小标宋_GBK"/>
          <w:sz w:val="44"/>
          <w:szCs w:val="32"/>
          <w:lang w:eastAsia="zh-CN"/>
        </w:rPr>
      </w:pPr>
      <w:r>
        <w:rPr>
          <w:rFonts w:hint="eastAsia" w:eastAsia="方正小标宋_GBK"/>
          <w:sz w:val="44"/>
          <w:szCs w:val="32"/>
          <w:lang w:eastAsia="zh-CN"/>
        </w:rPr>
        <w:t>重庆市</w:t>
      </w:r>
      <w:bookmarkStart w:id="0" w:name="_GoBack"/>
      <w:bookmarkEnd w:id="0"/>
      <w:r>
        <w:rPr>
          <w:rFonts w:hint="eastAsia" w:eastAsia="方正小标宋_GBK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>
        <w:rPr>
          <w:rFonts w:hint="eastAsia" w:eastAsia="方正小标宋_GBK"/>
          <w:sz w:val="44"/>
          <w:szCs w:val="32"/>
          <w:lang w:eastAsia="zh-CN"/>
        </w:rPr>
        <w:t>法律援助中心</w:t>
      </w:r>
    </w:p>
    <w:p>
      <w:pPr>
        <w:pStyle w:val="9"/>
        <w:spacing w:line="596" w:lineRule="exact"/>
        <w:ind w:left="359" w:leftChars="171" w:firstLine="1100" w:firstLineChars="250"/>
        <w:rPr>
          <w:rFonts w:eastAsia="方正仿宋_GBK"/>
          <w:sz w:val="32"/>
          <w:szCs w:val="32"/>
        </w:rPr>
      </w:pPr>
      <w:r>
        <w:rPr>
          <w:rFonts w:hint="eastAsia" w:eastAsia="方正小标宋_GBK"/>
          <w:sz w:val="44"/>
          <w:szCs w:val="32"/>
        </w:rPr>
        <w:t>2021</w:t>
      </w:r>
      <w:r>
        <w:rPr>
          <w:rFonts w:eastAsia="方正小标宋_GBK"/>
          <w:sz w:val="44"/>
          <w:szCs w:val="32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（一）职能职责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24"/>
          <w:lang w:val="en-US" w:eastAsia="zh-CN" w:bidi="ar-SA"/>
        </w:rPr>
        <w:t>负责受理、审查法律援助申请。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24"/>
          <w:lang w:val="en-US" w:eastAsia="zh-CN" w:bidi="ar-SA"/>
        </w:rPr>
        <w:t>为经济困难的公民提供法律援助咨询。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24"/>
          <w:lang w:val="en-US" w:eastAsia="zh-CN" w:bidi="ar-SA"/>
        </w:rPr>
        <w:t>指派或者安排人员为符合（法律援助条例）规定条件的经济困难的公民提供法律援助服务。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24"/>
          <w:lang w:val="en-US" w:eastAsia="zh-CN" w:bidi="ar-SA"/>
        </w:rPr>
        <w:t>负责法律援助案件的档案资料管理。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24"/>
          <w:lang w:val="en-US" w:eastAsia="zh-CN" w:bidi="ar-SA"/>
        </w:rPr>
        <w:t>承办主管部门交办的其他事项。</w:t>
      </w:r>
    </w:p>
    <w:p>
      <w:pPr>
        <w:pStyle w:val="10"/>
        <w:tabs>
          <w:tab w:val="center" w:pos="4153"/>
          <w:tab w:val="left" w:pos="7275"/>
        </w:tabs>
        <w:spacing w:line="600" w:lineRule="exact"/>
        <w:ind w:left="640" w:firstLine="0" w:firstLineChars="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（二）单位构成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24"/>
          <w:lang w:val="en-US" w:eastAsia="zh-CN" w:bidi="ar-SA"/>
        </w:rPr>
        <w:t>法律援助中心是司法局的下属事业单位，参照公务员法管理事业人员编制数10人，实有人数</w:t>
      </w:r>
      <w:r>
        <w:rPr>
          <w:rFonts w:hint="eastAsia" w:eastAsia="方正仿宋_GBK" w:cs="Times New Roman"/>
          <w:kern w:val="0"/>
          <w:sz w:val="32"/>
          <w:szCs w:val="24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24"/>
          <w:lang w:val="en-US" w:eastAsia="zh-CN" w:bidi="ar-SA"/>
        </w:rPr>
        <w:t>人，履行行政管理和法律援助双重职能。</w:t>
      </w:r>
    </w:p>
    <w:p>
      <w:pPr>
        <w:numPr>
          <w:ilvl w:val="0"/>
          <w:numId w:val="1"/>
        </w:num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预算及支出情况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收入预算：2021年年初预算数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258.17</w:t>
      </w:r>
      <w:r>
        <w:rPr>
          <w:rFonts w:hint="default" w:ascii="Times New Roman" w:hAnsi="Times New Roman" w:eastAsia="方正仿宋_GBK" w:cs="Times New Roman"/>
          <w:sz w:val="32"/>
        </w:rPr>
        <w:t>万元，其中：一般公共预算拨款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258.17</w:t>
      </w:r>
      <w:r>
        <w:rPr>
          <w:rFonts w:hint="default" w:ascii="Times New Roman" w:hAnsi="Times New Roman" w:eastAsia="方正仿宋_GBK" w:cs="Times New Roman"/>
          <w:sz w:val="32"/>
        </w:rPr>
        <w:t>万元，政府性基金预算拨款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</w:rPr>
        <w:t>万元，国有资本经营预算收入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</w:rPr>
        <w:t>万元。收入较2020年增加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54.27</w:t>
      </w:r>
      <w:r>
        <w:rPr>
          <w:rFonts w:hint="default" w:ascii="Times New Roman" w:hAnsi="Times New Roman" w:eastAsia="方正仿宋_GBK" w:cs="Times New Roman"/>
          <w:sz w:val="32"/>
        </w:rPr>
        <w:t>万元，主要是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</w:rPr>
        <w:t>经费拨款增加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</w:rPr>
        <w:t>万元。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</w:rPr>
        <w:t>支出预算：2021年年初预算数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258.17</w:t>
      </w:r>
      <w:r>
        <w:rPr>
          <w:rFonts w:hint="default" w:ascii="Times New Roman" w:hAnsi="Times New Roman" w:eastAsia="方正仿宋_GBK" w:cs="Times New Roman"/>
          <w:sz w:val="32"/>
        </w:rPr>
        <w:t>万元，其中：公共安全支出预算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217.13</w:t>
      </w:r>
      <w:r>
        <w:rPr>
          <w:rFonts w:hint="default" w:ascii="Times New Roman" w:hAnsi="Times New Roman" w:eastAsia="方正仿宋_GBK" w:cs="Times New Roman"/>
          <w:sz w:val="32"/>
        </w:rPr>
        <w:t>万元，社会保障和就业支出预算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17.34</w:t>
      </w:r>
      <w:r>
        <w:rPr>
          <w:rFonts w:hint="default" w:ascii="Times New Roman" w:hAnsi="Times New Roman" w:eastAsia="方正仿宋_GBK" w:cs="Times New Roman"/>
          <w:sz w:val="32"/>
        </w:rPr>
        <w:t>万元，卫生健康支出预算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9.95</w:t>
      </w:r>
      <w:r>
        <w:rPr>
          <w:rFonts w:hint="default" w:ascii="Times New Roman" w:hAnsi="Times New Roman" w:eastAsia="方正仿宋_GBK" w:cs="Times New Roman"/>
          <w:sz w:val="32"/>
        </w:rPr>
        <w:t>万元，住房保障支出预算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13.74</w:t>
      </w:r>
      <w:r>
        <w:rPr>
          <w:rFonts w:hint="default" w:ascii="Times New Roman" w:hAnsi="Times New Roman" w:eastAsia="方正仿宋_GBK" w:cs="Times New Roman"/>
          <w:sz w:val="32"/>
        </w:rPr>
        <w:t>万元。支出预算较2020年增加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54.27</w:t>
      </w:r>
      <w:r>
        <w:rPr>
          <w:rFonts w:hint="default" w:ascii="Times New Roman" w:hAnsi="Times New Roman" w:eastAsia="方正仿宋_GBK" w:cs="Times New Roman"/>
          <w:sz w:val="32"/>
        </w:rPr>
        <w:t>万元，主要是基本支出预算增加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24.27</w:t>
      </w:r>
      <w:r>
        <w:rPr>
          <w:rFonts w:hint="default" w:ascii="Times New Roman" w:hAnsi="Times New Roman" w:eastAsia="方正仿宋_GBK" w:cs="Times New Roman"/>
          <w:sz w:val="32"/>
        </w:rPr>
        <w:t>万元，项目支出预算增加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</w:rPr>
        <w:t>万元。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二、绩效评价</w:t>
      </w:r>
      <w:r>
        <w:rPr>
          <w:rFonts w:hint="eastAsia" w:eastAsia="方正黑体_GBK"/>
          <w:sz w:val="32"/>
          <w:szCs w:val="32"/>
        </w:rPr>
        <w:t>基本</w:t>
      </w:r>
      <w:r>
        <w:rPr>
          <w:rFonts w:eastAsia="方正黑体_GBK"/>
          <w:sz w:val="32"/>
          <w:szCs w:val="32"/>
        </w:rPr>
        <w:t>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（一）绩效评价目的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通过全方位、全覆盖、全过程总结经验教训并提出对策建议等。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（二）绩效评价原则</w:t>
      </w:r>
    </w:p>
    <w:p>
      <w:pPr>
        <w:spacing w:line="596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绩效评价原则包括</w:t>
      </w:r>
      <w:r>
        <w:rPr>
          <w:rFonts w:ascii="仿宋_GB2312" w:eastAsia="仿宋_GB2312"/>
          <w:bCs/>
          <w:sz w:val="32"/>
          <w:szCs w:val="32"/>
        </w:rPr>
        <w:t>科学规范原则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公开公正原则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分级分类原则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绩效相关原则。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（三）绩效评价工作过程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包括前期准备、组织实施、分析评价等。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hint="eastAsia" w:eastAsia="方正黑体_GBK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hint="eastAsia" w:eastAsia="方正仿宋_GBK"/>
          <w:sz w:val="32"/>
          <w:szCs w:val="32"/>
        </w:rPr>
        <w:t>投入评价情况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投入部分指标的具体分析</w:t>
      </w:r>
      <w:r>
        <w:rPr>
          <w:rFonts w:hint="eastAsia" w:eastAsia="方正仿宋_GBK"/>
          <w:sz w:val="32"/>
          <w:szCs w:val="32"/>
          <w:lang w:eastAsia="zh-CN"/>
        </w:rPr>
        <w:t>：在目标设定方面满足绩效目标合理性和绩效指标明确性；在预算配置方面在职人员控制率和"三公经费"变动率均在合理范围内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hint="eastAsia" w:eastAsia="方正仿宋_GBK"/>
          <w:sz w:val="32"/>
          <w:szCs w:val="32"/>
        </w:rPr>
        <w:t>过程评价情况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过程部分指标的具体分析</w:t>
      </w:r>
      <w:r>
        <w:rPr>
          <w:rFonts w:hint="eastAsia" w:eastAsia="方正仿宋_GBK"/>
          <w:sz w:val="32"/>
          <w:szCs w:val="32"/>
          <w:lang w:eastAsia="zh-CN"/>
        </w:rPr>
        <w:t>：政府采购执行率较差，主要原因是政府采购全部使用政法纪检监察转移支付资金，年初未预算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  <w:lang w:eastAsia="zh-CN"/>
        </w:rPr>
        <w:t>预算</w:t>
      </w:r>
      <w:r>
        <w:rPr>
          <w:rFonts w:hint="eastAsia" w:eastAsia="方正仿宋_GBK"/>
          <w:sz w:val="32"/>
          <w:szCs w:val="32"/>
        </w:rPr>
        <w:t>管理制度</w:t>
      </w:r>
      <w:r>
        <w:rPr>
          <w:rFonts w:hint="eastAsia" w:eastAsia="方正仿宋_GBK"/>
          <w:sz w:val="32"/>
          <w:szCs w:val="32"/>
          <w:lang w:eastAsia="zh-CN"/>
        </w:rPr>
        <w:t>不够健全，资产管理较差。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</w:t>
      </w:r>
      <w:r>
        <w:rPr>
          <w:rFonts w:hint="eastAsia" w:eastAsia="方正仿宋_GBK"/>
          <w:sz w:val="32"/>
          <w:szCs w:val="32"/>
        </w:rPr>
        <w:t>产出评价情况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产出部分指标的具体分析</w:t>
      </w:r>
      <w:r>
        <w:rPr>
          <w:rFonts w:hint="eastAsia" w:eastAsia="方正仿宋_GBK"/>
          <w:sz w:val="32"/>
          <w:szCs w:val="32"/>
          <w:lang w:eastAsia="zh-CN"/>
        </w:rPr>
        <w:t>：在法律援助等职责履行方面表现较好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（四）效益评价情况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效益部分指标的具体分析</w:t>
      </w:r>
      <w:r>
        <w:rPr>
          <w:rFonts w:hint="eastAsia" w:eastAsia="方正仿宋_GBK"/>
          <w:sz w:val="32"/>
          <w:szCs w:val="32"/>
          <w:lang w:eastAsia="zh-CN"/>
        </w:rPr>
        <w:t>：法治环境不断优化法，法治意识不断增强，服务对象满意度超预期</w:t>
      </w:r>
      <w:r>
        <w:rPr>
          <w:rFonts w:hint="eastAsia" w:eastAsia="方正仿宋_GBK"/>
          <w:sz w:val="32"/>
          <w:szCs w:val="32"/>
        </w:rPr>
        <w:t>。</w:t>
      </w:r>
    </w:p>
    <w:p>
      <w:pPr>
        <w:numPr>
          <w:ilvl w:val="0"/>
          <w:numId w:val="2"/>
        </w:num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主要经验及做法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1.</w:t>
      </w:r>
      <w:r>
        <w:rPr>
          <w:rFonts w:hint="default" w:eastAsia="方正仿宋_GBK"/>
          <w:sz w:val="32"/>
          <w:szCs w:val="32"/>
          <w:lang w:eastAsia="zh-CN"/>
        </w:rPr>
        <w:t>前期需做好文件收集工作；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2.</w:t>
      </w:r>
      <w:r>
        <w:rPr>
          <w:rFonts w:hint="default" w:eastAsia="方正仿宋_GBK"/>
          <w:sz w:val="32"/>
          <w:szCs w:val="32"/>
          <w:lang w:eastAsia="zh-CN"/>
        </w:rPr>
        <w:t>中期应做好项目监督工作；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3.</w:t>
      </w:r>
      <w:r>
        <w:rPr>
          <w:rFonts w:hint="default" w:eastAsia="方正仿宋_GBK"/>
          <w:sz w:val="32"/>
          <w:szCs w:val="32"/>
          <w:lang w:eastAsia="zh-CN"/>
        </w:rPr>
        <w:t>后期要做好绩效自评工作。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</w:t>
      </w:r>
      <w:r>
        <w:rPr>
          <w:rFonts w:eastAsia="方正黑体_GBK"/>
          <w:sz w:val="32"/>
          <w:szCs w:val="32"/>
        </w:rPr>
        <w:t>存在的问题和建议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（一）问题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1.</w:t>
      </w:r>
      <w:r>
        <w:rPr>
          <w:rFonts w:hint="default" w:eastAsia="方正仿宋_GBK"/>
          <w:sz w:val="32"/>
          <w:szCs w:val="32"/>
          <w:lang w:eastAsia="zh-CN"/>
        </w:rPr>
        <w:t>前期准备不足，导致开展绩效工作困难重重；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2.</w:t>
      </w:r>
      <w:r>
        <w:rPr>
          <w:rFonts w:hint="default" w:eastAsia="方正仿宋_GBK"/>
          <w:sz w:val="32"/>
          <w:szCs w:val="32"/>
          <w:lang w:eastAsia="zh-CN"/>
        </w:rPr>
        <w:t>业务知识薄弱，业务能力欠缺；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3.</w:t>
      </w:r>
      <w:r>
        <w:rPr>
          <w:rFonts w:hint="default" w:eastAsia="方正仿宋_GBK"/>
          <w:sz w:val="32"/>
          <w:szCs w:val="32"/>
          <w:lang w:eastAsia="zh-CN"/>
        </w:rPr>
        <w:t>财务兼职开展绩效工作，时间精力有限。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（二）建议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1.</w:t>
      </w:r>
      <w:r>
        <w:rPr>
          <w:rFonts w:hint="default" w:eastAsia="方正仿宋_GBK"/>
          <w:sz w:val="32"/>
          <w:szCs w:val="32"/>
          <w:lang w:val="en-US" w:eastAsia="zh-CN"/>
        </w:rPr>
        <w:t>建议绩效中心加强对各单位绩效工作的指导、监督、检查；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2.</w:t>
      </w:r>
      <w:r>
        <w:rPr>
          <w:rFonts w:hint="default" w:eastAsia="方正仿宋_GBK"/>
          <w:sz w:val="32"/>
          <w:szCs w:val="32"/>
          <w:lang w:eastAsia="zh-CN"/>
        </w:rPr>
        <w:t>建议加大对绩效目标、绩效管理、绩效评价等培训力度；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3</w:t>
      </w:r>
      <w:r>
        <w:rPr>
          <w:rFonts w:hint="default" w:eastAsia="方正仿宋_GBK"/>
          <w:sz w:val="32"/>
          <w:szCs w:val="32"/>
        </w:rPr>
        <w:t>.</w:t>
      </w:r>
      <w:r>
        <w:rPr>
          <w:rFonts w:hint="default" w:eastAsia="方正仿宋_GBK"/>
          <w:sz w:val="32"/>
          <w:szCs w:val="32"/>
          <w:lang w:eastAsia="zh-CN"/>
        </w:rPr>
        <w:t>建议安排专人负责绩效工作，财务配合。</w:t>
      </w:r>
    </w:p>
    <w:p>
      <w:pPr>
        <w:spacing w:line="596" w:lineRule="exact"/>
        <w:ind w:firstLine="64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spacing w:line="596" w:lineRule="exact"/>
        <w:ind w:firstLine="64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spacing w:line="596" w:lineRule="exact"/>
        <w:ind w:firstLine="4480" w:firstLineChars="14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重庆市璧山区法律援助中心</w:t>
      </w:r>
    </w:p>
    <w:p>
      <w:pPr>
        <w:spacing w:line="596" w:lineRule="exact"/>
        <w:ind w:firstLine="5120" w:firstLineChars="16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2022年3月16日</w:t>
      </w: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8E2624"/>
    <w:multiLevelType w:val="singleLevel"/>
    <w:tmpl w:val="EE8E262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F89F50"/>
    <w:multiLevelType w:val="singleLevel"/>
    <w:tmpl w:val="21F89F5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4MjljNGQ3YjYyNWRlOWM0ZmExMmRhOWNmY2NiNWE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41534AD"/>
    <w:rsid w:val="113C57AD"/>
    <w:rsid w:val="123E0C6A"/>
    <w:rsid w:val="1BDB57ED"/>
    <w:rsid w:val="376A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1000</Words>
  <Characters>1074</Characters>
  <Lines>1</Lines>
  <Paragraphs>1</Paragraphs>
  <TotalTime>2</TotalTime>
  <ScaleCrop>false</ScaleCrop>
  <LinksUpToDate>false</LinksUpToDate>
  <CharactersWithSpaces>1074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雪人</cp:lastModifiedBy>
  <cp:lastPrinted>2020-04-20T08:58:00Z</cp:lastPrinted>
  <dcterms:modified xsi:type="dcterms:W3CDTF">2022-10-13T13:38:36Z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6A72BAA84A07491E88DD2B7E89B251F7</vt:lpwstr>
  </property>
</Properties>
</file>