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方正仿宋_GBK" w:eastAsia="方正仿宋_GBK"/>
          <w:sz w:val="32"/>
          <w:szCs w:val="32"/>
          <w:highlight w:val="none"/>
        </w:rPr>
      </w:pPr>
    </w:p>
    <w:p>
      <w:pPr>
        <w:spacing w:line="596" w:lineRule="exact"/>
        <w:jc w:val="center"/>
        <w:rPr>
          <w:rFonts w:hint="eastAsia" w:eastAsia="方正小标宋_GBK"/>
          <w:sz w:val="44"/>
          <w:szCs w:val="32"/>
          <w:highlight w:val="none"/>
        </w:rPr>
      </w:pPr>
    </w:p>
    <w:p>
      <w:pPr>
        <w:spacing w:line="596" w:lineRule="exact"/>
        <w:jc w:val="center"/>
        <w:rPr>
          <w:rFonts w:hint="eastAsia" w:eastAsia="方正小标宋_GBK"/>
          <w:sz w:val="44"/>
          <w:szCs w:val="32"/>
          <w:highlight w:val="none"/>
        </w:rPr>
      </w:pPr>
    </w:p>
    <w:p>
      <w:pPr>
        <w:spacing w:line="596" w:lineRule="exact"/>
        <w:jc w:val="center"/>
        <w:rPr>
          <w:rFonts w:hint="eastAsia" w:eastAsia="方正小标宋_GBK"/>
          <w:sz w:val="44"/>
          <w:szCs w:val="32"/>
          <w:highlight w:val="none"/>
        </w:rPr>
      </w:pPr>
    </w:p>
    <w:p>
      <w:pPr>
        <w:spacing w:line="596" w:lineRule="exact"/>
        <w:jc w:val="center"/>
        <w:rPr>
          <w:rFonts w:hint="eastAsia" w:eastAsia="方正小标宋_GBK"/>
          <w:sz w:val="44"/>
          <w:szCs w:val="32"/>
          <w:highlight w:val="none"/>
        </w:rPr>
      </w:pPr>
    </w:p>
    <w:p>
      <w:pPr>
        <w:spacing w:line="596" w:lineRule="exact"/>
        <w:jc w:val="center"/>
        <w:rPr>
          <w:rFonts w:hint="eastAsia" w:eastAsia="方正小标宋_GBK"/>
          <w:sz w:val="44"/>
          <w:szCs w:val="32"/>
          <w:highlight w:val="none"/>
        </w:rPr>
      </w:pPr>
    </w:p>
    <w:p>
      <w:pPr>
        <w:spacing w:line="596" w:lineRule="exact"/>
        <w:jc w:val="center"/>
        <w:rPr>
          <w:rFonts w:hint="eastAsia" w:eastAsia="方正小标宋_GBK"/>
          <w:sz w:val="44"/>
          <w:szCs w:val="32"/>
          <w:highlight w:val="none"/>
        </w:rPr>
      </w:pPr>
    </w:p>
    <w:p>
      <w:pPr>
        <w:pStyle w:val="18"/>
        <w:spacing w:line="596" w:lineRule="exact"/>
        <w:ind w:left="359" w:leftChars="171" w:firstLine="1100" w:firstLineChars="250"/>
        <w:jc w:val="center"/>
        <w:rPr>
          <w:rFonts w:hint="eastAsia" w:eastAsia="方正小标宋_GBK"/>
          <w:sz w:val="44"/>
          <w:szCs w:val="32"/>
          <w:highlight w:val="none"/>
          <w:lang w:eastAsia="zh-CN"/>
        </w:rPr>
      </w:pPr>
      <w:r>
        <w:rPr>
          <w:rFonts w:hint="eastAsia" w:eastAsia="方正小标宋_GBK"/>
          <w:sz w:val="44"/>
          <w:szCs w:val="32"/>
          <w:highlight w:val="none"/>
          <w:lang w:eastAsia="zh-CN"/>
        </w:rPr>
        <w:t>重庆市璧山区水利水库服务中心</w:t>
      </w:r>
    </w:p>
    <w:p>
      <w:pPr>
        <w:pStyle w:val="18"/>
        <w:spacing w:line="596" w:lineRule="exact"/>
        <w:ind w:left="359" w:leftChars="171" w:firstLine="1100" w:firstLineChars="250"/>
        <w:jc w:val="center"/>
        <w:rPr>
          <w:rFonts w:eastAsia="方正小标宋_GBK"/>
          <w:sz w:val="44"/>
          <w:szCs w:val="32"/>
          <w:highlight w:val="none"/>
        </w:rPr>
      </w:pPr>
      <w:r>
        <w:rPr>
          <w:rFonts w:hint="eastAsia" w:eastAsia="方正小标宋_GBK"/>
          <w:sz w:val="44"/>
          <w:szCs w:val="32"/>
          <w:highlight w:val="none"/>
        </w:rPr>
        <w:t>2021</w:t>
      </w:r>
      <w:r>
        <w:rPr>
          <w:rFonts w:eastAsia="方正小标宋_GBK"/>
          <w:sz w:val="44"/>
          <w:szCs w:val="32"/>
          <w:highlight w:val="none"/>
        </w:rPr>
        <w:t>年</w:t>
      </w:r>
      <w:r>
        <w:rPr>
          <w:rFonts w:hint="eastAsia" w:eastAsia="方正小标宋_GBK"/>
          <w:sz w:val="44"/>
          <w:szCs w:val="32"/>
          <w:highlight w:val="none"/>
        </w:rPr>
        <w:t>度</w:t>
      </w:r>
      <w:r>
        <w:rPr>
          <w:rFonts w:eastAsia="方正小标宋_GBK"/>
          <w:sz w:val="44"/>
          <w:szCs w:val="32"/>
          <w:highlight w:val="none"/>
        </w:rPr>
        <w:t>整体支出绩效</w:t>
      </w:r>
      <w:r>
        <w:rPr>
          <w:rFonts w:hint="eastAsia" w:eastAsia="方正小标宋_GBK"/>
          <w:sz w:val="44"/>
          <w:szCs w:val="32"/>
          <w:highlight w:val="none"/>
        </w:rPr>
        <w:t>自评</w:t>
      </w:r>
      <w:r>
        <w:rPr>
          <w:rFonts w:eastAsia="方正小标宋_GBK"/>
          <w:sz w:val="44"/>
          <w:szCs w:val="32"/>
          <w:highlight w:val="none"/>
        </w:rPr>
        <w:t>报告</w:t>
      </w:r>
    </w:p>
    <w:p>
      <w:pPr>
        <w:pStyle w:val="18"/>
        <w:spacing w:line="596" w:lineRule="exact"/>
        <w:ind w:left="357" w:firstLine="640"/>
        <w:rPr>
          <w:rFonts w:eastAsia="方正仿宋_GBK"/>
          <w:sz w:val="32"/>
          <w:szCs w:val="32"/>
          <w:highlight w:val="none"/>
        </w:rPr>
      </w:pPr>
    </w:p>
    <w:p>
      <w:pPr>
        <w:pStyle w:val="18"/>
        <w:spacing w:line="596" w:lineRule="exact"/>
        <w:ind w:left="357" w:firstLine="640"/>
        <w:rPr>
          <w:rFonts w:eastAsia="方正仿宋_GBK"/>
          <w:sz w:val="32"/>
          <w:szCs w:val="32"/>
          <w:highlight w:val="none"/>
        </w:rPr>
      </w:pPr>
    </w:p>
    <w:p>
      <w:pPr>
        <w:pStyle w:val="18"/>
        <w:spacing w:line="596" w:lineRule="exact"/>
        <w:ind w:left="357" w:firstLine="640"/>
        <w:rPr>
          <w:rFonts w:eastAsia="方正仿宋_GBK"/>
          <w:sz w:val="32"/>
          <w:szCs w:val="32"/>
          <w:highlight w:val="none"/>
        </w:rPr>
      </w:pPr>
    </w:p>
    <w:p>
      <w:pPr>
        <w:pStyle w:val="18"/>
        <w:spacing w:line="596" w:lineRule="exact"/>
        <w:ind w:left="357" w:firstLine="640"/>
        <w:rPr>
          <w:rFonts w:eastAsia="方正仿宋_GBK"/>
          <w:sz w:val="32"/>
          <w:szCs w:val="32"/>
          <w:highlight w:val="none"/>
        </w:rPr>
      </w:pPr>
    </w:p>
    <w:p>
      <w:pPr>
        <w:pStyle w:val="18"/>
        <w:spacing w:line="596" w:lineRule="exact"/>
        <w:ind w:left="357" w:firstLine="640"/>
        <w:rPr>
          <w:rFonts w:eastAsia="方正仿宋_GBK"/>
          <w:sz w:val="32"/>
          <w:szCs w:val="32"/>
          <w:highlight w:val="none"/>
        </w:rPr>
      </w:pPr>
    </w:p>
    <w:p>
      <w:pPr>
        <w:pStyle w:val="18"/>
        <w:spacing w:line="596" w:lineRule="exact"/>
        <w:ind w:left="357" w:firstLine="640"/>
        <w:rPr>
          <w:rFonts w:eastAsia="方正仿宋_GBK"/>
          <w:sz w:val="32"/>
          <w:szCs w:val="32"/>
          <w:highlight w:val="none"/>
        </w:rPr>
      </w:pPr>
    </w:p>
    <w:p>
      <w:pPr>
        <w:pStyle w:val="18"/>
        <w:spacing w:line="596" w:lineRule="exact"/>
        <w:ind w:left="357" w:firstLine="640"/>
        <w:rPr>
          <w:rFonts w:eastAsia="方正仿宋_GBK"/>
          <w:sz w:val="32"/>
          <w:szCs w:val="32"/>
          <w:highlight w:val="none"/>
        </w:rPr>
      </w:pPr>
    </w:p>
    <w:p>
      <w:pPr>
        <w:pStyle w:val="18"/>
        <w:spacing w:line="596" w:lineRule="exact"/>
        <w:ind w:left="357" w:firstLine="640"/>
        <w:rPr>
          <w:rFonts w:eastAsia="方正仿宋_GBK"/>
          <w:sz w:val="32"/>
          <w:szCs w:val="32"/>
          <w:highlight w:val="none"/>
        </w:rPr>
      </w:pPr>
    </w:p>
    <w:p>
      <w:pPr>
        <w:pStyle w:val="18"/>
        <w:spacing w:line="596" w:lineRule="exact"/>
        <w:ind w:left="357" w:firstLine="640"/>
        <w:rPr>
          <w:rFonts w:eastAsia="方正仿宋_GBK"/>
          <w:sz w:val="32"/>
          <w:szCs w:val="32"/>
          <w:highlight w:val="none"/>
        </w:rPr>
      </w:pPr>
    </w:p>
    <w:p>
      <w:pPr>
        <w:pStyle w:val="18"/>
        <w:spacing w:line="596" w:lineRule="exact"/>
        <w:ind w:left="357" w:firstLine="640"/>
        <w:rPr>
          <w:rFonts w:eastAsia="方正仿宋_GBK"/>
          <w:sz w:val="32"/>
          <w:szCs w:val="32"/>
          <w:highlight w:val="none"/>
        </w:rPr>
      </w:pPr>
    </w:p>
    <w:p>
      <w:pPr>
        <w:pStyle w:val="18"/>
        <w:spacing w:line="596" w:lineRule="exact"/>
        <w:ind w:left="357" w:firstLine="640"/>
        <w:rPr>
          <w:rFonts w:eastAsia="方正仿宋_GBK"/>
          <w:sz w:val="32"/>
          <w:szCs w:val="32"/>
          <w:highlight w:val="none"/>
        </w:rPr>
      </w:pPr>
    </w:p>
    <w:p>
      <w:pPr>
        <w:pStyle w:val="18"/>
        <w:spacing w:line="596" w:lineRule="exact"/>
        <w:ind w:left="357" w:firstLine="640"/>
        <w:rPr>
          <w:rFonts w:eastAsia="方正仿宋_GBK"/>
          <w:sz w:val="32"/>
          <w:szCs w:val="32"/>
          <w:highlight w:val="none"/>
        </w:rPr>
      </w:pPr>
    </w:p>
    <w:p>
      <w:pPr>
        <w:pStyle w:val="18"/>
        <w:spacing w:line="596" w:lineRule="exact"/>
        <w:ind w:left="357" w:firstLine="640"/>
        <w:rPr>
          <w:rFonts w:eastAsia="方正仿宋_GBK"/>
          <w:sz w:val="32"/>
          <w:szCs w:val="32"/>
          <w:highlight w:val="none"/>
        </w:rPr>
      </w:pPr>
    </w:p>
    <w:sdt>
      <w:sdtPr>
        <w:rPr>
          <w:rFonts w:ascii="宋体" w:hAnsi="宋体" w:eastAsia="宋体" w:cs="Times New Roman"/>
          <w:kern w:val="2"/>
          <w:sz w:val="21"/>
          <w:szCs w:val="24"/>
          <w:lang w:val="en-US" w:eastAsia="zh-CN" w:bidi="ar-SA"/>
        </w:rPr>
        <w:id w:val="147458663"/>
        <w15:color w:val="DBDBDB"/>
        <w:docPartObj>
          <w:docPartGallery w:val="Table of Contents"/>
          <w:docPartUnique/>
        </w:docPartObj>
      </w:sdtPr>
      <w:sdtEndPr>
        <w:rPr>
          <w:rFonts w:hint="eastAsia" w:ascii="方正仿宋_GBK" w:hAnsi="方正仿宋_GBK" w:eastAsia="方正仿宋_GBK" w:cs="方正仿宋_GBK"/>
          <w:kern w:val="2"/>
          <w:sz w:val="32"/>
          <w:szCs w:val="32"/>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方正小标宋_GBK" w:hAnsi="方正小标宋_GBK" w:eastAsia="方正小标宋_GBK" w:cs="方正小标宋_GBK"/>
              <w:sz w:val="32"/>
              <w:szCs w:val="32"/>
              <w:highlight w:val="none"/>
            </w:rPr>
            <w:t>目录</w:t>
          </w:r>
        </w:p>
        <w:p>
          <w:pPr>
            <w:pStyle w:val="9"/>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TOC \o "1-3" \h \u </w:instrText>
          </w:r>
          <w:r>
            <w:rPr>
              <w:rFonts w:hint="eastAsia" w:ascii="方正仿宋_GBK" w:hAnsi="方正仿宋_GBK" w:eastAsia="方正仿宋_GBK" w:cs="方正仿宋_GBK"/>
              <w:sz w:val="32"/>
              <w:szCs w:val="32"/>
            </w:rPr>
            <w:fldChar w:fldCharType="separate"/>
          </w:r>
          <w:r>
            <w:rPr>
              <w:rFonts w:hint="eastAsia" w:ascii="Times New Roman" w:hAnsi="Times New Roman" w:eastAsia="方正仿宋_GBK" w:cs="Times New Roman"/>
              <w:kern w:val="2"/>
              <w:sz w:val="32"/>
              <w:szCs w:val="32"/>
              <w:highlight w:val="none"/>
              <w:lang w:val="en-US" w:eastAsia="zh-CN" w:bidi="ar-SA"/>
            </w:rPr>
            <w:fldChar w:fldCharType="begin"/>
          </w:r>
          <w:r>
            <w:rPr>
              <w:rFonts w:hint="eastAsia" w:ascii="Times New Roman" w:hAnsi="Times New Roman" w:eastAsia="方正仿宋_GBK" w:cs="Times New Roman"/>
              <w:kern w:val="2"/>
              <w:sz w:val="32"/>
              <w:szCs w:val="32"/>
              <w:highlight w:val="none"/>
              <w:lang w:val="en-US" w:eastAsia="zh-CN" w:bidi="ar-SA"/>
            </w:rPr>
            <w:instrText xml:space="preserve"> HYPERLINK \l _Toc3398 </w:instrText>
          </w:r>
          <w:r>
            <w:rPr>
              <w:rFonts w:hint="eastAsia" w:ascii="Times New Roman" w:hAnsi="Times New Roman" w:eastAsia="方正仿宋_GBK" w:cs="Times New Roman"/>
              <w:kern w:val="2"/>
              <w:sz w:val="32"/>
              <w:szCs w:val="32"/>
              <w:highlight w:val="none"/>
              <w:lang w:val="en-US" w:eastAsia="zh-CN" w:bidi="ar-SA"/>
            </w:rPr>
            <w:fldChar w:fldCharType="separate"/>
          </w:r>
          <w:r>
            <w:rPr>
              <w:rFonts w:hint="eastAsia" w:ascii="Times New Roman" w:hAnsi="Times New Roman" w:eastAsia="方正仿宋_GBK" w:cs="Times New Roman"/>
              <w:kern w:val="2"/>
              <w:sz w:val="32"/>
              <w:szCs w:val="32"/>
              <w:highlight w:val="none"/>
              <w:lang w:val="en-US" w:eastAsia="zh-CN" w:bidi="ar-SA"/>
            </w:rPr>
            <w:t>一、基本情况</w:t>
          </w:r>
          <w:r>
            <w:rPr>
              <w:rFonts w:hint="eastAsia" w:ascii="Times New Roman" w:hAnsi="Times New Roman" w:eastAsia="方正仿宋_GBK" w:cs="Times New Roman"/>
              <w:kern w:val="2"/>
              <w:sz w:val="32"/>
              <w:szCs w:val="32"/>
              <w:highlight w:val="none"/>
              <w:lang w:val="en-US" w:eastAsia="zh-CN" w:bidi="ar-SA"/>
            </w:rPr>
            <w:tab/>
          </w:r>
          <w:r>
            <w:rPr>
              <w:rFonts w:hint="eastAsia" w:ascii="Times New Roman" w:hAnsi="Times New Roman" w:eastAsia="方正仿宋_GBK" w:cs="Times New Roman"/>
              <w:kern w:val="2"/>
              <w:sz w:val="32"/>
              <w:szCs w:val="32"/>
              <w:highlight w:val="none"/>
              <w:lang w:val="en-US" w:eastAsia="zh-CN" w:bidi="ar-SA"/>
            </w:rPr>
            <w:fldChar w:fldCharType="begin"/>
          </w:r>
          <w:r>
            <w:rPr>
              <w:rFonts w:hint="eastAsia" w:ascii="Times New Roman" w:hAnsi="Times New Roman" w:eastAsia="方正仿宋_GBK" w:cs="Times New Roman"/>
              <w:kern w:val="2"/>
              <w:sz w:val="32"/>
              <w:szCs w:val="32"/>
              <w:highlight w:val="none"/>
              <w:lang w:val="en-US" w:eastAsia="zh-CN" w:bidi="ar-SA"/>
            </w:rPr>
            <w:instrText xml:space="preserve"> PAGEREF _Toc3398 \h </w:instrText>
          </w:r>
          <w:r>
            <w:rPr>
              <w:rFonts w:hint="eastAsia" w:ascii="Times New Roman" w:hAnsi="Times New Roman" w:eastAsia="方正仿宋_GBK" w:cs="Times New Roman"/>
              <w:kern w:val="2"/>
              <w:sz w:val="32"/>
              <w:szCs w:val="32"/>
              <w:highlight w:val="none"/>
              <w:lang w:val="en-US" w:eastAsia="zh-CN" w:bidi="ar-SA"/>
            </w:rPr>
            <w:fldChar w:fldCharType="separate"/>
          </w:r>
          <w:r>
            <w:rPr>
              <w:rFonts w:hint="eastAsia" w:ascii="Times New Roman" w:hAnsi="Times New Roman" w:eastAsia="方正仿宋_GBK" w:cs="Times New Roman"/>
              <w:kern w:val="2"/>
              <w:sz w:val="32"/>
              <w:szCs w:val="32"/>
              <w:highlight w:val="none"/>
              <w:lang w:val="en-US" w:eastAsia="zh-CN" w:bidi="ar-SA"/>
            </w:rPr>
            <w:t>1</w:t>
          </w:r>
          <w:r>
            <w:rPr>
              <w:rFonts w:hint="eastAsia" w:ascii="Times New Roman" w:hAnsi="Times New Roman" w:eastAsia="方正仿宋_GBK" w:cs="Times New Roman"/>
              <w:kern w:val="2"/>
              <w:sz w:val="32"/>
              <w:szCs w:val="32"/>
              <w:highlight w:val="none"/>
              <w:lang w:val="en-US" w:eastAsia="zh-CN" w:bidi="ar-SA"/>
            </w:rPr>
            <w:fldChar w:fldCharType="end"/>
          </w:r>
          <w:r>
            <w:rPr>
              <w:rFonts w:hint="eastAsia" w:ascii="Times New Roman" w:hAnsi="Times New Roman" w:eastAsia="方正仿宋_GBK" w:cs="Times New Roman"/>
              <w:kern w:val="2"/>
              <w:sz w:val="32"/>
              <w:szCs w:val="32"/>
              <w:highlight w:val="none"/>
              <w:lang w:val="en-US" w:eastAsia="zh-CN" w:bidi="ar-SA"/>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_Toc14383 </w:instrText>
          </w:r>
          <w:r>
            <w:rPr>
              <w:rFonts w:hint="eastAsia" w:ascii="方正仿宋_GBK" w:hAnsi="方正仿宋_GBK" w:eastAsia="方正仿宋_GBK" w:cs="方正仿宋_GBK"/>
              <w:sz w:val="32"/>
              <w:szCs w:val="32"/>
            </w:rPr>
            <w:fldChar w:fldCharType="separate"/>
          </w:r>
          <w:r>
            <w:rPr>
              <w:rFonts w:eastAsia="方正仿宋_GBK"/>
              <w:sz w:val="32"/>
              <w:szCs w:val="32"/>
              <w:highlight w:val="none"/>
            </w:rPr>
            <w:t>（一）</w:t>
          </w:r>
          <w:r>
            <w:rPr>
              <w:rFonts w:hint="eastAsia" w:eastAsia="方正仿宋_GBK"/>
              <w:sz w:val="32"/>
              <w:szCs w:val="32"/>
              <w:highlight w:val="none"/>
              <w:lang w:eastAsia="zh-CN"/>
            </w:rPr>
            <w:t>部门基本情况</w:t>
          </w:r>
          <w:r>
            <w:rPr>
              <w:sz w:val="32"/>
              <w:szCs w:val="32"/>
            </w:rPr>
            <w:tab/>
          </w:r>
          <w:r>
            <w:rPr>
              <w:sz w:val="32"/>
              <w:szCs w:val="32"/>
            </w:rPr>
            <w:fldChar w:fldCharType="begin"/>
          </w:r>
          <w:r>
            <w:rPr>
              <w:sz w:val="32"/>
              <w:szCs w:val="32"/>
            </w:rPr>
            <w:instrText xml:space="preserve"> PAGEREF _Toc14383 \h </w:instrText>
          </w:r>
          <w:r>
            <w:rPr>
              <w:sz w:val="32"/>
              <w:szCs w:val="32"/>
            </w:rPr>
            <w:fldChar w:fldCharType="separate"/>
          </w:r>
          <w:r>
            <w:rPr>
              <w:sz w:val="32"/>
              <w:szCs w:val="32"/>
            </w:rPr>
            <w:t>1</w:t>
          </w:r>
          <w:r>
            <w:rPr>
              <w:sz w:val="32"/>
              <w:szCs w:val="32"/>
            </w:rPr>
            <w:fldChar w:fldCharType="end"/>
          </w:r>
          <w:r>
            <w:rPr>
              <w:rFonts w:hint="eastAsia" w:ascii="方正仿宋_GBK" w:hAnsi="方正仿宋_GBK" w:eastAsia="方正仿宋_GBK" w:cs="方正仿宋_GBK"/>
              <w:sz w:val="32"/>
              <w:szCs w:val="32"/>
            </w:rPr>
            <w:fldChar w:fldCharType="end"/>
          </w: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_Toc32760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eastAsia="zh-CN"/>
            </w:rPr>
            <w:t>部门职级</w:t>
          </w:r>
          <w:r>
            <w:rPr>
              <w:sz w:val="32"/>
              <w:szCs w:val="32"/>
            </w:rPr>
            <w:tab/>
          </w:r>
          <w:r>
            <w:rPr>
              <w:sz w:val="32"/>
              <w:szCs w:val="32"/>
            </w:rPr>
            <w:fldChar w:fldCharType="begin"/>
          </w:r>
          <w:r>
            <w:rPr>
              <w:sz w:val="32"/>
              <w:szCs w:val="32"/>
            </w:rPr>
            <w:instrText xml:space="preserve"> PAGEREF _Toc32760 \h </w:instrText>
          </w:r>
          <w:r>
            <w:rPr>
              <w:sz w:val="32"/>
              <w:szCs w:val="32"/>
            </w:rPr>
            <w:fldChar w:fldCharType="separate"/>
          </w:r>
          <w:r>
            <w:rPr>
              <w:sz w:val="32"/>
              <w:szCs w:val="32"/>
            </w:rPr>
            <w:t>1</w:t>
          </w:r>
          <w:r>
            <w:rPr>
              <w:sz w:val="32"/>
              <w:szCs w:val="32"/>
            </w:rPr>
            <w:fldChar w:fldCharType="end"/>
          </w:r>
          <w:r>
            <w:rPr>
              <w:rFonts w:hint="eastAsia" w:ascii="方正仿宋_GBK" w:hAnsi="方正仿宋_GBK" w:eastAsia="方正仿宋_GBK" w:cs="方正仿宋_GBK"/>
              <w:sz w:val="32"/>
              <w:szCs w:val="32"/>
            </w:rPr>
            <w:fldChar w:fldCharType="end"/>
          </w: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_Toc4931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lang w:eastAsia="zh-CN"/>
            </w:rPr>
            <w:t>内设机构及编制</w:t>
          </w:r>
          <w:r>
            <w:rPr>
              <w:sz w:val="32"/>
              <w:szCs w:val="32"/>
            </w:rPr>
            <w:tab/>
          </w:r>
          <w:r>
            <w:rPr>
              <w:sz w:val="32"/>
              <w:szCs w:val="32"/>
            </w:rPr>
            <w:fldChar w:fldCharType="begin"/>
          </w:r>
          <w:r>
            <w:rPr>
              <w:sz w:val="32"/>
              <w:szCs w:val="32"/>
            </w:rPr>
            <w:instrText xml:space="preserve"> PAGEREF _Toc4931 \h </w:instrText>
          </w:r>
          <w:r>
            <w:rPr>
              <w:sz w:val="32"/>
              <w:szCs w:val="32"/>
            </w:rPr>
            <w:fldChar w:fldCharType="separate"/>
          </w:r>
          <w:r>
            <w:rPr>
              <w:sz w:val="32"/>
              <w:szCs w:val="32"/>
            </w:rPr>
            <w:t>1</w:t>
          </w:r>
          <w:r>
            <w:rPr>
              <w:sz w:val="32"/>
              <w:szCs w:val="32"/>
            </w:rPr>
            <w:fldChar w:fldCharType="end"/>
          </w:r>
          <w:r>
            <w:rPr>
              <w:rFonts w:hint="eastAsia" w:ascii="方正仿宋_GBK" w:hAnsi="方正仿宋_GBK" w:eastAsia="方正仿宋_GBK" w:cs="方正仿宋_GBK"/>
              <w:sz w:val="32"/>
              <w:szCs w:val="32"/>
            </w:rPr>
            <w:fldChar w:fldCharType="end"/>
          </w: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_Toc3294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highlight w:val="none"/>
              <w:lang w:val="en-US" w:eastAsia="zh-CN"/>
            </w:rPr>
            <w:t>3、职能职责</w:t>
          </w:r>
          <w:r>
            <w:rPr>
              <w:sz w:val="32"/>
              <w:szCs w:val="32"/>
            </w:rPr>
            <w:tab/>
          </w:r>
          <w:r>
            <w:rPr>
              <w:sz w:val="32"/>
              <w:szCs w:val="32"/>
            </w:rPr>
            <w:fldChar w:fldCharType="begin"/>
          </w:r>
          <w:r>
            <w:rPr>
              <w:sz w:val="32"/>
              <w:szCs w:val="32"/>
            </w:rPr>
            <w:instrText xml:space="preserve"> PAGEREF _Toc3294 \h </w:instrText>
          </w:r>
          <w:r>
            <w:rPr>
              <w:sz w:val="32"/>
              <w:szCs w:val="32"/>
            </w:rPr>
            <w:fldChar w:fldCharType="separate"/>
          </w:r>
          <w:r>
            <w:rPr>
              <w:sz w:val="32"/>
              <w:szCs w:val="32"/>
            </w:rPr>
            <w:t>1</w:t>
          </w:r>
          <w:r>
            <w:rPr>
              <w:sz w:val="32"/>
              <w:szCs w:val="32"/>
            </w:rPr>
            <w:fldChar w:fldCharType="end"/>
          </w:r>
          <w:r>
            <w:rPr>
              <w:rFonts w:hint="eastAsia" w:ascii="方正仿宋_GBK" w:hAnsi="方正仿宋_GBK" w:eastAsia="方正仿宋_GBK" w:cs="方正仿宋_GBK"/>
              <w:sz w:val="32"/>
              <w:szCs w:val="32"/>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_Toc27460 </w:instrText>
          </w:r>
          <w:r>
            <w:rPr>
              <w:rFonts w:hint="eastAsia" w:ascii="方正仿宋_GBK" w:hAnsi="方正仿宋_GBK" w:eastAsia="方正仿宋_GBK" w:cs="方正仿宋_GBK"/>
              <w:sz w:val="32"/>
              <w:szCs w:val="32"/>
            </w:rPr>
            <w:fldChar w:fldCharType="separate"/>
          </w:r>
          <w:r>
            <w:rPr>
              <w:rFonts w:eastAsia="方正仿宋_GBK"/>
              <w:sz w:val="32"/>
              <w:szCs w:val="32"/>
              <w:highlight w:val="none"/>
            </w:rPr>
            <w:t>（二）</w:t>
          </w:r>
          <w:r>
            <w:rPr>
              <w:rFonts w:hint="eastAsia" w:eastAsia="方正仿宋_GBK"/>
              <w:sz w:val="32"/>
              <w:szCs w:val="32"/>
              <w:highlight w:val="none"/>
            </w:rPr>
            <w:t>预算及支出情况</w:t>
          </w:r>
          <w:r>
            <w:rPr>
              <w:sz w:val="32"/>
              <w:szCs w:val="32"/>
            </w:rPr>
            <w:tab/>
          </w:r>
          <w:r>
            <w:rPr>
              <w:sz w:val="32"/>
              <w:szCs w:val="32"/>
            </w:rPr>
            <w:fldChar w:fldCharType="begin"/>
          </w:r>
          <w:r>
            <w:rPr>
              <w:sz w:val="32"/>
              <w:szCs w:val="32"/>
            </w:rPr>
            <w:instrText xml:space="preserve"> PAGEREF _Toc27460 \h </w:instrText>
          </w:r>
          <w:r>
            <w:rPr>
              <w:sz w:val="32"/>
              <w:szCs w:val="32"/>
            </w:rPr>
            <w:fldChar w:fldCharType="separate"/>
          </w:r>
          <w:r>
            <w:rPr>
              <w:sz w:val="32"/>
              <w:szCs w:val="32"/>
            </w:rPr>
            <w:t>2</w:t>
          </w:r>
          <w:r>
            <w:rPr>
              <w:sz w:val="32"/>
              <w:szCs w:val="32"/>
            </w:rPr>
            <w:fldChar w:fldCharType="end"/>
          </w:r>
          <w:r>
            <w:rPr>
              <w:rFonts w:hint="eastAsia" w:ascii="方正仿宋_GBK" w:hAnsi="方正仿宋_GBK" w:eastAsia="方正仿宋_GBK" w:cs="方正仿宋_GBK"/>
              <w:sz w:val="32"/>
              <w:szCs w:val="32"/>
            </w:rPr>
            <w:fldChar w:fldCharType="end"/>
          </w: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_Toc32094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财政资金整体支出</w:t>
          </w:r>
          <w:r>
            <w:rPr>
              <w:sz w:val="32"/>
              <w:szCs w:val="32"/>
            </w:rPr>
            <w:tab/>
          </w:r>
          <w:r>
            <w:rPr>
              <w:sz w:val="32"/>
              <w:szCs w:val="32"/>
            </w:rPr>
            <w:fldChar w:fldCharType="begin"/>
          </w:r>
          <w:r>
            <w:rPr>
              <w:sz w:val="32"/>
              <w:szCs w:val="32"/>
            </w:rPr>
            <w:instrText xml:space="preserve"> PAGEREF _Toc32094 \h </w:instrText>
          </w:r>
          <w:r>
            <w:rPr>
              <w:sz w:val="32"/>
              <w:szCs w:val="32"/>
            </w:rPr>
            <w:fldChar w:fldCharType="separate"/>
          </w:r>
          <w:r>
            <w:rPr>
              <w:sz w:val="32"/>
              <w:szCs w:val="32"/>
            </w:rPr>
            <w:t>2</w:t>
          </w:r>
          <w:r>
            <w:rPr>
              <w:sz w:val="32"/>
              <w:szCs w:val="32"/>
            </w:rPr>
            <w:fldChar w:fldCharType="end"/>
          </w:r>
          <w:r>
            <w:rPr>
              <w:rFonts w:hint="eastAsia" w:ascii="方正仿宋_GBK" w:hAnsi="方正仿宋_GBK" w:eastAsia="方正仿宋_GBK" w:cs="方正仿宋_GBK"/>
              <w:sz w:val="32"/>
              <w:szCs w:val="32"/>
            </w:rPr>
            <w:fldChar w:fldCharType="end"/>
          </w: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_Toc21088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部门“三公”经费支出</w:t>
          </w:r>
          <w:r>
            <w:rPr>
              <w:sz w:val="32"/>
              <w:szCs w:val="32"/>
            </w:rPr>
            <w:tab/>
          </w:r>
          <w:r>
            <w:rPr>
              <w:sz w:val="32"/>
              <w:szCs w:val="32"/>
            </w:rPr>
            <w:fldChar w:fldCharType="begin"/>
          </w:r>
          <w:r>
            <w:rPr>
              <w:sz w:val="32"/>
              <w:szCs w:val="32"/>
            </w:rPr>
            <w:instrText xml:space="preserve"> PAGEREF _Toc21088 \h </w:instrText>
          </w:r>
          <w:r>
            <w:rPr>
              <w:sz w:val="32"/>
              <w:szCs w:val="32"/>
            </w:rPr>
            <w:fldChar w:fldCharType="separate"/>
          </w:r>
          <w:r>
            <w:rPr>
              <w:sz w:val="32"/>
              <w:szCs w:val="32"/>
            </w:rPr>
            <w:t>2</w:t>
          </w:r>
          <w:r>
            <w:rPr>
              <w:sz w:val="32"/>
              <w:szCs w:val="32"/>
            </w:rPr>
            <w:fldChar w:fldCharType="end"/>
          </w:r>
          <w:r>
            <w:rPr>
              <w:rFonts w:hint="eastAsia" w:ascii="方正仿宋_GBK" w:hAnsi="方正仿宋_GBK" w:eastAsia="方正仿宋_GBK" w:cs="方正仿宋_GBK"/>
              <w:sz w:val="32"/>
              <w:szCs w:val="32"/>
            </w:rPr>
            <w:fldChar w:fldCharType="end"/>
          </w:r>
        </w:p>
        <w:p>
          <w:pPr>
            <w:pStyle w:val="9"/>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Times New Roman" w:hAnsi="Times New Roman" w:eastAsia="方正仿宋_GBK" w:cs="Times New Roman"/>
              <w:kern w:val="2"/>
              <w:sz w:val="32"/>
              <w:szCs w:val="32"/>
              <w:highlight w:val="none"/>
              <w:lang w:val="en-US" w:eastAsia="zh-CN" w:bidi="ar-SA"/>
            </w:rPr>
            <w:fldChar w:fldCharType="begin"/>
          </w:r>
          <w:r>
            <w:rPr>
              <w:rFonts w:hint="eastAsia" w:ascii="Times New Roman" w:hAnsi="Times New Roman" w:eastAsia="方正仿宋_GBK" w:cs="Times New Roman"/>
              <w:kern w:val="2"/>
              <w:sz w:val="32"/>
              <w:szCs w:val="32"/>
              <w:highlight w:val="none"/>
              <w:lang w:val="en-US" w:eastAsia="zh-CN" w:bidi="ar-SA"/>
            </w:rPr>
            <w:instrText xml:space="preserve"> HYPERLINK \l _Toc14300 </w:instrText>
          </w:r>
          <w:r>
            <w:rPr>
              <w:rFonts w:hint="eastAsia" w:ascii="Times New Roman" w:hAnsi="Times New Roman" w:eastAsia="方正仿宋_GBK" w:cs="Times New Roman"/>
              <w:kern w:val="2"/>
              <w:sz w:val="32"/>
              <w:szCs w:val="32"/>
              <w:highlight w:val="none"/>
              <w:lang w:val="en-US" w:eastAsia="zh-CN" w:bidi="ar-SA"/>
            </w:rPr>
            <w:fldChar w:fldCharType="separate"/>
          </w:r>
          <w:r>
            <w:rPr>
              <w:rFonts w:hint="eastAsia" w:ascii="Times New Roman" w:hAnsi="Times New Roman" w:eastAsia="方正仿宋_GBK" w:cs="Times New Roman"/>
              <w:kern w:val="2"/>
              <w:sz w:val="32"/>
              <w:szCs w:val="32"/>
              <w:highlight w:val="none"/>
              <w:lang w:val="en-US" w:eastAsia="zh-CN" w:bidi="ar-SA"/>
            </w:rPr>
            <w:t>二、绩效评价基本情况</w:t>
          </w:r>
          <w:r>
            <w:rPr>
              <w:rFonts w:hint="eastAsia" w:ascii="Times New Roman" w:hAnsi="Times New Roman" w:eastAsia="方正仿宋_GBK" w:cs="Times New Roman"/>
              <w:kern w:val="2"/>
              <w:sz w:val="32"/>
              <w:szCs w:val="32"/>
              <w:highlight w:val="none"/>
              <w:lang w:val="en-US" w:eastAsia="zh-CN" w:bidi="ar-SA"/>
            </w:rPr>
            <w:tab/>
          </w:r>
          <w:r>
            <w:rPr>
              <w:rFonts w:hint="eastAsia" w:ascii="Times New Roman" w:hAnsi="Times New Roman" w:eastAsia="方正仿宋_GBK" w:cs="Times New Roman"/>
              <w:kern w:val="2"/>
              <w:sz w:val="32"/>
              <w:szCs w:val="32"/>
              <w:highlight w:val="none"/>
              <w:lang w:val="en-US" w:eastAsia="zh-CN" w:bidi="ar-SA"/>
            </w:rPr>
            <w:fldChar w:fldCharType="begin"/>
          </w:r>
          <w:r>
            <w:rPr>
              <w:rFonts w:hint="eastAsia" w:ascii="Times New Roman" w:hAnsi="Times New Roman" w:eastAsia="方正仿宋_GBK" w:cs="Times New Roman"/>
              <w:kern w:val="2"/>
              <w:sz w:val="32"/>
              <w:szCs w:val="32"/>
              <w:highlight w:val="none"/>
              <w:lang w:val="en-US" w:eastAsia="zh-CN" w:bidi="ar-SA"/>
            </w:rPr>
            <w:instrText xml:space="preserve"> PAGEREF _Toc14300 \h </w:instrText>
          </w:r>
          <w:r>
            <w:rPr>
              <w:rFonts w:hint="eastAsia" w:ascii="Times New Roman" w:hAnsi="Times New Roman" w:eastAsia="方正仿宋_GBK" w:cs="Times New Roman"/>
              <w:kern w:val="2"/>
              <w:sz w:val="32"/>
              <w:szCs w:val="32"/>
              <w:highlight w:val="none"/>
              <w:lang w:val="en-US" w:eastAsia="zh-CN" w:bidi="ar-SA"/>
            </w:rPr>
            <w:fldChar w:fldCharType="separate"/>
          </w:r>
          <w:r>
            <w:rPr>
              <w:rFonts w:hint="eastAsia" w:ascii="Times New Roman" w:hAnsi="Times New Roman" w:eastAsia="方正仿宋_GBK" w:cs="Times New Roman"/>
              <w:kern w:val="2"/>
              <w:sz w:val="32"/>
              <w:szCs w:val="32"/>
              <w:highlight w:val="none"/>
              <w:lang w:val="en-US" w:eastAsia="zh-CN" w:bidi="ar-SA"/>
            </w:rPr>
            <w:t>2</w:t>
          </w:r>
          <w:r>
            <w:rPr>
              <w:rFonts w:hint="eastAsia" w:ascii="Times New Roman" w:hAnsi="Times New Roman" w:eastAsia="方正仿宋_GBK" w:cs="Times New Roman"/>
              <w:kern w:val="2"/>
              <w:sz w:val="32"/>
              <w:szCs w:val="32"/>
              <w:highlight w:val="none"/>
              <w:lang w:val="en-US" w:eastAsia="zh-CN" w:bidi="ar-SA"/>
            </w:rPr>
            <w:fldChar w:fldCharType="end"/>
          </w:r>
          <w:r>
            <w:rPr>
              <w:rFonts w:hint="eastAsia" w:ascii="Times New Roman" w:hAnsi="Times New Roman" w:eastAsia="方正仿宋_GBK" w:cs="Times New Roman"/>
              <w:kern w:val="2"/>
              <w:sz w:val="32"/>
              <w:szCs w:val="32"/>
              <w:highlight w:val="none"/>
              <w:lang w:val="en-US" w:eastAsia="zh-CN" w:bidi="ar-SA"/>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_Toc1678 </w:instrText>
          </w:r>
          <w:r>
            <w:rPr>
              <w:rFonts w:hint="eastAsia" w:ascii="方正仿宋_GBK" w:hAnsi="方正仿宋_GBK" w:eastAsia="方正仿宋_GBK" w:cs="方正仿宋_GBK"/>
              <w:sz w:val="32"/>
              <w:szCs w:val="32"/>
            </w:rPr>
            <w:fldChar w:fldCharType="separate"/>
          </w:r>
          <w:r>
            <w:rPr>
              <w:rFonts w:ascii="Times New Roman" w:hAnsi="Times New Roman" w:eastAsia="方正仿宋_GBK" w:cs="Times New Roman"/>
              <w:sz w:val="32"/>
              <w:szCs w:val="32"/>
              <w:highlight w:val="none"/>
            </w:rPr>
            <w:t>（一）绩效评价目的</w:t>
          </w:r>
          <w:r>
            <w:rPr>
              <w:sz w:val="32"/>
              <w:szCs w:val="32"/>
            </w:rPr>
            <w:tab/>
          </w:r>
          <w:r>
            <w:rPr>
              <w:sz w:val="32"/>
              <w:szCs w:val="32"/>
            </w:rPr>
            <w:fldChar w:fldCharType="begin"/>
          </w:r>
          <w:r>
            <w:rPr>
              <w:sz w:val="32"/>
              <w:szCs w:val="32"/>
            </w:rPr>
            <w:instrText xml:space="preserve"> PAGEREF _Toc1678 \h </w:instrText>
          </w:r>
          <w:r>
            <w:rPr>
              <w:sz w:val="32"/>
              <w:szCs w:val="32"/>
            </w:rPr>
            <w:fldChar w:fldCharType="separate"/>
          </w:r>
          <w:r>
            <w:rPr>
              <w:sz w:val="32"/>
              <w:szCs w:val="32"/>
            </w:rPr>
            <w:t>2</w:t>
          </w:r>
          <w:r>
            <w:rPr>
              <w:sz w:val="32"/>
              <w:szCs w:val="32"/>
            </w:rPr>
            <w:fldChar w:fldCharType="end"/>
          </w:r>
          <w:r>
            <w:rPr>
              <w:rFonts w:hint="eastAsia" w:ascii="方正仿宋_GBK" w:hAnsi="方正仿宋_GBK" w:eastAsia="方正仿宋_GBK" w:cs="方正仿宋_GBK"/>
              <w:sz w:val="32"/>
              <w:szCs w:val="32"/>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_Toc22261 </w:instrText>
          </w:r>
          <w:r>
            <w:rPr>
              <w:rFonts w:hint="eastAsia" w:ascii="方正仿宋_GBK" w:hAnsi="方正仿宋_GBK" w:eastAsia="方正仿宋_GBK" w:cs="方正仿宋_GBK"/>
              <w:sz w:val="32"/>
              <w:szCs w:val="32"/>
            </w:rPr>
            <w:fldChar w:fldCharType="separate"/>
          </w:r>
          <w:r>
            <w:rPr>
              <w:rFonts w:eastAsia="方正仿宋_GBK"/>
              <w:sz w:val="32"/>
              <w:szCs w:val="32"/>
              <w:highlight w:val="none"/>
            </w:rPr>
            <w:t>（二）绩效评价原则</w:t>
          </w:r>
          <w:r>
            <w:rPr>
              <w:sz w:val="32"/>
              <w:szCs w:val="32"/>
            </w:rPr>
            <w:tab/>
          </w:r>
          <w:r>
            <w:rPr>
              <w:sz w:val="32"/>
              <w:szCs w:val="32"/>
            </w:rPr>
            <w:fldChar w:fldCharType="begin"/>
          </w:r>
          <w:r>
            <w:rPr>
              <w:sz w:val="32"/>
              <w:szCs w:val="32"/>
            </w:rPr>
            <w:instrText xml:space="preserve"> PAGEREF _Toc22261 \h </w:instrText>
          </w:r>
          <w:r>
            <w:rPr>
              <w:sz w:val="32"/>
              <w:szCs w:val="32"/>
            </w:rPr>
            <w:fldChar w:fldCharType="separate"/>
          </w:r>
          <w:r>
            <w:rPr>
              <w:sz w:val="32"/>
              <w:szCs w:val="32"/>
            </w:rPr>
            <w:t>3</w:t>
          </w:r>
          <w:r>
            <w:rPr>
              <w:sz w:val="32"/>
              <w:szCs w:val="32"/>
            </w:rPr>
            <w:fldChar w:fldCharType="end"/>
          </w:r>
          <w:r>
            <w:rPr>
              <w:rFonts w:hint="eastAsia" w:ascii="方正仿宋_GBK" w:hAnsi="方正仿宋_GBK" w:eastAsia="方正仿宋_GBK" w:cs="方正仿宋_GBK"/>
              <w:sz w:val="32"/>
              <w:szCs w:val="32"/>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_Toc17012 </w:instrText>
          </w:r>
          <w:r>
            <w:rPr>
              <w:rFonts w:hint="eastAsia" w:ascii="方正仿宋_GBK" w:hAnsi="方正仿宋_GBK" w:eastAsia="方正仿宋_GBK" w:cs="方正仿宋_GBK"/>
              <w:sz w:val="32"/>
              <w:szCs w:val="32"/>
            </w:rPr>
            <w:fldChar w:fldCharType="separate"/>
          </w:r>
          <w:r>
            <w:rPr>
              <w:rFonts w:hint="eastAsia" w:eastAsia="方正仿宋_GBK"/>
              <w:sz w:val="32"/>
              <w:szCs w:val="32"/>
              <w:highlight w:val="none"/>
              <w:lang w:eastAsia="zh-CN"/>
            </w:rPr>
            <w:t>（</w:t>
          </w:r>
          <w:r>
            <w:rPr>
              <w:rFonts w:hint="eastAsia" w:eastAsia="方正仿宋_GBK"/>
              <w:sz w:val="32"/>
              <w:szCs w:val="32"/>
              <w:highlight w:val="none"/>
              <w:lang w:val="en-US" w:eastAsia="zh-CN"/>
            </w:rPr>
            <w:t>三</w:t>
          </w:r>
          <w:r>
            <w:rPr>
              <w:rFonts w:hint="eastAsia" w:eastAsia="方正仿宋_GBK"/>
              <w:sz w:val="32"/>
              <w:szCs w:val="32"/>
              <w:highlight w:val="none"/>
              <w:lang w:eastAsia="zh-CN"/>
            </w:rPr>
            <w:t>）</w:t>
          </w:r>
          <w:r>
            <w:rPr>
              <w:rFonts w:hint="eastAsia" w:eastAsia="方正仿宋_GBK"/>
              <w:sz w:val="32"/>
              <w:szCs w:val="32"/>
              <w:highlight w:val="none"/>
            </w:rPr>
            <w:t>绩效评价工作过程</w:t>
          </w:r>
          <w:r>
            <w:rPr>
              <w:sz w:val="32"/>
              <w:szCs w:val="32"/>
            </w:rPr>
            <w:tab/>
          </w:r>
          <w:r>
            <w:rPr>
              <w:sz w:val="32"/>
              <w:szCs w:val="32"/>
            </w:rPr>
            <w:fldChar w:fldCharType="begin"/>
          </w:r>
          <w:r>
            <w:rPr>
              <w:sz w:val="32"/>
              <w:szCs w:val="32"/>
            </w:rPr>
            <w:instrText xml:space="preserve"> PAGEREF _Toc17012 \h </w:instrText>
          </w:r>
          <w:r>
            <w:rPr>
              <w:sz w:val="32"/>
              <w:szCs w:val="32"/>
            </w:rPr>
            <w:fldChar w:fldCharType="separate"/>
          </w:r>
          <w:r>
            <w:rPr>
              <w:sz w:val="32"/>
              <w:szCs w:val="32"/>
            </w:rPr>
            <w:t>3</w:t>
          </w:r>
          <w:r>
            <w:rPr>
              <w:sz w:val="32"/>
              <w:szCs w:val="32"/>
            </w:rPr>
            <w:fldChar w:fldCharType="end"/>
          </w:r>
          <w:r>
            <w:rPr>
              <w:rFonts w:hint="eastAsia" w:ascii="方正仿宋_GBK" w:hAnsi="方正仿宋_GBK" w:eastAsia="方正仿宋_GBK" w:cs="方正仿宋_GBK"/>
              <w:sz w:val="32"/>
              <w:szCs w:val="32"/>
            </w:rPr>
            <w:fldChar w:fldCharType="end"/>
          </w: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_Toc29517 </w:instrText>
          </w:r>
          <w:r>
            <w:rPr>
              <w:rFonts w:hint="eastAsia" w:ascii="方正仿宋_GBK" w:hAnsi="方正仿宋_GBK" w:eastAsia="方正仿宋_GBK" w:cs="方正仿宋_GBK"/>
              <w:sz w:val="32"/>
              <w:szCs w:val="32"/>
            </w:rPr>
            <w:fldChar w:fldCharType="separate"/>
          </w:r>
          <w:r>
            <w:rPr>
              <w:rFonts w:hint="eastAsia" w:ascii="Times New Roman" w:hAnsi="Times New Roman" w:eastAsia="方正仿宋_GBK" w:cs="方正仿宋_GBK"/>
              <w:sz w:val="32"/>
              <w:szCs w:val="32"/>
              <w:highlight w:val="none"/>
            </w:rPr>
            <w:t>1</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前期准备</w:t>
          </w:r>
          <w:r>
            <w:rPr>
              <w:sz w:val="32"/>
              <w:szCs w:val="32"/>
            </w:rPr>
            <w:tab/>
          </w:r>
          <w:r>
            <w:rPr>
              <w:sz w:val="32"/>
              <w:szCs w:val="32"/>
            </w:rPr>
            <w:fldChar w:fldCharType="begin"/>
          </w:r>
          <w:r>
            <w:rPr>
              <w:sz w:val="32"/>
              <w:szCs w:val="32"/>
            </w:rPr>
            <w:instrText xml:space="preserve"> PAGEREF _Toc29517 \h </w:instrText>
          </w:r>
          <w:r>
            <w:rPr>
              <w:sz w:val="32"/>
              <w:szCs w:val="32"/>
            </w:rPr>
            <w:fldChar w:fldCharType="separate"/>
          </w:r>
          <w:r>
            <w:rPr>
              <w:sz w:val="32"/>
              <w:szCs w:val="32"/>
            </w:rPr>
            <w:t>3</w:t>
          </w:r>
          <w:r>
            <w:rPr>
              <w:sz w:val="32"/>
              <w:szCs w:val="32"/>
            </w:rPr>
            <w:fldChar w:fldCharType="end"/>
          </w:r>
          <w:r>
            <w:rPr>
              <w:rFonts w:hint="eastAsia" w:ascii="方正仿宋_GBK" w:hAnsi="方正仿宋_GBK" w:eastAsia="方正仿宋_GBK" w:cs="方正仿宋_GBK"/>
              <w:sz w:val="32"/>
              <w:szCs w:val="32"/>
            </w:rPr>
            <w:fldChar w:fldCharType="end"/>
          </w: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_Toc10866 </w:instrText>
          </w:r>
          <w:r>
            <w:rPr>
              <w:rFonts w:hint="eastAsia" w:ascii="方正仿宋_GBK" w:hAnsi="方正仿宋_GBK" w:eastAsia="方正仿宋_GBK" w:cs="方正仿宋_GBK"/>
              <w:sz w:val="32"/>
              <w:szCs w:val="32"/>
            </w:rPr>
            <w:fldChar w:fldCharType="separate"/>
          </w:r>
          <w:r>
            <w:rPr>
              <w:rFonts w:hint="eastAsia" w:ascii="Times New Roman" w:hAnsi="Times New Roman" w:eastAsia="方正仿宋_GBK" w:cs="方正仿宋_GBK"/>
              <w:sz w:val="32"/>
              <w:szCs w:val="32"/>
              <w:highlight w:val="none"/>
              <w:lang w:val="en-US" w:eastAsia="zh-CN"/>
            </w:rPr>
            <w:t>2、</w:t>
          </w:r>
          <w:r>
            <w:rPr>
              <w:rFonts w:hint="eastAsia" w:ascii="Times New Roman" w:hAnsi="Times New Roman" w:eastAsia="方正仿宋_GBK" w:cs="方正仿宋_GBK"/>
              <w:sz w:val="32"/>
              <w:szCs w:val="32"/>
              <w:highlight w:val="none"/>
              <w:lang w:eastAsia="zh-CN"/>
            </w:rPr>
            <w:t>组织实施</w:t>
          </w:r>
          <w:r>
            <w:rPr>
              <w:sz w:val="32"/>
              <w:szCs w:val="32"/>
            </w:rPr>
            <w:tab/>
          </w:r>
          <w:r>
            <w:rPr>
              <w:sz w:val="32"/>
              <w:szCs w:val="32"/>
            </w:rPr>
            <w:fldChar w:fldCharType="begin"/>
          </w:r>
          <w:r>
            <w:rPr>
              <w:sz w:val="32"/>
              <w:szCs w:val="32"/>
            </w:rPr>
            <w:instrText xml:space="preserve"> PAGEREF _Toc10866 \h </w:instrText>
          </w:r>
          <w:r>
            <w:rPr>
              <w:sz w:val="32"/>
              <w:szCs w:val="32"/>
            </w:rPr>
            <w:fldChar w:fldCharType="separate"/>
          </w:r>
          <w:r>
            <w:rPr>
              <w:sz w:val="32"/>
              <w:szCs w:val="32"/>
            </w:rPr>
            <w:t>3</w:t>
          </w:r>
          <w:r>
            <w:rPr>
              <w:sz w:val="32"/>
              <w:szCs w:val="32"/>
            </w:rPr>
            <w:fldChar w:fldCharType="end"/>
          </w:r>
          <w:r>
            <w:rPr>
              <w:rFonts w:hint="eastAsia" w:ascii="方正仿宋_GBK" w:hAnsi="方正仿宋_GBK" w:eastAsia="方正仿宋_GBK" w:cs="方正仿宋_GBK"/>
              <w:sz w:val="32"/>
              <w:szCs w:val="32"/>
            </w:rPr>
            <w:fldChar w:fldCharType="end"/>
          </w: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_Toc31971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highlight w:val="none"/>
              <w:lang w:val="en-US" w:eastAsia="zh-CN"/>
            </w:rPr>
            <w:t>3、分析评价</w:t>
          </w:r>
          <w:r>
            <w:rPr>
              <w:sz w:val="32"/>
              <w:szCs w:val="32"/>
            </w:rPr>
            <w:tab/>
          </w:r>
          <w:r>
            <w:rPr>
              <w:sz w:val="32"/>
              <w:szCs w:val="32"/>
            </w:rPr>
            <w:fldChar w:fldCharType="begin"/>
          </w:r>
          <w:r>
            <w:rPr>
              <w:sz w:val="32"/>
              <w:szCs w:val="32"/>
            </w:rPr>
            <w:instrText xml:space="preserve"> PAGEREF _Toc31971 \h </w:instrText>
          </w:r>
          <w:r>
            <w:rPr>
              <w:sz w:val="32"/>
              <w:szCs w:val="32"/>
            </w:rPr>
            <w:fldChar w:fldCharType="separate"/>
          </w:r>
          <w:r>
            <w:rPr>
              <w:sz w:val="32"/>
              <w:szCs w:val="32"/>
            </w:rPr>
            <w:t>3</w:t>
          </w:r>
          <w:r>
            <w:rPr>
              <w:sz w:val="32"/>
              <w:szCs w:val="32"/>
            </w:rPr>
            <w:fldChar w:fldCharType="end"/>
          </w:r>
          <w:r>
            <w:rPr>
              <w:rFonts w:hint="eastAsia" w:ascii="方正仿宋_GBK" w:hAnsi="方正仿宋_GBK" w:eastAsia="方正仿宋_GBK" w:cs="方正仿宋_GBK"/>
              <w:sz w:val="32"/>
              <w:szCs w:val="32"/>
            </w:rPr>
            <w:fldChar w:fldCharType="end"/>
          </w:r>
        </w:p>
        <w:p>
          <w:pPr>
            <w:pStyle w:val="9"/>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fldChar w:fldCharType="begin"/>
          </w:r>
          <w:r>
            <w:rPr>
              <w:rFonts w:hint="eastAsia" w:ascii="Times New Roman" w:hAnsi="Times New Roman" w:eastAsia="方正仿宋_GBK" w:cs="Times New Roman"/>
              <w:kern w:val="2"/>
              <w:sz w:val="32"/>
              <w:szCs w:val="32"/>
              <w:highlight w:val="none"/>
              <w:lang w:val="en-US" w:eastAsia="zh-CN" w:bidi="ar-SA"/>
            </w:rPr>
            <w:instrText xml:space="preserve"> HYPERLINK \l _Toc24356 </w:instrText>
          </w:r>
          <w:r>
            <w:rPr>
              <w:rFonts w:hint="eastAsia" w:ascii="Times New Roman" w:hAnsi="Times New Roman" w:eastAsia="方正仿宋_GBK" w:cs="Times New Roman"/>
              <w:kern w:val="2"/>
              <w:sz w:val="32"/>
              <w:szCs w:val="32"/>
              <w:highlight w:val="none"/>
              <w:lang w:val="en-US" w:eastAsia="zh-CN" w:bidi="ar-SA"/>
            </w:rPr>
            <w:fldChar w:fldCharType="separate"/>
          </w:r>
          <w:r>
            <w:rPr>
              <w:rFonts w:hint="eastAsia" w:ascii="Times New Roman" w:hAnsi="Times New Roman" w:eastAsia="方正仿宋_GBK" w:cs="Times New Roman"/>
              <w:kern w:val="2"/>
              <w:sz w:val="32"/>
              <w:szCs w:val="32"/>
              <w:highlight w:val="none"/>
              <w:lang w:val="en-US" w:eastAsia="zh-CN" w:bidi="ar-SA"/>
            </w:rPr>
            <w:t>三、绩效评价情况及结论</w:t>
          </w:r>
          <w:r>
            <w:rPr>
              <w:rFonts w:hint="eastAsia" w:ascii="Times New Roman" w:hAnsi="Times New Roman" w:eastAsia="方正仿宋_GBK" w:cs="Times New Roman"/>
              <w:kern w:val="2"/>
              <w:sz w:val="32"/>
              <w:szCs w:val="32"/>
              <w:highlight w:val="none"/>
              <w:lang w:val="en-US" w:eastAsia="zh-CN" w:bidi="ar-SA"/>
            </w:rPr>
            <w:tab/>
          </w:r>
          <w:r>
            <w:rPr>
              <w:rFonts w:hint="eastAsia" w:ascii="Times New Roman" w:hAnsi="Times New Roman" w:eastAsia="方正仿宋_GBK" w:cs="Times New Roman"/>
              <w:kern w:val="2"/>
              <w:sz w:val="32"/>
              <w:szCs w:val="32"/>
              <w:highlight w:val="none"/>
              <w:lang w:val="en-US" w:eastAsia="zh-CN" w:bidi="ar-SA"/>
            </w:rPr>
            <w:fldChar w:fldCharType="begin"/>
          </w:r>
          <w:r>
            <w:rPr>
              <w:rFonts w:hint="eastAsia" w:ascii="Times New Roman" w:hAnsi="Times New Roman" w:eastAsia="方正仿宋_GBK" w:cs="Times New Roman"/>
              <w:kern w:val="2"/>
              <w:sz w:val="32"/>
              <w:szCs w:val="32"/>
              <w:highlight w:val="none"/>
              <w:lang w:val="en-US" w:eastAsia="zh-CN" w:bidi="ar-SA"/>
            </w:rPr>
            <w:instrText xml:space="preserve"> PAGEREF _Toc24356 \h </w:instrText>
          </w:r>
          <w:r>
            <w:rPr>
              <w:rFonts w:hint="eastAsia" w:ascii="Times New Roman" w:hAnsi="Times New Roman" w:eastAsia="方正仿宋_GBK" w:cs="Times New Roman"/>
              <w:kern w:val="2"/>
              <w:sz w:val="32"/>
              <w:szCs w:val="32"/>
              <w:highlight w:val="none"/>
              <w:lang w:val="en-US" w:eastAsia="zh-CN" w:bidi="ar-SA"/>
            </w:rPr>
            <w:fldChar w:fldCharType="separate"/>
          </w:r>
          <w:r>
            <w:rPr>
              <w:rFonts w:hint="eastAsia" w:ascii="Times New Roman" w:hAnsi="Times New Roman" w:eastAsia="方正仿宋_GBK" w:cs="Times New Roman"/>
              <w:kern w:val="2"/>
              <w:sz w:val="32"/>
              <w:szCs w:val="32"/>
              <w:highlight w:val="none"/>
              <w:lang w:val="en-US" w:eastAsia="zh-CN" w:bidi="ar-SA"/>
            </w:rPr>
            <w:t>4</w:t>
          </w:r>
          <w:r>
            <w:rPr>
              <w:rFonts w:hint="eastAsia" w:ascii="Times New Roman" w:hAnsi="Times New Roman" w:eastAsia="方正仿宋_GBK" w:cs="Times New Roman"/>
              <w:kern w:val="2"/>
              <w:sz w:val="32"/>
              <w:szCs w:val="32"/>
              <w:highlight w:val="none"/>
              <w:lang w:val="en-US" w:eastAsia="zh-CN" w:bidi="ar-SA"/>
            </w:rPr>
            <w:fldChar w:fldCharType="end"/>
          </w:r>
          <w:r>
            <w:rPr>
              <w:rFonts w:hint="eastAsia" w:ascii="Times New Roman" w:hAnsi="Times New Roman" w:eastAsia="方正仿宋_GBK" w:cs="Times New Roman"/>
              <w:kern w:val="2"/>
              <w:sz w:val="32"/>
              <w:szCs w:val="32"/>
              <w:highlight w:val="none"/>
              <w:lang w:val="en-US" w:eastAsia="zh-CN" w:bidi="ar-SA"/>
            </w:rPr>
            <w:fldChar w:fldCharType="end"/>
          </w:r>
        </w:p>
        <w:p>
          <w:pPr>
            <w:pStyle w:val="9"/>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fldChar w:fldCharType="begin"/>
          </w:r>
          <w:r>
            <w:rPr>
              <w:rFonts w:hint="eastAsia" w:ascii="Times New Roman" w:hAnsi="Times New Roman" w:eastAsia="方正仿宋_GBK" w:cs="Times New Roman"/>
              <w:kern w:val="2"/>
              <w:sz w:val="32"/>
              <w:szCs w:val="32"/>
              <w:highlight w:val="none"/>
              <w:lang w:val="en-US" w:eastAsia="zh-CN" w:bidi="ar-SA"/>
            </w:rPr>
            <w:instrText xml:space="preserve"> HYPERLINK \l _Toc10261 </w:instrText>
          </w:r>
          <w:r>
            <w:rPr>
              <w:rFonts w:hint="eastAsia" w:ascii="Times New Roman" w:hAnsi="Times New Roman" w:eastAsia="方正仿宋_GBK" w:cs="Times New Roman"/>
              <w:kern w:val="2"/>
              <w:sz w:val="32"/>
              <w:szCs w:val="32"/>
              <w:highlight w:val="none"/>
              <w:lang w:val="en-US" w:eastAsia="zh-CN" w:bidi="ar-SA"/>
            </w:rPr>
            <w:fldChar w:fldCharType="separate"/>
          </w:r>
          <w:r>
            <w:rPr>
              <w:rFonts w:hint="eastAsia" w:ascii="Times New Roman" w:hAnsi="Times New Roman" w:eastAsia="方正仿宋_GBK" w:cs="Times New Roman"/>
              <w:kern w:val="2"/>
              <w:sz w:val="32"/>
              <w:szCs w:val="32"/>
              <w:highlight w:val="none"/>
              <w:lang w:val="en-US" w:eastAsia="zh-CN" w:bidi="ar-SA"/>
            </w:rPr>
            <w:t>四、主要经验及做法</w:t>
          </w:r>
          <w:r>
            <w:rPr>
              <w:rFonts w:hint="eastAsia" w:ascii="Times New Roman" w:hAnsi="Times New Roman" w:eastAsia="方正仿宋_GBK" w:cs="Times New Roman"/>
              <w:kern w:val="2"/>
              <w:sz w:val="32"/>
              <w:szCs w:val="32"/>
              <w:highlight w:val="none"/>
              <w:lang w:val="en-US" w:eastAsia="zh-CN" w:bidi="ar-SA"/>
            </w:rPr>
            <w:tab/>
          </w:r>
          <w:r>
            <w:rPr>
              <w:rFonts w:hint="eastAsia" w:ascii="Times New Roman" w:hAnsi="Times New Roman" w:eastAsia="方正仿宋_GBK" w:cs="Times New Roman"/>
              <w:kern w:val="2"/>
              <w:sz w:val="32"/>
              <w:szCs w:val="32"/>
              <w:highlight w:val="none"/>
              <w:lang w:val="en-US" w:eastAsia="zh-CN" w:bidi="ar-SA"/>
            </w:rPr>
            <w:fldChar w:fldCharType="begin"/>
          </w:r>
          <w:r>
            <w:rPr>
              <w:rFonts w:hint="eastAsia" w:ascii="Times New Roman" w:hAnsi="Times New Roman" w:eastAsia="方正仿宋_GBK" w:cs="Times New Roman"/>
              <w:kern w:val="2"/>
              <w:sz w:val="32"/>
              <w:szCs w:val="32"/>
              <w:highlight w:val="none"/>
              <w:lang w:val="en-US" w:eastAsia="zh-CN" w:bidi="ar-SA"/>
            </w:rPr>
            <w:instrText xml:space="preserve"> PAGEREF _Toc10261 \h </w:instrText>
          </w:r>
          <w:r>
            <w:rPr>
              <w:rFonts w:hint="eastAsia" w:ascii="Times New Roman" w:hAnsi="Times New Roman" w:eastAsia="方正仿宋_GBK" w:cs="Times New Roman"/>
              <w:kern w:val="2"/>
              <w:sz w:val="32"/>
              <w:szCs w:val="32"/>
              <w:highlight w:val="none"/>
              <w:lang w:val="en-US" w:eastAsia="zh-CN" w:bidi="ar-SA"/>
            </w:rPr>
            <w:fldChar w:fldCharType="separate"/>
          </w:r>
          <w:r>
            <w:rPr>
              <w:rFonts w:hint="eastAsia" w:ascii="Times New Roman" w:hAnsi="Times New Roman" w:eastAsia="方正仿宋_GBK" w:cs="Times New Roman"/>
              <w:kern w:val="2"/>
              <w:sz w:val="32"/>
              <w:szCs w:val="32"/>
              <w:highlight w:val="none"/>
              <w:lang w:val="en-US" w:eastAsia="zh-CN" w:bidi="ar-SA"/>
            </w:rPr>
            <w:t>6</w:t>
          </w:r>
          <w:r>
            <w:rPr>
              <w:rFonts w:hint="eastAsia" w:ascii="Times New Roman" w:hAnsi="Times New Roman" w:eastAsia="方正仿宋_GBK" w:cs="Times New Roman"/>
              <w:kern w:val="2"/>
              <w:sz w:val="32"/>
              <w:szCs w:val="32"/>
              <w:highlight w:val="none"/>
              <w:lang w:val="en-US" w:eastAsia="zh-CN" w:bidi="ar-SA"/>
            </w:rPr>
            <w:fldChar w:fldCharType="end"/>
          </w:r>
          <w:r>
            <w:rPr>
              <w:rFonts w:hint="eastAsia" w:ascii="Times New Roman" w:hAnsi="Times New Roman" w:eastAsia="方正仿宋_GBK" w:cs="Times New Roman"/>
              <w:kern w:val="2"/>
              <w:sz w:val="32"/>
              <w:szCs w:val="32"/>
              <w:highlight w:val="none"/>
              <w:lang w:val="en-US" w:eastAsia="zh-CN" w:bidi="ar-SA"/>
            </w:rPr>
            <w:fldChar w:fldCharType="end"/>
          </w:r>
        </w:p>
        <w:p>
          <w:pPr>
            <w:pStyle w:val="9"/>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Times New Roman" w:hAnsi="Times New Roman" w:eastAsia="方正仿宋_GBK" w:cs="Times New Roman"/>
              <w:kern w:val="2"/>
              <w:sz w:val="32"/>
              <w:szCs w:val="32"/>
              <w:highlight w:val="none"/>
              <w:lang w:val="en-US" w:eastAsia="zh-CN" w:bidi="ar-SA"/>
            </w:rPr>
            <w:fldChar w:fldCharType="begin"/>
          </w:r>
          <w:r>
            <w:rPr>
              <w:rFonts w:hint="eastAsia" w:ascii="Times New Roman" w:hAnsi="Times New Roman" w:eastAsia="方正仿宋_GBK" w:cs="Times New Roman"/>
              <w:kern w:val="2"/>
              <w:sz w:val="32"/>
              <w:szCs w:val="32"/>
              <w:highlight w:val="none"/>
              <w:lang w:val="en-US" w:eastAsia="zh-CN" w:bidi="ar-SA"/>
            </w:rPr>
            <w:instrText xml:space="preserve"> HYPERLINK \l _Toc18649 </w:instrText>
          </w:r>
          <w:r>
            <w:rPr>
              <w:rFonts w:hint="eastAsia" w:ascii="Times New Roman" w:hAnsi="Times New Roman" w:eastAsia="方正仿宋_GBK" w:cs="Times New Roman"/>
              <w:kern w:val="2"/>
              <w:sz w:val="32"/>
              <w:szCs w:val="32"/>
              <w:highlight w:val="none"/>
              <w:lang w:val="en-US" w:eastAsia="zh-CN" w:bidi="ar-SA"/>
            </w:rPr>
            <w:fldChar w:fldCharType="separate"/>
          </w:r>
          <w:r>
            <w:rPr>
              <w:rFonts w:hint="eastAsia" w:ascii="Times New Roman" w:hAnsi="Times New Roman" w:eastAsia="方正仿宋_GBK" w:cs="Times New Roman"/>
              <w:kern w:val="2"/>
              <w:sz w:val="32"/>
              <w:szCs w:val="32"/>
              <w:highlight w:val="none"/>
              <w:lang w:val="en-US" w:eastAsia="zh-CN" w:bidi="ar-SA"/>
            </w:rPr>
            <w:t>五、存在的问题和建议</w:t>
          </w:r>
          <w:r>
            <w:rPr>
              <w:rFonts w:hint="eastAsia" w:ascii="Times New Roman" w:hAnsi="Times New Roman" w:eastAsia="方正仿宋_GBK" w:cs="Times New Roman"/>
              <w:kern w:val="2"/>
              <w:sz w:val="32"/>
              <w:szCs w:val="32"/>
              <w:highlight w:val="none"/>
              <w:lang w:val="en-US" w:eastAsia="zh-CN" w:bidi="ar-SA"/>
            </w:rPr>
            <w:tab/>
          </w:r>
          <w:r>
            <w:rPr>
              <w:rFonts w:hint="eastAsia" w:ascii="Times New Roman" w:hAnsi="Times New Roman" w:eastAsia="方正仿宋_GBK" w:cs="Times New Roman"/>
              <w:kern w:val="2"/>
              <w:sz w:val="32"/>
              <w:szCs w:val="32"/>
              <w:highlight w:val="none"/>
              <w:lang w:val="en-US" w:eastAsia="zh-CN" w:bidi="ar-SA"/>
            </w:rPr>
            <w:fldChar w:fldCharType="begin"/>
          </w:r>
          <w:r>
            <w:rPr>
              <w:rFonts w:hint="eastAsia" w:ascii="Times New Roman" w:hAnsi="Times New Roman" w:eastAsia="方正仿宋_GBK" w:cs="Times New Roman"/>
              <w:kern w:val="2"/>
              <w:sz w:val="32"/>
              <w:szCs w:val="32"/>
              <w:highlight w:val="none"/>
              <w:lang w:val="en-US" w:eastAsia="zh-CN" w:bidi="ar-SA"/>
            </w:rPr>
            <w:instrText xml:space="preserve"> PAGEREF _Toc18649 \h </w:instrText>
          </w:r>
          <w:r>
            <w:rPr>
              <w:rFonts w:hint="eastAsia" w:ascii="Times New Roman" w:hAnsi="Times New Roman" w:eastAsia="方正仿宋_GBK" w:cs="Times New Roman"/>
              <w:kern w:val="2"/>
              <w:sz w:val="32"/>
              <w:szCs w:val="32"/>
              <w:highlight w:val="none"/>
              <w:lang w:val="en-US" w:eastAsia="zh-CN" w:bidi="ar-SA"/>
            </w:rPr>
            <w:fldChar w:fldCharType="separate"/>
          </w:r>
          <w:r>
            <w:rPr>
              <w:rFonts w:hint="eastAsia" w:ascii="Times New Roman" w:hAnsi="Times New Roman" w:eastAsia="方正仿宋_GBK" w:cs="Times New Roman"/>
              <w:kern w:val="2"/>
              <w:sz w:val="32"/>
              <w:szCs w:val="32"/>
              <w:highlight w:val="none"/>
              <w:lang w:val="en-US" w:eastAsia="zh-CN" w:bidi="ar-SA"/>
            </w:rPr>
            <w:t>7</w:t>
          </w:r>
          <w:r>
            <w:rPr>
              <w:rFonts w:hint="eastAsia" w:ascii="Times New Roman" w:hAnsi="Times New Roman" w:eastAsia="方正仿宋_GBK" w:cs="Times New Roman"/>
              <w:kern w:val="2"/>
              <w:sz w:val="32"/>
              <w:szCs w:val="32"/>
              <w:highlight w:val="none"/>
              <w:lang w:val="en-US" w:eastAsia="zh-CN" w:bidi="ar-SA"/>
            </w:rPr>
            <w:fldChar w:fldCharType="end"/>
          </w:r>
          <w:r>
            <w:rPr>
              <w:rFonts w:hint="eastAsia" w:ascii="Times New Roman" w:hAnsi="Times New Roman" w:eastAsia="方正仿宋_GBK" w:cs="Times New Roman"/>
              <w:kern w:val="2"/>
              <w:sz w:val="32"/>
              <w:szCs w:val="32"/>
              <w:highlight w:val="none"/>
              <w:lang w:val="en-US" w:eastAsia="zh-CN" w:bidi="ar-SA"/>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_Toc21432 </w:instrText>
          </w:r>
          <w:r>
            <w:rPr>
              <w:rFonts w:hint="eastAsia" w:ascii="方正仿宋_GBK" w:hAnsi="方正仿宋_GBK" w:eastAsia="方正仿宋_GBK" w:cs="方正仿宋_GBK"/>
              <w:sz w:val="32"/>
              <w:szCs w:val="32"/>
            </w:rPr>
            <w:fldChar w:fldCharType="separate"/>
          </w:r>
          <w:r>
            <w:rPr>
              <w:rFonts w:eastAsia="方正仿宋_GBK"/>
              <w:sz w:val="32"/>
              <w:szCs w:val="32"/>
              <w:highlight w:val="none"/>
            </w:rPr>
            <w:t>（一）</w:t>
          </w:r>
          <w:r>
            <w:rPr>
              <w:rFonts w:hint="eastAsia" w:eastAsia="方正仿宋_GBK"/>
              <w:sz w:val="32"/>
              <w:szCs w:val="32"/>
              <w:highlight w:val="none"/>
              <w:lang w:eastAsia="zh-CN"/>
            </w:rPr>
            <w:t>存在的问题</w:t>
          </w:r>
          <w:r>
            <w:rPr>
              <w:sz w:val="32"/>
              <w:szCs w:val="32"/>
            </w:rPr>
            <w:tab/>
          </w:r>
          <w:r>
            <w:rPr>
              <w:sz w:val="32"/>
              <w:szCs w:val="32"/>
            </w:rPr>
            <w:fldChar w:fldCharType="begin"/>
          </w:r>
          <w:r>
            <w:rPr>
              <w:sz w:val="32"/>
              <w:szCs w:val="32"/>
            </w:rPr>
            <w:instrText xml:space="preserve"> PAGEREF _Toc21432 \h </w:instrText>
          </w:r>
          <w:r>
            <w:rPr>
              <w:sz w:val="32"/>
              <w:szCs w:val="32"/>
            </w:rPr>
            <w:fldChar w:fldCharType="separate"/>
          </w:r>
          <w:r>
            <w:rPr>
              <w:sz w:val="32"/>
              <w:szCs w:val="32"/>
            </w:rPr>
            <w:t>7</w:t>
          </w:r>
          <w:r>
            <w:rPr>
              <w:sz w:val="32"/>
              <w:szCs w:val="32"/>
            </w:rPr>
            <w:fldChar w:fldCharType="end"/>
          </w:r>
          <w:r>
            <w:rPr>
              <w:rFonts w:hint="eastAsia" w:ascii="方正仿宋_GBK" w:hAnsi="方正仿宋_GBK" w:eastAsia="方正仿宋_GBK" w:cs="方正仿宋_GBK"/>
              <w:sz w:val="32"/>
              <w:szCs w:val="32"/>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_Toc3020 </w:instrText>
          </w:r>
          <w:r>
            <w:rPr>
              <w:rFonts w:hint="eastAsia" w:ascii="方正仿宋_GBK" w:hAnsi="方正仿宋_GBK" w:eastAsia="方正仿宋_GBK" w:cs="方正仿宋_GBK"/>
              <w:sz w:val="32"/>
              <w:szCs w:val="32"/>
            </w:rPr>
            <w:fldChar w:fldCharType="separate"/>
          </w:r>
          <w:r>
            <w:rPr>
              <w:rFonts w:hint="eastAsia" w:eastAsia="方正仿宋_GBK"/>
              <w:sz w:val="32"/>
              <w:szCs w:val="32"/>
              <w:highlight w:val="none"/>
              <w:lang w:val="en-US" w:eastAsia="zh-CN"/>
            </w:rPr>
            <w:t>（二）建议</w:t>
          </w:r>
          <w:r>
            <w:rPr>
              <w:sz w:val="32"/>
              <w:szCs w:val="32"/>
            </w:rPr>
            <w:tab/>
          </w:r>
          <w:r>
            <w:rPr>
              <w:sz w:val="32"/>
              <w:szCs w:val="32"/>
            </w:rPr>
            <w:fldChar w:fldCharType="begin"/>
          </w:r>
          <w:r>
            <w:rPr>
              <w:sz w:val="32"/>
              <w:szCs w:val="32"/>
            </w:rPr>
            <w:instrText xml:space="preserve"> PAGEREF _Toc3020 \h </w:instrText>
          </w:r>
          <w:r>
            <w:rPr>
              <w:sz w:val="32"/>
              <w:szCs w:val="32"/>
            </w:rPr>
            <w:fldChar w:fldCharType="separate"/>
          </w:r>
          <w:r>
            <w:rPr>
              <w:sz w:val="32"/>
              <w:szCs w:val="32"/>
            </w:rPr>
            <w:t>7</w:t>
          </w:r>
          <w:r>
            <w:rPr>
              <w:sz w:val="32"/>
              <w:szCs w:val="32"/>
            </w:rPr>
            <w:fldChar w:fldCharType="end"/>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szCs w:val="32"/>
            </w:rPr>
            <w:fldChar w:fldCharType="end"/>
          </w:r>
        </w:p>
      </w:sdtContent>
    </w:sdt>
    <w:p>
      <w:pPr>
        <w:spacing w:line="560" w:lineRule="exact"/>
        <w:ind w:firstLine="640" w:firstLineChars="200"/>
        <w:rPr>
          <w:rFonts w:hint="eastAsia" w:ascii="方正仿宋_GBK" w:hAnsi="方正仿宋_GBK" w:eastAsia="方正仿宋_GBK" w:cs="方正仿宋_GBK"/>
          <w:color w:val="auto"/>
          <w:sz w:val="32"/>
          <w:szCs w:val="32"/>
          <w:highlight w:val="none"/>
        </w:rPr>
        <w:sectPr>
          <w:pgSz w:w="11906" w:h="16838"/>
          <w:pgMar w:top="1588" w:right="1474" w:bottom="1588" w:left="1474" w:header="851" w:footer="992" w:gutter="0"/>
          <w:pgNumType w:fmt="decimal" w:start="1"/>
          <w:cols w:space="425" w:num="1"/>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为加强财政资金的管理，提高财政资金的使用效益。根据《重庆市财政局关于加快推进预算绩效管理工作的通知》（渝财绩〔2022〕1号）、《重庆市璧山区财政局关于开展2021年度预算绩效自评工作的通知》（璧财绩〔2022〕2号）文件要求，形成2021年度部门整体支出绩效自评报告如下：</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0" w:name="_Toc3398"/>
      <w:r>
        <w:rPr>
          <w:rFonts w:hint="eastAsia" w:ascii="仿宋" w:hAnsi="仿宋" w:eastAsia="仿宋" w:cs="仿宋"/>
          <w:i w:val="0"/>
          <w:iCs w:val="0"/>
          <w:color w:val="auto"/>
          <w:kern w:val="0"/>
          <w:sz w:val="32"/>
          <w:szCs w:val="32"/>
          <w:highlight w:val="none"/>
          <w:u w:val="none"/>
          <w:lang w:val="en-US" w:eastAsia="zh-CN" w:bidi="ar"/>
        </w:rPr>
        <w:t>一、基本情况</w:t>
      </w:r>
      <w:bookmarkEnd w:id="0"/>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1" w:name="_Toc14383"/>
      <w:r>
        <w:rPr>
          <w:rFonts w:hint="eastAsia" w:ascii="仿宋" w:hAnsi="仿宋" w:eastAsia="仿宋" w:cs="仿宋"/>
          <w:i w:val="0"/>
          <w:iCs w:val="0"/>
          <w:color w:val="auto"/>
          <w:kern w:val="0"/>
          <w:sz w:val="32"/>
          <w:szCs w:val="32"/>
          <w:highlight w:val="none"/>
          <w:u w:val="none"/>
          <w:lang w:val="en-US" w:eastAsia="zh-CN" w:bidi="ar"/>
        </w:rPr>
        <w:t>（一）部门基本情况</w:t>
      </w:r>
      <w:bookmarkEnd w:id="1"/>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2" w:name="_Toc2212"/>
      <w:bookmarkStart w:id="3" w:name="_Toc1905"/>
      <w:bookmarkStart w:id="4" w:name="_Toc32760"/>
      <w:r>
        <w:rPr>
          <w:rFonts w:hint="eastAsia" w:ascii="仿宋" w:hAnsi="仿宋" w:eastAsia="仿宋" w:cs="仿宋"/>
          <w:i w:val="0"/>
          <w:iCs w:val="0"/>
          <w:color w:val="auto"/>
          <w:kern w:val="0"/>
          <w:sz w:val="32"/>
          <w:szCs w:val="32"/>
          <w:highlight w:val="none"/>
          <w:u w:val="none"/>
          <w:lang w:val="en-US" w:eastAsia="zh-CN" w:bidi="ar"/>
        </w:rPr>
        <w:t>1、部门职级</w:t>
      </w:r>
      <w:bookmarkEnd w:id="2"/>
      <w:bookmarkEnd w:id="3"/>
      <w:bookmarkEnd w:id="4"/>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重庆市璧山区水利水库服务中心为区水利局管理的财政部分补助公益二类事业单位，按副处级管理。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5" w:name="_Toc4931"/>
      <w:bookmarkStart w:id="6" w:name="_Toc4738"/>
      <w:bookmarkStart w:id="7" w:name="_Toc20205"/>
      <w:r>
        <w:rPr>
          <w:rFonts w:hint="eastAsia" w:ascii="仿宋" w:hAnsi="仿宋" w:eastAsia="仿宋" w:cs="仿宋"/>
          <w:i w:val="0"/>
          <w:iCs w:val="0"/>
          <w:color w:val="auto"/>
          <w:kern w:val="0"/>
          <w:sz w:val="32"/>
          <w:szCs w:val="32"/>
          <w:highlight w:val="none"/>
          <w:u w:val="none"/>
          <w:lang w:val="en-US" w:eastAsia="zh-CN" w:bidi="ar"/>
        </w:rPr>
        <w:t>2、内设机构及编制</w:t>
      </w:r>
      <w:bookmarkEnd w:id="5"/>
      <w:bookmarkEnd w:id="6"/>
      <w:bookmarkEnd w:id="7"/>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重庆市璧山区水利水库服务中心设下列内设机构：</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设内设机构7个：综合科、财务审计科、建设管理科、工程运行管理科、璧中水利水库管理科、璧南水利水库管理科、璧北水利水库管理科。</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核定事业编制31名（干部)。核定领导职数3名，其中、主任1名，副主任2名。核定内设机构领导职数8名（7正1副)。</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8" w:name="_Toc19963"/>
      <w:bookmarkStart w:id="9" w:name="_Toc17977"/>
      <w:bookmarkStart w:id="10" w:name="_Toc3294"/>
      <w:r>
        <w:rPr>
          <w:rFonts w:hint="eastAsia" w:ascii="仿宋" w:hAnsi="仿宋" w:eastAsia="仿宋" w:cs="仿宋"/>
          <w:i w:val="0"/>
          <w:iCs w:val="0"/>
          <w:color w:val="auto"/>
          <w:kern w:val="0"/>
          <w:sz w:val="32"/>
          <w:szCs w:val="32"/>
          <w:highlight w:val="none"/>
          <w:u w:val="none"/>
          <w:lang w:val="en-US" w:eastAsia="zh-CN" w:bidi="ar"/>
        </w:rPr>
        <w:t>3、职能职责</w:t>
      </w:r>
      <w:bookmarkEnd w:id="8"/>
      <w:bookmarkEnd w:id="9"/>
      <w:bookmarkEnd w:id="10"/>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w:t>
      </w:r>
      <w:r>
        <w:rPr>
          <w:rFonts w:hint="default" w:ascii="仿宋" w:hAnsi="仿宋" w:eastAsia="仿宋" w:cs="仿宋"/>
          <w:i w:val="0"/>
          <w:iCs w:val="0"/>
          <w:color w:val="auto"/>
          <w:kern w:val="0"/>
          <w:sz w:val="32"/>
          <w:szCs w:val="32"/>
          <w:highlight w:val="none"/>
          <w:u w:val="none"/>
          <w:lang w:val="en-US" w:eastAsia="zh-CN" w:bidi="ar"/>
        </w:rPr>
        <w:t>贯彻《中华人民共和国水法》、《重庆市水利工程管理条例》等法律、法规和规章</w:t>
      </w:r>
      <w:r>
        <w:rPr>
          <w:rFonts w:hint="eastAsia" w:ascii="仿宋" w:hAnsi="仿宋" w:eastAsia="仿宋" w:cs="仿宋"/>
          <w:i w:val="0"/>
          <w:iCs w:val="0"/>
          <w:color w:val="auto"/>
          <w:kern w:val="0"/>
          <w:sz w:val="32"/>
          <w:szCs w:val="32"/>
          <w:highlight w:val="none"/>
          <w:u w:val="none"/>
          <w:lang w:val="en-US" w:eastAsia="zh-CN" w:bidi="ar"/>
        </w:rPr>
        <w:t>。</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（2）</w:t>
      </w:r>
      <w:r>
        <w:rPr>
          <w:rFonts w:hint="default" w:ascii="仿宋" w:hAnsi="仿宋" w:eastAsia="仿宋" w:cs="仿宋"/>
          <w:i w:val="0"/>
          <w:iCs w:val="0"/>
          <w:color w:val="auto"/>
          <w:kern w:val="0"/>
          <w:sz w:val="32"/>
          <w:szCs w:val="32"/>
          <w:highlight w:val="none"/>
          <w:u w:val="none"/>
          <w:lang w:val="en-US" w:eastAsia="zh-CN" w:bidi="ar"/>
        </w:rPr>
        <w:t>负责辖区内并指导全区水库工情、水情、雨情等观测和工程安全检查，承担工程安全鉴定的事务性工作，制定安全制度</w:t>
      </w:r>
      <w:r>
        <w:rPr>
          <w:rFonts w:hint="eastAsia" w:ascii="仿宋" w:hAnsi="仿宋" w:eastAsia="仿宋" w:cs="仿宋"/>
          <w:i w:val="0"/>
          <w:iCs w:val="0"/>
          <w:color w:val="auto"/>
          <w:kern w:val="0"/>
          <w:sz w:val="32"/>
          <w:szCs w:val="32"/>
          <w:highlight w:val="none"/>
          <w:u w:val="none"/>
          <w:lang w:val="en-US" w:eastAsia="zh-CN" w:bidi="ar"/>
        </w:rPr>
        <w:t>；</w:t>
      </w:r>
      <w:r>
        <w:rPr>
          <w:rFonts w:hint="default" w:ascii="仿宋" w:hAnsi="仿宋" w:eastAsia="仿宋" w:cs="仿宋"/>
          <w:i w:val="0"/>
          <w:iCs w:val="0"/>
          <w:color w:val="auto"/>
          <w:kern w:val="0"/>
          <w:sz w:val="32"/>
          <w:szCs w:val="32"/>
          <w:highlight w:val="none"/>
          <w:u w:val="none"/>
          <w:lang w:val="en-US" w:eastAsia="zh-CN" w:bidi="ar"/>
        </w:rPr>
        <w:t>编制病险水库等工程的除险加固整治方案并实施</w:t>
      </w:r>
      <w:r>
        <w:rPr>
          <w:rFonts w:hint="eastAsia" w:ascii="仿宋" w:hAnsi="仿宋" w:eastAsia="仿宋" w:cs="仿宋"/>
          <w:i w:val="0"/>
          <w:iCs w:val="0"/>
          <w:color w:val="auto"/>
          <w:kern w:val="0"/>
          <w:sz w:val="32"/>
          <w:szCs w:val="32"/>
          <w:highlight w:val="none"/>
          <w:u w:val="none"/>
          <w:lang w:val="en-US" w:eastAsia="zh-CN" w:bidi="ar"/>
        </w:rPr>
        <w:t>。</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（3）</w:t>
      </w:r>
      <w:r>
        <w:rPr>
          <w:rFonts w:hint="default" w:ascii="仿宋" w:hAnsi="仿宋" w:eastAsia="仿宋" w:cs="仿宋"/>
          <w:i w:val="0"/>
          <w:iCs w:val="0"/>
          <w:color w:val="auto"/>
          <w:kern w:val="0"/>
          <w:sz w:val="32"/>
          <w:szCs w:val="32"/>
          <w:highlight w:val="none"/>
          <w:u w:val="none"/>
          <w:lang w:val="en-US" w:eastAsia="zh-CN" w:bidi="ar"/>
        </w:rPr>
        <w:t>承担辖区内水库测汛、报汛、防汛抗洪和抗旱等有关工作</w:t>
      </w:r>
      <w:r>
        <w:rPr>
          <w:rFonts w:hint="eastAsia" w:ascii="仿宋" w:hAnsi="仿宋" w:eastAsia="仿宋" w:cs="仿宋"/>
          <w:i w:val="0"/>
          <w:iCs w:val="0"/>
          <w:color w:val="auto"/>
          <w:kern w:val="0"/>
          <w:sz w:val="32"/>
          <w:szCs w:val="32"/>
          <w:highlight w:val="none"/>
          <w:u w:val="none"/>
          <w:lang w:val="en-US" w:eastAsia="zh-CN" w:bidi="ar"/>
        </w:rPr>
        <w:t>。</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（4）</w:t>
      </w:r>
      <w:r>
        <w:rPr>
          <w:rFonts w:hint="default" w:ascii="仿宋" w:hAnsi="仿宋" w:eastAsia="仿宋" w:cs="仿宋"/>
          <w:i w:val="0"/>
          <w:iCs w:val="0"/>
          <w:color w:val="auto"/>
          <w:kern w:val="0"/>
          <w:sz w:val="32"/>
          <w:szCs w:val="32"/>
          <w:highlight w:val="none"/>
          <w:u w:val="none"/>
          <w:lang w:val="en-US" w:eastAsia="zh-CN" w:bidi="ar"/>
        </w:rPr>
        <w:t>负责直管水库并指导全区水库水质保护和水土保持工作</w:t>
      </w:r>
      <w:r>
        <w:rPr>
          <w:rFonts w:hint="eastAsia" w:ascii="仿宋" w:hAnsi="仿宋" w:eastAsia="仿宋" w:cs="仿宋"/>
          <w:i w:val="0"/>
          <w:iCs w:val="0"/>
          <w:color w:val="auto"/>
          <w:kern w:val="0"/>
          <w:sz w:val="32"/>
          <w:szCs w:val="32"/>
          <w:highlight w:val="none"/>
          <w:u w:val="none"/>
          <w:lang w:val="en-US" w:eastAsia="zh-CN" w:bidi="ar"/>
        </w:rPr>
        <w:t>。</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（5）</w:t>
      </w:r>
      <w:r>
        <w:rPr>
          <w:rFonts w:hint="default" w:ascii="仿宋" w:hAnsi="仿宋" w:eastAsia="仿宋" w:cs="仿宋"/>
          <w:i w:val="0"/>
          <w:iCs w:val="0"/>
          <w:color w:val="auto"/>
          <w:kern w:val="0"/>
          <w:sz w:val="32"/>
          <w:szCs w:val="32"/>
          <w:highlight w:val="none"/>
          <w:u w:val="none"/>
          <w:lang w:val="en-US" w:eastAsia="zh-CN" w:bidi="ar"/>
        </w:rPr>
        <w:t>负责直管水库并指导全区已成水库及设施的运行维护</w:t>
      </w:r>
      <w:r>
        <w:rPr>
          <w:rFonts w:hint="eastAsia" w:ascii="仿宋" w:hAnsi="仿宋" w:eastAsia="仿宋" w:cs="仿宋"/>
          <w:i w:val="0"/>
          <w:iCs w:val="0"/>
          <w:color w:val="auto"/>
          <w:kern w:val="0"/>
          <w:sz w:val="32"/>
          <w:szCs w:val="32"/>
          <w:highlight w:val="none"/>
          <w:u w:val="none"/>
          <w:lang w:val="en-US" w:eastAsia="zh-CN" w:bidi="ar"/>
        </w:rPr>
        <w:t>，</w:t>
      </w:r>
      <w:r>
        <w:rPr>
          <w:rFonts w:hint="default" w:ascii="仿宋" w:hAnsi="仿宋" w:eastAsia="仿宋" w:cs="仿宋"/>
          <w:i w:val="0"/>
          <w:iCs w:val="0"/>
          <w:color w:val="auto"/>
          <w:kern w:val="0"/>
          <w:sz w:val="32"/>
          <w:szCs w:val="32"/>
          <w:highlight w:val="none"/>
          <w:u w:val="none"/>
          <w:lang w:val="en-US" w:eastAsia="zh-CN" w:bidi="ar"/>
        </w:rPr>
        <w:t>为水利设施的保护和综合利用提供服务</w:t>
      </w:r>
      <w:r>
        <w:rPr>
          <w:rFonts w:hint="eastAsia" w:ascii="仿宋" w:hAnsi="仿宋" w:eastAsia="仿宋" w:cs="仿宋"/>
          <w:i w:val="0"/>
          <w:iCs w:val="0"/>
          <w:color w:val="auto"/>
          <w:kern w:val="0"/>
          <w:sz w:val="32"/>
          <w:szCs w:val="32"/>
          <w:highlight w:val="none"/>
          <w:u w:val="none"/>
          <w:lang w:val="en-US" w:eastAsia="zh-CN" w:bidi="ar"/>
        </w:rPr>
        <w:t>。</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（6）</w:t>
      </w:r>
      <w:r>
        <w:rPr>
          <w:rFonts w:hint="default" w:ascii="仿宋" w:hAnsi="仿宋" w:eastAsia="仿宋" w:cs="仿宋"/>
          <w:i w:val="0"/>
          <w:iCs w:val="0"/>
          <w:color w:val="auto"/>
          <w:kern w:val="0"/>
          <w:sz w:val="32"/>
          <w:szCs w:val="32"/>
          <w:highlight w:val="none"/>
          <w:u w:val="none"/>
          <w:lang w:val="en-US" w:eastAsia="zh-CN" w:bidi="ar"/>
        </w:rPr>
        <w:t>承担水库设施的注册登记、安全检查、监测工作，收集大中型水库、水电站等水利工程生产调度和蓄（泄）水调度汁划</w:t>
      </w:r>
      <w:r>
        <w:rPr>
          <w:rFonts w:hint="eastAsia" w:ascii="仿宋" w:hAnsi="仿宋" w:eastAsia="仿宋" w:cs="仿宋"/>
          <w:i w:val="0"/>
          <w:iCs w:val="0"/>
          <w:color w:val="auto"/>
          <w:kern w:val="0"/>
          <w:sz w:val="32"/>
          <w:szCs w:val="32"/>
          <w:highlight w:val="none"/>
          <w:u w:val="none"/>
          <w:lang w:val="en-US" w:eastAsia="zh-CN" w:bidi="ar"/>
        </w:rPr>
        <w:t>。</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（7）</w:t>
      </w:r>
      <w:r>
        <w:rPr>
          <w:rFonts w:hint="default" w:ascii="仿宋" w:hAnsi="仿宋" w:eastAsia="仿宋" w:cs="仿宋"/>
          <w:i w:val="0"/>
          <w:iCs w:val="0"/>
          <w:color w:val="auto"/>
          <w:kern w:val="0"/>
          <w:sz w:val="32"/>
          <w:szCs w:val="32"/>
          <w:highlight w:val="none"/>
          <w:u w:val="none"/>
          <w:lang w:val="en-US" w:eastAsia="zh-CN" w:bidi="ar"/>
        </w:rPr>
        <w:t>承办主管部门交办的其他事项</w:t>
      </w:r>
      <w:r>
        <w:rPr>
          <w:rFonts w:hint="eastAsia" w:ascii="仿宋" w:hAnsi="仿宋" w:eastAsia="仿宋" w:cs="仿宋"/>
          <w:i w:val="0"/>
          <w:iCs w:val="0"/>
          <w:color w:val="auto"/>
          <w:kern w:val="0"/>
          <w:sz w:val="32"/>
          <w:szCs w:val="32"/>
          <w:highlight w:val="none"/>
          <w:u w:val="none"/>
          <w:lang w:val="en-US" w:eastAsia="zh-CN" w:bidi="ar"/>
        </w:rPr>
        <w:t>。</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11" w:name="_Toc27460"/>
      <w:r>
        <w:rPr>
          <w:rFonts w:hint="eastAsia" w:ascii="仿宋" w:hAnsi="仿宋" w:eastAsia="仿宋" w:cs="仿宋"/>
          <w:i w:val="0"/>
          <w:iCs w:val="0"/>
          <w:color w:val="auto"/>
          <w:kern w:val="0"/>
          <w:sz w:val="32"/>
          <w:szCs w:val="32"/>
          <w:highlight w:val="none"/>
          <w:u w:val="none"/>
          <w:lang w:val="en-US" w:eastAsia="zh-CN" w:bidi="ar"/>
        </w:rPr>
        <w:t>（二）预算及支出情况</w:t>
      </w:r>
      <w:bookmarkEnd w:id="11"/>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12" w:name="_Toc32094"/>
      <w:r>
        <w:rPr>
          <w:rFonts w:hint="eastAsia" w:ascii="仿宋" w:hAnsi="仿宋" w:eastAsia="仿宋" w:cs="仿宋"/>
          <w:i w:val="0"/>
          <w:iCs w:val="0"/>
          <w:color w:val="auto"/>
          <w:kern w:val="0"/>
          <w:sz w:val="32"/>
          <w:szCs w:val="32"/>
          <w:highlight w:val="none"/>
          <w:u w:val="none"/>
          <w:lang w:val="en-US" w:eastAsia="zh-CN" w:bidi="ar"/>
        </w:rPr>
        <w:t>1、财政资金整体支出</w:t>
      </w:r>
      <w:bookmarkEnd w:id="12"/>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2021年财政资金年初支出预算为1925.80万元，年中调整预算为1388.47万元，上年结转0万元，调整后支出预算为1388.47万元；年末支出决算为1388.47万元，年末结转和结余为0万元。</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13" w:name="_Toc21088"/>
      <w:r>
        <w:rPr>
          <w:rFonts w:hint="eastAsia" w:ascii="仿宋" w:hAnsi="仿宋" w:eastAsia="仿宋" w:cs="仿宋"/>
          <w:i w:val="0"/>
          <w:iCs w:val="0"/>
          <w:color w:val="auto"/>
          <w:kern w:val="0"/>
          <w:sz w:val="32"/>
          <w:szCs w:val="32"/>
          <w:highlight w:val="none"/>
          <w:u w:val="none"/>
          <w:lang w:val="en-US" w:eastAsia="zh-CN" w:bidi="ar"/>
        </w:rPr>
        <w:t>2、部门“三公”经费支出</w:t>
      </w:r>
      <w:bookmarkEnd w:id="13"/>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2021年“三公”经费支出8.61万元。其中：公务接待费0.54万元，国内公务接待批次5个，国内公务接待人次85人；公务用车运行维护费8.06万元，公务用车保有量2辆。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14" w:name="_Toc14300"/>
      <w:r>
        <w:rPr>
          <w:rFonts w:hint="eastAsia" w:ascii="仿宋" w:hAnsi="仿宋" w:eastAsia="仿宋" w:cs="仿宋"/>
          <w:i w:val="0"/>
          <w:iCs w:val="0"/>
          <w:color w:val="auto"/>
          <w:kern w:val="0"/>
          <w:sz w:val="32"/>
          <w:szCs w:val="32"/>
          <w:highlight w:val="none"/>
          <w:u w:val="none"/>
          <w:lang w:val="en-US" w:eastAsia="zh-CN" w:bidi="ar"/>
        </w:rPr>
        <w:t>二、绩效评价基本情况</w:t>
      </w:r>
      <w:bookmarkEnd w:id="14"/>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15" w:name="_Toc1678"/>
      <w:r>
        <w:rPr>
          <w:rFonts w:hint="eastAsia" w:ascii="仿宋" w:hAnsi="仿宋" w:eastAsia="仿宋" w:cs="仿宋"/>
          <w:i w:val="0"/>
          <w:iCs w:val="0"/>
          <w:color w:val="auto"/>
          <w:kern w:val="0"/>
          <w:sz w:val="32"/>
          <w:szCs w:val="32"/>
          <w:highlight w:val="none"/>
          <w:u w:val="none"/>
          <w:lang w:val="en-US" w:eastAsia="zh-CN" w:bidi="ar"/>
        </w:rPr>
        <w:t>（一）绩效评价目的</w:t>
      </w:r>
      <w:bookmarkEnd w:id="15"/>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为加强预算执行分析，规范财务管理，强化财政资金跟踪问效和绩效管理，建立对下属预算单位的监督、指导机制，及时发现问题并采取有效措施解决，组织开展部门2021年整体支出绩效自评。</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16" w:name="_Toc22261"/>
      <w:r>
        <w:rPr>
          <w:rFonts w:hint="eastAsia" w:ascii="仿宋" w:hAnsi="仿宋" w:eastAsia="仿宋" w:cs="仿宋"/>
          <w:i w:val="0"/>
          <w:iCs w:val="0"/>
          <w:color w:val="auto"/>
          <w:kern w:val="0"/>
          <w:sz w:val="32"/>
          <w:szCs w:val="32"/>
          <w:highlight w:val="none"/>
          <w:u w:val="none"/>
          <w:lang w:val="en-US" w:eastAsia="zh-CN" w:bidi="ar"/>
        </w:rPr>
        <w:t>（二）绩效评价原则</w:t>
      </w:r>
      <w:bookmarkEnd w:id="16"/>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绩效评价原则包括科学规范原则、公开公正原则、分级分类原则、绩效相关原则。</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17" w:name="_Toc17638"/>
      <w:bookmarkStart w:id="18" w:name="_Toc17012"/>
      <w:r>
        <w:rPr>
          <w:rFonts w:hint="eastAsia" w:ascii="仿宋" w:hAnsi="仿宋" w:eastAsia="仿宋" w:cs="仿宋"/>
          <w:i w:val="0"/>
          <w:iCs w:val="0"/>
          <w:color w:val="auto"/>
          <w:kern w:val="0"/>
          <w:sz w:val="32"/>
          <w:szCs w:val="32"/>
          <w:highlight w:val="none"/>
          <w:u w:val="none"/>
          <w:lang w:val="en-US" w:eastAsia="zh-CN" w:bidi="ar"/>
        </w:rPr>
        <w:t>（三）绩效评价工作过程</w:t>
      </w:r>
      <w:bookmarkEnd w:id="17"/>
      <w:bookmarkEnd w:id="18"/>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19" w:name="_Toc10224"/>
      <w:bookmarkStart w:id="20" w:name="_Toc4432"/>
      <w:bookmarkStart w:id="21" w:name="_Toc3199"/>
      <w:bookmarkStart w:id="22" w:name="_Toc29517"/>
      <w:r>
        <w:rPr>
          <w:rFonts w:hint="eastAsia" w:ascii="仿宋" w:hAnsi="仿宋" w:eastAsia="仿宋" w:cs="仿宋"/>
          <w:i w:val="0"/>
          <w:iCs w:val="0"/>
          <w:color w:val="auto"/>
          <w:kern w:val="0"/>
          <w:sz w:val="32"/>
          <w:szCs w:val="32"/>
          <w:highlight w:val="none"/>
          <w:u w:val="none"/>
          <w:lang w:val="en-US" w:eastAsia="zh-CN" w:bidi="ar"/>
        </w:rPr>
        <w:t>1、前期准备</w:t>
      </w:r>
      <w:bookmarkEnd w:id="19"/>
      <w:bookmarkEnd w:id="20"/>
      <w:bookmarkEnd w:id="21"/>
      <w:bookmarkEnd w:id="22"/>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根据《重庆市璧山区财政局关于开展2021年度预算绩效自评工作的通知》（璧财绩〔2022〕2号）文件要求，我单位高度重视绩效评价，组成由单位领导、财务审计科、各业务科室负责人和项目负责人组成的自评小组，制定自评方案，明确自评程序和方法，通知要求资金使用科室上报资金使用情况、项目实施情况及计划绩效目标完成情况。</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23" w:name="_Toc10591"/>
      <w:bookmarkStart w:id="24" w:name="_Toc11973"/>
      <w:bookmarkStart w:id="25" w:name="_Toc26545"/>
      <w:bookmarkStart w:id="26" w:name="_Toc10866"/>
      <w:r>
        <w:rPr>
          <w:rFonts w:hint="eastAsia" w:ascii="仿宋" w:hAnsi="仿宋" w:eastAsia="仿宋" w:cs="仿宋"/>
          <w:i w:val="0"/>
          <w:iCs w:val="0"/>
          <w:color w:val="auto"/>
          <w:kern w:val="0"/>
          <w:sz w:val="32"/>
          <w:szCs w:val="32"/>
          <w:highlight w:val="none"/>
          <w:u w:val="none"/>
          <w:lang w:val="en-US" w:eastAsia="zh-CN" w:bidi="ar"/>
        </w:rPr>
        <w:t>2、组织实施</w:t>
      </w:r>
      <w:bookmarkEnd w:id="23"/>
      <w:bookmarkEnd w:id="24"/>
      <w:bookmarkEnd w:id="25"/>
      <w:bookmarkEnd w:id="26"/>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本次绩效评价工作分为两个阶段：</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第一个阶段为评价准备阶段，自评工作组梳理和研读了国家层面、市级层面、区级层面与本次评价部门整体有关的政策文件，获得评价资料。</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第二个阶段为实施评价阶段，自评工作组在2022年2月23日至3月10日开展评价实施。取得评价部门整体实施的进度和资金筹集支出情况等资料，通过研读搭建指标体系，填写《重庆市璧山区水利水库服务中心2021年度部门整体支出绩效自评表》并撰写自评报告。</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27" w:name="_Toc31971"/>
      <w:bookmarkStart w:id="28" w:name="_Toc26412"/>
      <w:bookmarkStart w:id="29" w:name="_Toc18051"/>
      <w:bookmarkStart w:id="30" w:name="_Toc1520"/>
      <w:r>
        <w:rPr>
          <w:rFonts w:hint="eastAsia" w:ascii="仿宋" w:hAnsi="仿宋" w:eastAsia="仿宋" w:cs="仿宋"/>
          <w:i w:val="0"/>
          <w:iCs w:val="0"/>
          <w:color w:val="auto"/>
          <w:kern w:val="0"/>
          <w:sz w:val="32"/>
          <w:szCs w:val="32"/>
          <w:highlight w:val="none"/>
          <w:u w:val="none"/>
          <w:lang w:val="en-US" w:eastAsia="zh-CN" w:bidi="ar"/>
        </w:rPr>
        <w:t>3、分析评价</w:t>
      </w:r>
      <w:bookmarkEnd w:id="27"/>
      <w:bookmarkEnd w:id="28"/>
      <w:bookmarkEnd w:id="29"/>
      <w:bookmarkEnd w:id="30"/>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2022年3月11日至3月18日，自评工作组根据《重庆市璧山区水利水库服务中心2021年度部门整体支出绩效自评表》中的指标体系以及自评报告的分析情况，对初稿进行审核，按照相关文件、资金拨付资料，开展自评检查工作，对部门整体实施情况和质量进行评定。提出修改意见，形成部门整体绩效评价报告。</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31" w:name="_Toc24356"/>
      <w:r>
        <w:rPr>
          <w:rFonts w:hint="eastAsia" w:ascii="仿宋" w:hAnsi="仿宋" w:eastAsia="仿宋" w:cs="仿宋"/>
          <w:i w:val="0"/>
          <w:iCs w:val="0"/>
          <w:color w:val="auto"/>
          <w:kern w:val="0"/>
          <w:sz w:val="32"/>
          <w:szCs w:val="32"/>
          <w:highlight w:val="none"/>
          <w:u w:val="none"/>
          <w:lang w:val="en-US" w:eastAsia="zh-CN" w:bidi="ar"/>
        </w:rPr>
        <w:t>三、绩效评价情况及结论</w:t>
      </w:r>
      <w:bookmarkEnd w:id="31"/>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根据《重庆市璧山区水利水库服务中心2021年度部门整体支出绩效自评表》中的指标体系分析情况，重庆市璧山区水利水库服务中心2021年度部门整体支出绩效自评总得分97.40分，等级为“优”。具体得分情况如表1所示。</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表 1：指标得分情况</w:t>
      </w:r>
    </w:p>
    <w:tbl>
      <w:tblPr>
        <w:tblStyle w:val="13"/>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3"/>
        <w:gridCol w:w="2062"/>
        <w:gridCol w:w="1676"/>
        <w:gridCol w:w="1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2883"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指标名称</w:t>
            </w:r>
          </w:p>
        </w:tc>
        <w:tc>
          <w:tcPr>
            <w:tcW w:w="2062"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权重</w:t>
            </w:r>
          </w:p>
        </w:tc>
        <w:tc>
          <w:tcPr>
            <w:tcW w:w="1676"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得分</w:t>
            </w:r>
          </w:p>
        </w:tc>
        <w:tc>
          <w:tcPr>
            <w:tcW w:w="1678"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2883"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预算执行率</w:t>
            </w:r>
          </w:p>
        </w:tc>
        <w:tc>
          <w:tcPr>
            <w:tcW w:w="2062"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2883"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预决算公开率</w:t>
            </w:r>
          </w:p>
        </w:tc>
        <w:tc>
          <w:tcPr>
            <w:tcW w:w="2062"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2883"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物资验收合格率</w:t>
            </w:r>
          </w:p>
        </w:tc>
        <w:tc>
          <w:tcPr>
            <w:tcW w:w="2062"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2883"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提升水库防洪应急能力</w:t>
            </w:r>
          </w:p>
        </w:tc>
        <w:tc>
          <w:tcPr>
            <w:tcW w:w="2062"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15</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13.45</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89.69%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2883"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带动库区农业、旅游等产业发展</w:t>
            </w:r>
          </w:p>
        </w:tc>
        <w:tc>
          <w:tcPr>
            <w:tcW w:w="2062"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2883"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改善水库水环境质量</w:t>
            </w:r>
          </w:p>
        </w:tc>
        <w:tc>
          <w:tcPr>
            <w:tcW w:w="2062"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8.95</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89.47%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2883"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提高水库水质状况</w:t>
            </w:r>
          </w:p>
        </w:tc>
        <w:tc>
          <w:tcPr>
            <w:tcW w:w="2062"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15</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15</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2883"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提高库区生态承载力</w:t>
            </w:r>
          </w:p>
        </w:tc>
        <w:tc>
          <w:tcPr>
            <w:tcW w:w="2062"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2883"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水质改善工程质量满意度</w:t>
            </w:r>
          </w:p>
        </w:tc>
        <w:tc>
          <w:tcPr>
            <w:tcW w:w="2062"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100%</w:t>
            </w:r>
          </w:p>
        </w:tc>
      </w:tr>
    </w:tbl>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32" w:name="_Toc11966"/>
      <w:bookmarkStart w:id="33" w:name="_Toc13626"/>
      <w:bookmarkStart w:id="34" w:name="_Toc22381"/>
      <w:r>
        <w:rPr>
          <w:rFonts w:hint="eastAsia" w:ascii="仿宋" w:hAnsi="仿宋" w:eastAsia="仿宋" w:cs="仿宋"/>
          <w:i w:val="0"/>
          <w:iCs w:val="0"/>
          <w:color w:val="auto"/>
          <w:kern w:val="0"/>
          <w:sz w:val="32"/>
          <w:szCs w:val="32"/>
          <w:highlight w:val="none"/>
          <w:u w:val="none"/>
          <w:lang w:val="en-US" w:eastAsia="zh-CN" w:bidi="ar"/>
        </w:rPr>
        <w:t>1、预算执行率分析</w:t>
      </w:r>
      <w:bookmarkEnd w:id="32"/>
      <w:bookmarkEnd w:id="33"/>
      <w:bookmarkEnd w:id="34"/>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2021年财政资金年初支出预算为1925.80万元，年中调整预算为1388.47万元，年末支出决算为1388.47万元。根据评价标准，该指标得100%权重分。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35" w:name="_Toc5343"/>
      <w:bookmarkStart w:id="36" w:name="_Toc22188"/>
      <w:bookmarkStart w:id="37" w:name="_Toc31215"/>
      <w:bookmarkStart w:id="38" w:name="_Toc12946"/>
      <w:r>
        <w:rPr>
          <w:rFonts w:hint="eastAsia" w:ascii="仿宋" w:hAnsi="仿宋" w:eastAsia="仿宋" w:cs="仿宋"/>
          <w:i w:val="0"/>
          <w:iCs w:val="0"/>
          <w:color w:val="auto"/>
          <w:kern w:val="0"/>
          <w:sz w:val="32"/>
          <w:szCs w:val="32"/>
          <w:highlight w:val="none"/>
          <w:u w:val="none"/>
          <w:lang w:val="en-US" w:eastAsia="zh-CN" w:bidi="ar"/>
        </w:rPr>
        <w:t>2、预决算公开率分析</w:t>
      </w:r>
      <w:bookmarkEnd w:id="35"/>
      <w:bookmarkEnd w:id="36"/>
      <w:bookmarkEnd w:id="37"/>
      <w:bookmarkEnd w:id="38"/>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遵循依法依规、真实完整、积极稳妥、分级负责的原则，以公开为常态、不公开为例外。本年度部门预决算资金相匹配，并对预决算进行了公开。根据评价标准，该指标得100%权重分。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39" w:name="_Toc1471"/>
      <w:bookmarkStart w:id="40" w:name="_Toc20570"/>
      <w:bookmarkStart w:id="41" w:name="_Toc4057"/>
      <w:bookmarkStart w:id="42" w:name="_Toc20685"/>
      <w:r>
        <w:rPr>
          <w:rFonts w:hint="eastAsia" w:ascii="仿宋" w:hAnsi="仿宋" w:eastAsia="仿宋" w:cs="仿宋"/>
          <w:i w:val="0"/>
          <w:iCs w:val="0"/>
          <w:color w:val="auto"/>
          <w:kern w:val="0"/>
          <w:sz w:val="32"/>
          <w:szCs w:val="32"/>
          <w:highlight w:val="none"/>
          <w:u w:val="none"/>
          <w:lang w:val="en-US" w:eastAsia="zh-CN" w:bidi="ar"/>
        </w:rPr>
        <w:t>3、物资验收合格率分析</w:t>
      </w:r>
      <w:bookmarkEnd w:id="39"/>
      <w:bookmarkEnd w:id="40"/>
      <w:bookmarkEnd w:id="41"/>
      <w:bookmarkEnd w:id="42"/>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按照防汛物资采购（编织袋、手提式防爆探照灯、救生衣、救生圈、头盔、水上救生漂浮绳、救生艇等合计4万。为防汛抢险工作提供物质保障。根据评价标准，该指标得100%权重分。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43" w:name="_Toc7210"/>
      <w:bookmarkStart w:id="44" w:name="_Toc10020"/>
      <w:bookmarkStart w:id="45" w:name="_Toc19372"/>
      <w:bookmarkStart w:id="46" w:name="_Toc5752"/>
      <w:r>
        <w:rPr>
          <w:rFonts w:hint="eastAsia" w:ascii="仿宋" w:hAnsi="仿宋" w:eastAsia="仿宋" w:cs="仿宋"/>
          <w:i w:val="0"/>
          <w:iCs w:val="0"/>
          <w:color w:val="auto"/>
          <w:kern w:val="0"/>
          <w:sz w:val="32"/>
          <w:szCs w:val="32"/>
          <w:highlight w:val="none"/>
          <w:u w:val="none"/>
          <w:lang w:val="en-US" w:eastAsia="zh-CN" w:bidi="ar"/>
        </w:rPr>
        <w:t>4、提升水库防洪应急能力分析</w:t>
      </w:r>
      <w:bookmarkEnd w:id="43"/>
      <w:bookmarkEnd w:id="44"/>
      <w:bookmarkEnd w:id="45"/>
      <w:bookmarkEnd w:id="46"/>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完善我区部分水库设备设施、提高设施运行效率，保障水库安全高效运行，加强水库管理，依据区财政局（璧财农便〔2020〕33号）资金安排开展工作。但水库防洪应</w:t>
      </w:r>
      <w:r>
        <w:rPr>
          <w:rFonts w:hint="eastAsia" w:ascii="仿宋" w:hAnsi="仿宋" w:eastAsia="仿宋" w:cs="仿宋"/>
          <w:i w:val="0"/>
          <w:iCs w:val="0"/>
          <w:color w:val="auto"/>
          <w:kern w:val="0"/>
          <w:sz w:val="32"/>
          <w:szCs w:val="32"/>
          <w:highlight w:val="none"/>
          <w:u w:val="none"/>
          <w:lang w:val="en-US" w:eastAsia="zh-CN" w:bidi="ar"/>
        </w:rPr>
        <w:t>急能力还有待加强。根据评价标准，该指标得89.69%权重分。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47" w:name="_Toc3094"/>
      <w:bookmarkStart w:id="48" w:name="_Toc6403"/>
      <w:bookmarkStart w:id="49" w:name="_Toc8779"/>
      <w:bookmarkStart w:id="50" w:name="_Toc29062"/>
      <w:r>
        <w:rPr>
          <w:rFonts w:hint="eastAsia" w:ascii="仿宋" w:hAnsi="仿宋" w:eastAsia="仿宋" w:cs="仿宋"/>
          <w:i w:val="0"/>
          <w:iCs w:val="0"/>
          <w:color w:val="auto"/>
          <w:kern w:val="0"/>
          <w:sz w:val="32"/>
          <w:szCs w:val="32"/>
          <w:highlight w:val="none"/>
          <w:u w:val="none"/>
          <w:lang w:val="en-US" w:eastAsia="zh-CN" w:bidi="ar"/>
        </w:rPr>
        <w:t>5、带动库区农业、旅游等产业发展分析</w:t>
      </w:r>
      <w:bookmarkEnd w:id="47"/>
      <w:bookmarkEnd w:id="48"/>
      <w:bookmarkEnd w:id="49"/>
      <w:bookmarkEnd w:id="50"/>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通过水库水质的提高，库区生物多样性提高，水生态环境改善，进一步带动库区农业、旅游等产业发展。根据评价标准，该指标得100%权重分。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51" w:name="_Toc27360"/>
      <w:bookmarkStart w:id="52" w:name="_Toc12522"/>
      <w:bookmarkStart w:id="53" w:name="_Toc28412"/>
      <w:bookmarkStart w:id="54" w:name="_Toc5388"/>
      <w:r>
        <w:rPr>
          <w:rFonts w:hint="eastAsia" w:ascii="仿宋" w:hAnsi="仿宋" w:eastAsia="仿宋" w:cs="仿宋"/>
          <w:i w:val="0"/>
          <w:iCs w:val="0"/>
          <w:color w:val="auto"/>
          <w:kern w:val="0"/>
          <w:sz w:val="32"/>
          <w:szCs w:val="32"/>
          <w:highlight w:val="none"/>
          <w:u w:val="none"/>
          <w:lang w:val="en-US" w:eastAsia="zh-CN" w:bidi="ar"/>
        </w:rPr>
        <w:t>6、改善水库水环境质量分析</w:t>
      </w:r>
      <w:bookmarkEnd w:id="51"/>
      <w:bookmarkEnd w:id="52"/>
      <w:bookmarkEnd w:id="53"/>
      <w:bookmarkEnd w:id="54"/>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2021年12月前完成水库枢纽工程保洁与维修养护、金属构建及机电设备养护工作。通过水利工程维修养护，改善水库设施安全状况，提高水库自动化观测和管理水平，稳定、提升水库水质。根据评价标准，该指标得89.47%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55" w:name="_Toc6775"/>
      <w:bookmarkStart w:id="56" w:name="_Toc14170"/>
      <w:bookmarkStart w:id="57" w:name="_Toc21772"/>
      <w:bookmarkStart w:id="58" w:name="_Toc8269"/>
      <w:r>
        <w:rPr>
          <w:rFonts w:hint="eastAsia" w:ascii="仿宋" w:hAnsi="仿宋" w:eastAsia="仿宋" w:cs="仿宋"/>
          <w:i w:val="0"/>
          <w:iCs w:val="0"/>
          <w:color w:val="auto"/>
          <w:kern w:val="0"/>
          <w:sz w:val="32"/>
          <w:szCs w:val="32"/>
          <w:highlight w:val="none"/>
          <w:u w:val="none"/>
          <w:lang w:val="en-US" w:eastAsia="zh-CN" w:bidi="ar"/>
        </w:rPr>
        <w:t>7、提高水库水质状况分析</w:t>
      </w:r>
      <w:bookmarkEnd w:id="55"/>
      <w:bookmarkEnd w:id="56"/>
      <w:bookmarkEnd w:id="57"/>
      <w:bookmarkEnd w:id="58"/>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通过水质改善措施，水库水质明显改善，库区生物多样性提高，水生态环境改善。根据评价标准，该指标得100%权重分。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59" w:name="_Toc699"/>
      <w:bookmarkStart w:id="60" w:name="_Toc8793"/>
      <w:bookmarkStart w:id="61" w:name="_Toc23212"/>
      <w:bookmarkStart w:id="62" w:name="_Toc32048"/>
      <w:r>
        <w:rPr>
          <w:rFonts w:hint="eastAsia" w:ascii="仿宋" w:hAnsi="仿宋" w:eastAsia="仿宋" w:cs="仿宋"/>
          <w:i w:val="0"/>
          <w:iCs w:val="0"/>
          <w:color w:val="auto"/>
          <w:kern w:val="0"/>
          <w:sz w:val="32"/>
          <w:szCs w:val="32"/>
          <w:highlight w:val="none"/>
          <w:u w:val="none"/>
          <w:lang w:val="en-US" w:eastAsia="zh-CN" w:bidi="ar"/>
        </w:rPr>
        <w:t>8、提高库区生态承载力分析</w:t>
      </w:r>
      <w:bookmarkEnd w:id="59"/>
      <w:bookmarkEnd w:id="60"/>
      <w:bookmarkEnd w:id="61"/>
      <w:bookmarkEnd w:id="62"/>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提升水库水质，改善库区水生态环境。根据评价标准，该指标得100%权重分。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63" w:name="_Toc20551"/>
      <w:bookmarkStart w:id="64" w:name="_Toc18571"/>
      <w:bookmarkStart w:id="65" w:name="_Toc16503"/>
      <w:r>
        <w:rPr>
          <w:rFonts w:hint="eastAsia" w:ascii="仿宋" w:hAnsi="仿宋" w:eastAsia="仿宋" w:cs="仿宋"/>
          <w:i w:val="0"/>
          <w:iCs w:val="0"/>
          <w:color w:val="auto"/>
          <w:kern w:val="0"/>
          <w:sz w:val="32"/>
          <w:szCs w:val="32"/>
          <w:highlight w:val="none"/>
          <w:u w:val="none"/>
          <w:lang w:val="en-US" w:eastAsia="zh-CN" w:bidi="ar"/>
        </w:rPr>
        <w:t>9、水质改善工程的质量满意度分析</w:t>
      </w:r>
      <w:bookmarkEnd w:id="63"/>
      <w:bookmarkEnd w:id="64"/>
      <w:bookmarkEnd w:id="65"/>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工作人员对</w:t>
      </w:r>
      <w:r>
        <w:rPr>
          <w:rFonts w:hint="eastAsia" w:ascii="仿宋" w:hAnsi="仿宋" w:eastAsia="仿宋" w:cs="仿宋"/>
          <w:i w:val="0"/>
          <w:iCs w:val="0"/>
          <w:color w:val="auto"/>
          <w:kern w:val="0"/>
          <w:sz w:val="32"/>
          <w:szCs w:val="32"/>
          <w:highlight w:val="none"/>
          <w:u w:val="none"/>
          <w:lang w:val="en-US" w:eastAsia="zh-CN" w:bidi="ar"/>
        </w:rPr>
        <w:t>水质改善工程的质量相关工作和满意度达到98%以上。根据评价标准，该项得100%权重分。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66" w:name="_Toc10261"/>
      <w:r>
        <w:rPr>
          <w:rFonts w:hint="eastAsia" w:ascii="仿宋" w:hAnsi="仿宋" w:eastAsia="仿宋" w:cs="仿宋"/>
          <w:i w:val="0"/>
          <w:iCs w:val="0"/>
          <w:color w:val="auto"/>
          <w:kern w:val="0"/>
          <w:sz w:val="32"/>
          <w:szCs w:val="32"/>
          <w:highlight w:val="none"/>
          <w:u w:val="none"/>
          <w:lang w:val="en-US" w:eastAsia="zh-CN" w:bidi="ar"/>
        </w:rPr>
        <w:t>四、主要经验及做法</w:t>
      </w:r>
      <w:bookmarkEnd w:id="66"/>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1、制定项目绩效管理制度明确项目绩效目标编制及审批流程，规范绩效指标设置。</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2、强化预算绩效双监控，从项目期中已实现的产出成果与效益；项目预算执行进度是否与当前期限相匹配；专项资金是否专款专用，是否存在截留、挤占、挪用资金等违纪违规问题，有无滞留、缓拨资金以及因管理不善造成资金损失、浪费；专项资金是否按照规定用途、开支范围、开支标准及其其他相关要求使用等方面进行绩效监控。</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3、提高职工工作责任意识，提升水库管理应急能力、抵御水旱灾害能力，水库安全度汛，民众生命财产得到保障。</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4、</w:t>
      </w:r>
      <w:r>
        <w:rPr>
          <w:rFonts w:hint="default" w:ascii="仿宋" w:hAnsi="仿宋" w:eastAsia="仿宋" w:cs="仿宋"/>
          <w:i w:val="0"/>
          <w:iCs w:val="0"/>
          <w:color w:val="auto"/>
          <w:kern w:val="0"/>
          <w:sz w:val="32"/>
          <w:szCs w:val="32"/>
          <w:highlight w:val="none"/>
          <w:u w:val="none"/>
          <w:lang w:val="en-US" w:eastAsia="zh-CN" w:bidi="ar"/>
        </w:rPr>
        <w:t>提升水库水质，改善库区水生态环境</w:t>
      </w:r>
      <w:r>
        <w:rPr>
          <w:rFonts w:hint="eastAsia" w:ascii="仿宋" w:hAnsi="仿宋" w:eastAsia="仿宋" w:cs="仿宋"/>
          <w:i w:val="0"/>
          <w:iCs w:val="0"/>
          <w:color w:val="auto"/>
          <w:kern w:val="0"/>
          <w:sz w:val="32"/>
          <w:szCs w:val="32"/>
          <w:highlight w:val="none"/>
          <w:u w:val="none"/>
          <w:lang w:val="en-US" w:eastAsia="zh-CN" w:bidi="ar"/>
        </w:rPr>
        <w:t>；</w:t>
      </w:r>
      <w:r>
        <w:rPr>
          <w:rFonts w:hint="default" w:ascii="仿宋" w:hAnsi="仿宋" w:eastAsia="仿宋" w:cs="仿宋"/>
          <w:i w:val="0"/>
          <w:iCs w:val="0"/>
          <w:color w:val="auto"/>
          <w:kern w:val="0"/>
          <w:sz w:val="32"/>
          <w:szCs w:val="32"/>
          <w:highlight w:val="none"/>
          <w:u w:val="none"/>
          <w:lang w:val="en-US" w:eastAsia="zh-CN" w:bidi="ar"/>
        </w:rPr>
        <w:t>提升管理人员对水库管理的能力，水库管理效率提高。</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67" w:name="_Toc18649"/>
      <w:r>
        <w:rPr>
          <w:rFonts w:hint="eastAsia" w:ascii="仿宋" w:hAnsi="仿宋" w:eastAsia="仿宋" w:cs="仿宋"/>
          <w:i w:val="0"/>
          <w:iCs w:val="0"/>
          <w:color w:val="auto"/>
          <w:kern w:val="0"/>
          <w:sz w:val="32"/>
          <w:szCs w:val="32"/>
          <w:highlight w:val="none"/>
          <w:u w:val="none"/>
          <w:lang w:val="en-US" w:eastAsia="zh-CN" w:bidi="ar"/>
        </w:rPr>
        <w:t>五、存在的问题和建议</w:t>
      </w:r>
      <w:bookmarkEnd w:id="67"/>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68" w:name="_Toc24872"/>
      <w:bookmarkStart w:id="69" w:name="_Toc31791"/>
      <w:bookmarkStart w:id="70" w:name="_Toc17714"/>
      <w:bookmarkStart w:id="71" w:name="_Toc21432"/>
      <w:r>
        <w:rPr>
          <w:rFonts w:hint="eastAsia" w:ascii="仿宋" w:hAnsi="仿宋" w:eastAsia="仿宋" w:cs="仿宋"/>
          <w:i w:val="0"/>
          <w:iCs w:val="0"/>
          <w:color w:val="auto"/>
          <w:kern w:val="0"/>
          <w:sz w:val="32"/>
          <w:szCs w:val="32"/>
          <w:highlight w:val="none"/>
          <w:u w:val="none"/>
          <w:lang w:val="en-US" w:eastAsia="zh-CN" w:bidi="ar"/>
        </w:rPr>
        <w:t>（一）存在的问题</w:t>
      </w:r>
      <w:bookmarkEnd w:id="68"/>
      <w:bookmarkEnd w:id="69"/>
      <w:bookmarkEnd w:id="70"/>
      <w:bookmarkEnd w:id="71"/>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72" w:name="_Toc16456"/>
      <w:bookmarkStart w:id="73" w:name="_Toc12749"/>
      <w:bookmarkStart w:id="74" w:name="_Toc4640"/>
      <w:bookmarkStart w:id="75" w:name="_Toc1299"/>
      <w:r>
        <w:rPr>
          <w:rFonts w:hint="eastAsia" w:ascii="仿宋" w:hAnsi="仿宋" w:eastAsia="仿宋" w:cs="仿宋"/>
          <w:i w:val="0"/>
          <w:iCs w:val="0"/>
          <w:color w:val="auto"/>
          <w:kern w:val="0"/>
          <w:sz w:val="32"/>
          <w:szCs w:val="32"/>
          <w:highlight w:val="none"/>
          <w:u w:val="none"/>
          <w:lang w:val="en-US" w:eastAsia="zh-CN" w:bidi="ar"/>
        </w:rPr>
        <w:t>1、水库防洪应急能力有待提升。</w:t>
      </w:r>
      <w:bookmarkEnd w:id="72"/>
      <w:bookmarkEnd w:id="73"/>
      <w:bookmarkEnd w:id="74"/>
      <w:bookmarkEnd w:id="75"/>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各项工作机制还需完善，运用科学的手段，预测、预警、预防水库防洪应急工作管理需进一步加强。加强及时总结防汛信息，通过风情、水情、雨情进一步检查落实各项防汛应急措施。提升水库管理应急能力、抵御水旱灾害能力，水库安全度汛，民众生命财产才能得到保障。</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2、水库水环境质量有待加强。</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bookmarkStart w:id="76" w:name="_Toc10918"/>
      <w:bookmarkStart w:id="77" w:name="_Toc5542"/>
      <w:bookmarkStart w:id="78" w:name="_Toc21184"/>
      <w:r>
        <w:rPr>
          <w:rFonts w:hint="eastAsia" w:ascii="仿宋" w:hAnsi="仿宋" w:eastAsia="仿宋" w:cs="仿宋"/>
          <w:i w:val="0"/>
          <w:iCs w:val="0"/>
          <w:color w:val="auto"/>
          <w:kern w:val="0"/>
          <w:sz w:val="32"/>
          <w:szCs w:val="32"/>
          <w:highlight w:val="none"/>
          <w:u w:val="none"/>
          <w:lang w:val="en-US" w:eastAsia="zh-CN" w:bidi="ar"/>
        </w:rPr>
        <w:t>目前通过水质改善措施，水生态环境改善，水库水质明显改善，库区生物多样性都得到了提高，但水库水环境质量还需要进一步加强。</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bookmarkStart w:id="79" w:name="_Toc3020"/>
      <w:r>
        <w:rPr>
          <w:rFonts w:hint="eastAsia" w:ascii="仿宋" w:hAnsi="仿宋" w:eastAsia="仿宋" w:cs="仿宋"/>
          <w:i w:val="0"/>
          <w:iCs w:val="0"/>
          <w:color w:val="auto"/>
          <w:kern w:val="0"/>
          <w:sz w:val="32"/>
          <w:szCs w:val="32"/>
          <w:highlight w:val="none"/>
          <w:u w:val="none"/>
          <w:lang w:val="en-US" w:eastAsia="zh-CN" w:bidi="ar"/>
        </w:rPr>
        <w:t>（二）建议</w:t>
      </w:r>
      <w:bookmarkEnd w:id="76"/>
      <w:bookmarkEnd w:id="77"/>
      <w:bookmarkEnd w:id="78"/>
      <w:bookmarkEnd w:id="79"/>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1、坚持防抢结合的原则。把预防洪水灾害作为防洪应急工作的中心环节和主要任务来抓，完善各项工作机制，运用科学的手段，加强预测、预警、预防工作管理，把洪水灾害的预防和防洪抢险工作有机结合起来，切实把水库防洪工作抓紧抓好。</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当气象台发布暴雨警报时，防汛工作成员全部到位。及时总结防汛信息，通过风情、水情、雨情进一步检查落实各项防汛应急措施，组建防汛抢险队伍，落实抢险物资。</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2、加大宣传教育力度。开展形式多样的水库水环境和水资源保护宣传教育活动，通过张贴宣传标语、设立固定宣传牌等手段，宣传相关法律法规，提高群众水资源保护意识，积极争取广大干部群众、养殖户的支持和理解。</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加强水库水质监测工作。及时掌握水库水质变化，逐步建立和完善水库水环境保护工作通报制度，通过监测反馈情况指引相关部门做好水库生态化养殖工作。</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加强水行政执法工作。加大水库水资源保护和水污染防治工作力度，加强对水库库区的监督、检查和管理，依法严格实施水库水源保护制度，严格禁止破坏及危害水库水源行为。</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仿宋" w:hAnsi="仿宋" w:eastAsia="仿宋" w:cs="仿宋"/>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32"/>
          <w:szCs w:val="32"/>
          <w:highlight w:val="none"/>
          <w:u w:val="none"/>
          <w:lang w:val="en-US" w:eastAsia="zh-CN" w:bidi="ar"/>
        </w:rPr>
        <w:t>加快退养工作、加强日常监管。加快水库退养工作，对已经退出承包养殖的水库加强日常监管，建立退养后的长效管理机制。</w:t>
      </w:r>
      <w:bookmarkStart w:id="80" w:name="_GoBack"/>
      <w:bookmarkEnd w:id="80"/>
    </w:p>
    <w:sectPr>
      <w:footerReference r:id="rId3" w:type="default"/>
      <w:pgSz w:w="11906" w:h="16838"/>
      <w:pgMar w:top="1588" w:right="1474" w:bottom="1588" w:left="147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A5F86"/>
    <w:rsid w:val="004C051C"/>
    <w:rsid w:val="004F189B"/>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225F8"/>
    <w:rsid w:val="00E25A0F"/>
    <w:rsid w:val="00E30FAC"/>
    <w:rsid w:val="00E42BE7"/>
    <w:rsid w:val="00E55405"/>
    <w:rsid w:val="00E72086"/>
    <w:rsid w:val="00E91393"/>
    <w:rsid w:val="00EB0A75"/>
    <w:rsid w:val="00EF2A45"/>
    <w:rsid w:val="00F70C2E"/>
    <w:rsid w:val="00F9262E"/>
    <w:rsid w:val="00F93438"/>
    <w:rsid w:val="00FA41F0"/>
    <w:rsid w:val="00FD0041"/>
    <w:rsid w:val="00FE38F2"/>
    <w:rsid w:val="019F1377"/>
    <w:rsid w:val="02467A44"/>
    <w:rsid w:val="02702189"/>
    <w:rsid w:val="02B43A3F"/>
    <w:rsid w:val="03863E70"/>
    <w:rsid w:val="046B19E4"/>
    <w:rsid w:val="04706FFA"/>
    <w:rsid w:val="04BC3C04"/>
    <w:rsid w:val="04C9670A"/>
    <w:rsid w:val="04DD1978"/>
    <w:rsid w:val="04F73278"/>
    <w:rsid w:val="051A0D14"/>
    <w:rsid w:val="05B4071F"/>
    <w:rsid w:val="06EC66E0"/>
    <w:rsid w:val="081D7AE0"/>
    <w:rsid w:val="08400A92"/>
    <w:rsid w:val="0865674A"/>
    <w:rsid w:val="08713341"/>
    <w:rsid w:val="089332B7"/>
    <w:rsid w:val="08A70B11"/>
    <w:rsid w:val="08D26AF7"/>
    <w:rsid w:val="09102B5A"/>
    <w:rsid w:val="092B1742"/>
    <w:rsid w:val="09385C0D"/>
    <w:rsid w:val="09811362"/>
    <w:rsid w:val="09866978"/>
    <w:rsid w:val="09A03EDE"/>
    <w:rsid w:val="09FA11E0"/>
    <w:rsid w:val="0A116B8A"/>
    <w:rsid w:val="0AFA761E"/>
    <w:rsid w:val="0B924F3C"/>
    <w:rsid w:val="0BA457DB"/>
    <w:rsid w:val="0BD239F5"/>
    <w:rsid w:val="0C055890"/>
    <w:rsid w:val="0C152235"/>
    <w:rsid w:val="0C1C7A68"/>
    <w:rsid w:val="0C4169D6"/>
    <w:rsid w:val="0C484093"/>
    <w:rsid w:val="0C831895"/>
    <w:rsid w:val="0CE47124"/>
    <w:rsid w:val="0D4C612B"/>
    <w:rsid w:val="0D8D4779"/>
    <w:rsid w:val="0DF465A6"/>
    <w:rsid w:val="0F0A004B"/>
    <w:rsid w:val="0FE60171"/>
    <w:rsid w:val="10A122E9"/>
    <w:rsid w:val="10C761F4"/>
    <w:rsid w:val="110411F6"/>
    <w:rsid w:val="112278CE"/>
    <w:rsid w:val="11B828FA"/>
    <w:rsid w:val="11E92A7D"/>
    <w:rsid w:val="123478B9"/>
    <w:rsid w:val="1292638E"/>
    <w:rsid w:val="12B97DBE"/>
    <w:rsid w:val="13041393"/>
    <w:rsid w:val="13237BC5"/>
    <w:rsid w:val="135B70C7"/>
    <w:rsid w:val="13C14191"/>
    <w:rsid w:val="14885C9A"/>
    <w:rsid w:val="148E1DC2"/>
    <w:rsid w:val="14B52807"/>
    <w:rsid w:val="15B46721"/>
    <w:rsid w:val="15E45152"/>
    <w:rsid w:val="164B6F7F"/>
    <w:rsid w:val="16683FED"/>
    <w:rsid w:val="17253C74"/>
    <w:rsid w:val="17B40B54"/>
    <w:rsid w:val="17C73B8D"/>
    <w:rsid w:val="17E70F2A"/>
    <w:rsid w:val="1816180F"/>
    <w:rsid w:val="18673E19"/>
    <w:rsid w:val="18D92F68"/>
    <w:rsid w:val="19033B41"/>
    <w:rsid w:val="190E2B30"/>
    <w:rsid w:val="191E097B"/>
    <w:rsid w:val="193F08F1"/>
    <w:rsid w:val="19467ED2"/>
    <w:rsid w:val="1A231FC1"/>
    <w:rsid w:val="1AD559B1"/>
    <w:rsid w:val="1B9C545C"/>
    <w:rsid w:val="1BE7599C"/>
    <w:rsid w:val="1C073948"/>
    <w:rsid w:val="1C316C17"/>
    <w:rsid w:val="1CB3587E"/>
    <w:rsid w:val="1CD6156D"/>
    <w:rsid w:val="1CF739BD"/>
    <w:rsid w:val="1D444728"/>
    <w:rsid w:val="1D4961E3"/>
    <w:rsid w:val="1D953CF2"/>
    <w:rsid w:val="1D9E02DC"/>
    <w:rsid w:val="1E18008F"/>
    <w:rsid w:val="1EBB288A"/>
    <w:rsid w:val="1EF75934"/>
    <w:rsid w:val="1F274302"/>
    <w:rsid w:val="1F897A12"/>
    <w:rsid w:val="200C3C23"/>
    <w:rsid w:val="203171E6"/>
    <w:rsid w:val="205359AF"/>
    <w:rsid w:val="2217065D"/>
    <w:rsid w:val="22644610"/>
    <w:rsid w:val="22EA36DF"/>
    <w:rsid w:val="2393640A"/>
    <w:rsid w:val="23971A56"/>
    <w:rsid w:val="23D700A4"/>
    <w:rsid w:val="24073BA5"/>
    <w:rsid w:val="24855D52"/>
    <w:rsid w:val="254E0526"/>
    <w:rsid w:val="255A71DF"/>
    <w:rsid w:val="256B1DC3"/>
    <w:rsid w:val="257D2ECD"/>
    <w:rsid w:val="25973F8F"/>
    <w:rsid w:val="25BC39F6"/>
    <w:rsid w:val="25D24FC7"/>
    <w:rsid w:val="260929B3"/>
    <w:rsid w:val="26451C3D"/>
    <w:rsid w:val="26A30712"/>
    <w:rsid w:val="26A67592"/>
    <w:rsid w:val="26CA3EF0"/>
    <w:rsid w:val="26DE5BEE"/>
    <w:rsid w:val="27112962"/>
    <w:rsid w:val="277061AF"/>
    <w:rsid w:val="278C389C"/>
    <w:rsid w:val="27A110F5"/>
    <w:rsid w:val="27CB7F20"/>
    <w:rsid w:val="27EB5D07"/>
    <w:rsid w:val="281C69CE"/>
    <w:rsid w:val="284D3120"/>
    <w:rsid w:val="285E6FE6"/>
    <w:rsid w:val="286839C1"/>
    <w:rsid w:val="29035658"/>
    <w:rsid w:val="29752839"/>
    <w:rsid w:val="29F559C7"/>
    <w:rsid w:val="2A104310"/>
    <w:rsid w:val="2A144355"/>
    <w:rsid w:val="2A614B6C"/>
    <w:rsid w:val="2AAD1B5F"/>
    <w:rsid w:val="2B5244B4"/>
    <w:rsid w:val="2BAC0068"/>
    <w:rsid w:val="2C1520B2"/>
    <w:rsid w:val="2CA647B8"/>
    <w:rsid w:val="2CB76CC5"/>
    <w:rsid w:val="2D3E73E6"/>
    <w:rsid w:val="2DEB0301"/>
    <w:rsid w:val="2EDA7AD7"/>
    <w:rsid w:val="2F05640D"/>
    <w:rsid w:val="2F302D5E"/>
    <w:rsid w:val="2FDD1B7F"/>
    <w:rsid w:val="308E5F8F"/>
    <w:rsid w:val="30993DAA"/>
    <w:rsid w:val="31992E3D"/>
    <w:rsid w:val="31C37EBA"/>
    <w:rsid w:val="32062B25"/>
    <w:rsid w:val="3240150B"/>
    <w:rsid w:val="324A3FB8"/>
    <w:rsid w:val="324F79A0"/>
    <w:rsid w:val="32891103"/>
    <w:rsid w:val="32B37F2E"/>
    <w:rsid w:val="32C22A7B"/>
    <w:rsid w:val="32DB1E15"/>
    <w:rsid w:val="33641229"/>
    <w:rsid w:val="337B4EF0"/>
    <w:rsid w:val="34421865"/>
    <w:rsid w:val="34DB15D1"/>
    <w:rsid w:val="35531555"/>
    <w:rsid w:val="35633D06"/>
    <w:rsid w:val="359F6A89"/>
    <w:rsid w:val="35C42453"/>
    <w:rsid w:val="35DF4A23"/>
    <w:rsid w:val="35F745D6"/>
    <w:rsid w:val="36453593"/>
    <w:rsid w:val="3772660A"/>
    <w:rsid w:val="37793FEC"/>
    <w:rsid w:val="37887BDC"/>
    <w:rsid w:val="37C66604"/>
    <w:rsid w:val="37CE1367"/>
    <w:rsid w:val="37FB17DA"/>
    <w:rsid w:val="38080D1C"/>
    <w:rsid w:val="38606463"/>
    <w:rsid w:val="388F6D48"/>
    <w:rsid w:val="38C033A5"/>
    <w:rsid w:val="390E5EBF"/>
    <w:rsid w:val="393D49F6"/>
    <w:rsid w:val="39BF540B"/>
    <w:rsid w:val="39D62CD1"/>
    <w:rsid w:val="3A6366DE"/>
    <w:rsid w:val="3AD46C94"/>
    <w:rsid w:val="3B2D04C8"/>
    <w:rsid w:val="3B351E28"/>
    <w:rsid w:val="3BA26D92"/>
    <w:rsid w:val="3C0269D0"/>
    <w:rsid w:val="3CB43221"/>
    <w:rsid w:val="3CB669F0"/>
    <w:rsid w:val="3CC64D02"/>
    <w:rsid w:val="3CEC29BB"/>
    <w:rsid w:val="3D0C6BB9"/>
    <w:rsid w:val="3D764477"/>
    <w:rsid w:val="3E2671E9"/>
    <w:rsid w:val="3E2E7003"/>
    <w:rsid w:val="3E693B97"/>
    <w:rsid w:val="3EC82FB3"/>
    <w:rsid w:val="3EEC4EF4"/>
    <w:rsid w:val="3F2521B4"/>
    <w:rsid w:val="402A78A3"/>
    <w:rsid w:val="412046F3"/>
    <w:rsid w:val="412844E1"/>
    <w:rsid w:val="41A43864"/>
    <w:rsid w:val="42575E28"/>
    <w:rsid w:val="4303280C"/>
    <w:rsid w:val="432A1650"/>
    <w:rsid w:val="43D67F21"/>
    <w:rsid w:val="43F959BD"/>
    <w:rsid w:val="44B71B00"/>
    <w:rsid w:val="44C304A5"/>
    <w:rsid w:val="451E392D"/>
    <w:rsid w:val="456B6447"/>
    <w:rsid w:val="46EA7EDB"/>
    <w:rsid w:val="47332F94"/>
    <w:rsid w:val="47411B55"/>
    <w:rsid w:val="474D674C"/>
    <w:rsid w:val="48154999"/>
    <w:rsid w:val="483B47F6"/>
    <w:rsid w:val="487D6BBD"/>
    <w:rsid w:val="48A57EC2"/>
    <w:rsid w:val="48AA54D8"/>
    <w:rsid w:val="48F84495"/>
    <w:rsid w:val="4904108C"/>
    <w:rsid w:val="49431BB4"/>
    <w:rsid w:val="4A070E34"/>
    <w:rsid w:val="4A72164F"/>
    <w:rsid w:val="4AE63E96"/>
    <w:rsid w:val="4B416C8E"/>
    <w:rsid w:val="4B9D30D2"/>
    <w:rsid w:val="4BC863A1"/>
    <w:rsid w:val="4BD016F9"/>
    <w:rsid w:val="4BEA421D"/>
    <w:rsid w:val="4BFB49C8"/>
    <w:rsid w:val="4C4F6AC2"/>
    <w:rsid w:val="4C717508"/>
    <w:rsid w:val="4C7D6B0F"/>
    <w:rsid w:val="4CEF5BAF"/>
    <w:rsid w:val="4D135D42"/>
    <w:rsid w:val="4D2E66D8"/>
    <w:rsid w:val="4D587BF8"/>
    <w:rsid w:val="4D8D0E92"/>
    <w:rsid w:val="4DB210B7"/>
    <w:rsid w:val="4E465EC0"/>
    <w:rsid w:val="4F642884"/>
    <w:rsid w:val="50B60EBE"/>
    <w:rsid w:val="50DE0415"/>
    <w:rsid w:val="50E45801"/>
    <w:rsid w:val="51196B7F"/>
    <w:rsid w:val="511B3686"/>
    <w:rsid w:val="51DB1DFE"/>
    <w:rsid w:val="526861E8"/>
    <w:rsid w:val="528154FB"/>
    <w:rsid w:val="52A03BD4"/>
    <w:rsid w:val="53760DD8"/>
    <w:rsid w:val="53DF072C"/>
    <w:rsid w:val="53FE1D25"/>
    <w:rsid w:val="54996B2C"/>
    <w:rsid w:val="54AA6F8B"/>
    <w:rsid w:val="54B27BEE"/>
    <w:rsid w:val="54C31DFB"/>
    <w:rsid w:val="551C150B"/>
    <w:rsid w:val="55230AEC"/>
    <w:rsid w:val="55D1679A"/>
    <w:rsid w:val="56120C9B"/>
    <w:rsid w:val="565847C5"/>
    <w:rsid w:val="567535C9"/>
    <w:rsid w:val="567C66B1"/>
    <w:rsid w:val="56A45C5C"/>
    <w:rsid w:val="56E20D30"/>
    <w:rsid w:val="57340D8E"/>
    <w:rsid w:val="573E1C0D"/>
    <w:rsid w:val="57437223"/>
    <w:rsid w:val="57961A49"/>
    <w:rsid w:val="57BD6FD6"/>
    <w:rsid w:val="57D85BBE"/>
    <w:rsid w:val="57EC1669"/>
    <w:rsid w:val="57ED294E"/>
    <w:rsid w:val="57F8000E"/>
    <w:rsid w:val="580F7106"/>
    <w:rsid w:val="589B3090"/>
    <w:rsid w:val="58B71C77"/>
    <w:rsid w:val="58D81BED"/>
    <w:rsid w:val="59387870"/>
    <w:rsid w:val="598B6C60"/>
    <w:rsid w:val="59AD307A"/>
    <w:rsid w:val="59F12F67"/>
    <w:rsid w:val="5A74434C"/>
    <w:rsid w:val="5A7D0C9E"/>
    <w:rsid w:val="5A9776E6"/>
    <w:rsid w:val="5AB81CD6"/>
    <w:rsid w:val="5AC71F19"/>
    <w:rsid w:val="5ADF1011"/>
    <w:rsid w:val="5C401F83"/>
    <w:rsid w:val="5CC83843"/>
    <w:rsid w:val="5CDF354A"/>
    <w:rsid w:val="5D2E6280"/>
    <w:rsid w:val="5D4F6922"/>
    <w:rsid w:val="5D537A94"/>
    <w:rsid w:val="5E023994"/>
    <w:rsid w:val="5E7E6D93"/>
    <w:rsid w:val="5EDA221B"/>
    <w:rsid w:val="5F41229A"/>
    <w:rsid w:val="5F740727"/>
    <w:rsid w:val="5F9143D5"/>
    <w:rsid w:val="5F9525E6"/>
    <w:rsid w:val="60116111"/>
    <w:rsid w:val="60615B81"/>
    <w:rsid w:val="60637952"/>
    <w:rsid w:val="60D96503"/>
    <w:rsid w:val="61DA0784"/>
    <w:rsid w:val="62BB0009"/>
    <w:rsid w:val="645B2050"/>
    <w:rsid w:val="646F6B02"/>
    <w:rsid w:val="64B625E5"/>
    <w:rsid w:val="655645C6"/>
    <w:rsid w:val="65931376"/>
    <w:rsid w:val="65FC7E82"/>
    <w:rsid w:val="66157FDD"/>
    <w:rsid w:val="66432D9C"/>
    <w:rsid w:val="665705F5"/>
    <w:rsid w:val="66CF63DE"/>
    <w:rsid w:val="675608AD"/>
    <w:rsid w:val="67C65A33"/>
    <w:rsid w:val="6846450F"/>
    <w:rsid w:val="68F77E6E"/>
    <w:rsid w:val="69150CF9"/>
    <w:rsid w:val="69424EDD"/>
    <w:rsid w:val="699E02E9"/>
    <w:rsid w:val="6A150CDB"/>
    <w:rsid w:val="6A6B4A08"/>
    <w:rsid w:val="6AA30543"/>
    <w:rsid w:val="6AF04617"/>
    <w:rsid w:val="6BC524A5"/>
    <w:rsid w:val="6C5854B6"/>
    <w:rsid w:val="6C830396"/>
    <w:rsid w:val="6C9A56E0"/>
    <w:rsid w:val="6CEE2B0E"/>
    <w:rsid w:val="6D1A0BFF"/>
    <w:rsid w:val="6D48513C"/>
    <w:rsid w:val="6D9E4D5C"/>
    <w:rsid w:val="6D9F3AB9"/>
    <w:rsid w:val="6E113780"/>
    <w:rsid w:val="6E427DDD"/>
    <w:rsid w:val="6E500E8D"/>
    <w:rsid w:val="6E511DCE"/>
    <w:rsid w:val="6E514E37"/>
    <w:rsid w:val="6E5518BE"/>
    <w:rsid w:val="6E79786D"/>
    <w:rsid w:val="6E8421A4"/>
    <w:rsid w:val="6ED76777"/>
    <w:rsid w:val="6F9C0BD2"/>
    <w:rsid w:val="6FBB4455"/>
    <w:rsid w:val="702F1047"/>
    <w:rsid w:val="70311EB7"/>
    <w:rsid w:val="70F52EE5"/>
    <w:rsid w:val="71096990"/>
    <w:rsid w:val="715B3CAA"/>
    <w:rsid w:val="71E847F7"/>
    <w:rsid w:val="71F31B1A"/>
    <w:rsid w:val="72907369"/>
    <w:rsid w:val="72D1172F"/>
    <w:rsid w:val="733A72D5"/>
    <w:rsid w:val="734463A5"/>
    <w:rsid w:val="736E6F7E"/>
    <w:rsid w:val="73E159A2"/>
    <w:rsid w:val="73F049EA"/>
    <w:rsid w:val="742064CB"/>
    <w:rsid w:val="74CE7AAB"/>
    <w:rsid w:val="74F311C2"/>
    <w:rsid w:val="753555F6"/>
    <w:rsid w:val="760342F6"/>
    <w:rsid w:val="7671125F"/>
    <w:rsid w:val="76B61368"/>
    <w:rsid w:val="76C33D5F"/>
    <w:rsid w:val="76E45ED5"/>
    <w:rsid w:val="76F65C09"/>
    <w:rsid w:val="77063A92"/>
    <w:rsid w:val="77925931"/>
    <w:rsid w:val="77935205"/>
    <w:rsid w:val="77A86F03"/>
    <w:rsid w:val="78173E5E"/>
    <w:rsid w:val="78F6620A"/>
    <w:rsid w:val="793D367B"/>
    <w:rsid w:val="7A341A8C"/>
    <w:rsid w:val="7AA250E0"/>
    <w:rsid w:val="7AB34C3E"/>
    <w:rsid w:val="7AE30C3C"/>
    <w:rsid w:val="7BA14395"/>
    <w:rsid w:val="7BC9569A"/>
    <w:rsid w:val="7CE64029"/>
    <w:rsid w:val="7D056BA5"/>
    <w:rsid w:val="7D820E12"/>
    <w:rsid w:val="7DC425BD"/>
    <w:rsid w:val="7E9C52E7"/>
    <w:rsid w:val="7ED4682F"/>
    <w:rsid w:val="7F8C0EB8"/>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1"/>
    <w:pPr>
      <w:ind w:left="108"/>
    </w:pPr>
    <w:rPr>
      <w:rFonts w:ascii="宋体" w:hAnsi="宋体" w:cs="宋体"/>
      <w:sz w:val="28"/>
      <w:szCs w:val="28"/>
      <w:lang w:val="zh-CN" w:bidi="zh-CN"/>
    </w:rPr>
  </w:style>
  <w:style w:type="paragraph" w:styleId="6">
    <w:name w:val="toc 3"/>
    <w:basedOn w:val="1"/>
    <w:next w:val="1"/>
    <w:semiHidden/>
    <w:unhideWhenUsed/>
    <w:qFormat/>
    <w:uiPriority w:val="39"/>
    <w:pPr>
      <w:ind w:left="840" w:leftChars="400"/>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ind w:left="420" w:leftChars="200"/>
    </w:p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页眉 Char"/>
    <w:basedOn w:val="14"/>
    <w:link w:val="8"/>
    <w:qFormat/>
    <w:uiPriority w:val="99"/>
    <w:rPr>
      <w:rFonts w:ascii="Times New Roman" w:hAnsi="Times New Roman" w:eastAsia="宋体" w:cs="Times New Roman"/>
      <w:sz w:val="18"/>
      <w:szCs w:val="18"/>
    </w:rPr>
  </w:style>
  <w:style w:type="character" w:customStyle="1" w:styleId="17">
    <w:name w:val="页脚 Char"/>
    <w:basedOn w:val="14"/>
    <w:link w:val="7"/>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paragraph" w:customStyle="1" w:styleId="2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3630</Words>
  <Characters>3837</Characters>
  <Lines>1</Lines>
  <Paragraphs>1</Paragraphs>
  <TotalTime>1</TotalTime>
  <ScaleCrop>false</ScaleCrop>
  <LinksUpToDate>false</LinksUpToDate>
  <CharactersWithSpaces>3898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LClian</cp:lastModifiedBy>
  <cp:lastPrinted>2020-04-20T08:58:00Z</cp:lastPrinted>
  <dcterms:modified xsi:type="dcterms:W3CDTF">2022-03-29T06:57:42Z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B1F7E4DD39334781A08366B91305DFFE</vt:lpwstr>
  </property>
</Properties>
</file>