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highlight w:val="none"/>
        </w:rPr>
      </w:pPr>
      <w:r>
        <w:rPr>
          <w:rFonts w:hint="eastAsia" w:ascii="方正仿宋_GBK" w:eastAsia="方正仿宋_GBK"/>
          <w:sz w:val="32"/>
          <w:szCs w:val="32"/>
          <w:highlight w:val="none"/>
        </w:rPr>
        <w:t>附件4</w:t>
      </w: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pStyle w:val="14"/>
        <w:spacing w:line="596" w:lineRule="exact"/>
        <w:ind w:left="359" w:leftChars="171" w:firstLine="1100" w:firstLineChars="250"/>
        <w:jc w:val="center"/>
        <w:rPr>
          <w:rFonts w:hint="eastAsia" w:eastAsia="方正小标宋_GBK"/>
          <w:sz w:val="44"/>
          <w:szCs w:val="32"/>
          <w:highlight w:val="none"/>
        </w:rPr>
      </w:pPr>
      <w:r>
        <w:rPr>
          <w:rFonts w:hint="eastAsia" w:eastAsia="方正小标宋_GBK"/>
          <w:sz w:val="44"/>
          <w:szCs w:val="32"/>
          <w:highlight w:val="none"/>
        </w:rPr>
        <w:t>重庆市璧山区水利综合行政执法支队</w:t>
      </w:r>
    </w:p>
    <w:p>
      <w:pPr>
        <w:pStyle w:val="14"/>
        <w:spacing w:line="596" w:lineRule="exact"/>
        <w:ind w:left="359" w:leftChars="171" w:firstLine="1100" w:firstLineChars="250"/>
        <w:jc w:val="center"/>
        <w:rPr>
          <w:rFonts w:eastAsia="方正小标宋_GBK"/>
          <w:sz w:val="44"/>
          <w:szCs w:val="32"/>
          <w:highlight w:val="none"/>
        </w:rPr>
      </w:pPr>
      <w:r>
        <w:rPr>
          <w:rFonts w:hint="eastAsia" w:eastAsia="方正小标宋_GBK"/>
          <w:sz w:val="44"/>
          <w:szCs w:val="32"/>
          <w:highlight w:val="none"/>
        </w:rPr>
        <w:t>2021</w:t>
      </w:r>
      <w:r>
        <w:rPr>
          <w:rFonts w:eastAsia="方正小标宋_GBK"/>
          <w:sz w:val="44"/>
          <w:szCs w:val="32"/>
          <w:highlight w:val="none"/>
        </w:rPr>
        <w:t>年</w:t>
      </w:r>
      <w:r>
        <w:rPr>
          <w:rFonts w:hint="eastAsia" w:eastAsia="方正小标宋_GBK"/>
          <w:sz w:val="44"/>
          <w:szCs w:val="32"/>
          <w:highlight w:val="none"/>
        </w:rPr>
        <w:t>度</w:t>
      </w:r>
      <w:r>
        <w:rPr>
          <w:rFonts w:eastAsia="方正小标宋_GBK"/>
          <w:sz w:val="44"/>
          <w:szCs w:val="32"/>
          <w:highlight w:val="none"/>
        </w:rPr>
        <w:t>整体支出绩效</w:t>
      </w:r>
      <w:r>
        <w:rPr>
          <w:rFonts w:hint="eastAsia" w:eastAsia="方正小标宋_GBK"/>
          <w:sz w:val="44"/>
          <w:szCs w:val="32"/>
          <w:highlight w:val="none"/>
        </w:rPr>
        <w:t>自评</w:t>
      </w:r>
      <w:r>
        <w:rPr>
          <w:rFonts w:eastAsia="方正小标宋_GBK"/>
          <w:sz w:val="44"/>
          <w:szCs w:val="32"/>
          <w:highlight w:val="none"/>
        </w:rPr>
        <w:t>报告</w:t>
      </w: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32"/>
          <w:szCs w:val="32"/>
          <w:highlight w:val="none"/>
        </w:rPr>
      </w:pPr>
      <w:r>
        <w:rPr>
          <w:rFonts w:hint="eastAsia" w:ascii="方正小标宋_GBK" w:hAnsi="方正小标宋_GBK" w:eastAsia="方正小标宋_GBK" w:cs="方正小标宋_GBK"/>
          <w:sz w:val="32"/>
          <w:szCs w:val="32"/>
          <w:highlight w:val="none"/>
        </w:rPr>
        <w:t>目录</w:t>
      </w:r>
    </w:p>
    <w:sdt>
      <w:sdtPr>
        <w:rPr>
          <w:rFonts w:ascii="宋体" w:hAnsi="宋体" w:eastAsia="宋体" w:cs="Times New Roman"/>
          <w:kern w:val="2"/>
          <w:sz w:val="21"/>
          <w:szCs w:val="24"/>
          <w:highlight w:val="none"/>
          <w:lang w:val="en-US" w:eastAsia="zh-CN" w:bidi="ar-SA"/>
        </w:rPr>
        <w:id w:val="147469852"/>
        <w15:color w:val="DBDBDB"/>
        <w:docPartObj>
          <w:docPartGallery w:val="Table of Contents"/>
          <w:docPartUnique/>
        </w:docPartObj>
      </w:sdtPr>
      <w:sdtEndPr>
        <w:rPr>
          <w:rFonts w:hint="eastAsia" w:ascii="方正仿宋_GBK" w:hAnsi="方正仿宋_GBK" w:eastAsia="方正仿宋_GBK" w:cs="方正仿宋_GBK"/>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TOC \o "1-3" \h \u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_Toc13830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一、基本情况</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_Toc13830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3</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_Toc9812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（一）</w:t>
          </w:r>
          <w:r>
            <w:rPr>
              <w:rFonts w:hint="eastAsia" w:eastAsia="方正仿宋_GBK"/>
              <w:sz w:val="32"/>
              <w:szCs w:val="48"/>
              <w:highlight w:val="none"/>
              <w:lang w:eastAsia="zh-CN"/>
            </w:rPr>
            <w:t>部门基本情况</w:t>
          </w:r>
          <w:r>
            <w:rPr>
              <w:sz w:val="32"/>
              <w:szCs w:val="40"/>
            </w:rPr>
            <w:tab/>
          </w:r>
          <w:r>
            <w:rPr>
              <w:sz w:val="32"/>
              <w:szCs w:val="40"/>
            </w:rPr>
            <w:fldChar w:fldCharType="begin"/>
          </w:r>
          <w:r>
            <w:rPr>
              <w:sz w:val="32"/>
              <w:szCs w:val="40"/>
            </w:rPr>
            <w:instrText xml:space="preserve"> PAGEREF _Toc9812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_Toc11222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1、</w:t>
          </w:r>
          <w:r>
            <w:rPr>
              <w:rFonts w:hint="eastAsia" w:ascii="方正仿宋_GBK" w:hAnsi="方正仿宋_GBK" w:eastAsia="方正仿宋_GBK" w:cs="方正仿宋_GBK"/>
              <w:sz w:val="32"/>
              <w:szCs w:val="48"/>
              <w:highlight w:val="none"/>
              <w:lang w:eastAsia="zh-CN"/>
            </w:rPr>
            <w:t>部门职级</w:t>
          </w:r>
          <w:r>
            <w:rPr>
              <w:sz w:val="32"/>
              <w:szCs w:val="40"/>
            </w:rPr>
            <w:tab/>
          </w:r>
          <w:r>
            <w:rPr>
              <w:sz w:val="32"/>
              <w:szCs w:val="40"/>
            </w:rPr>
            <w:fldChar w:fldCharType="begin"/>
          </w:r>
          <w:r>
            <w:rPr>
              <w:sz w:val="32"/>
              <w:szCs w:val="40"/>
            </w:rPr>
            <w:instrText xml:space="preserve"> PAGEREF _Toc11222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_Toc7743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2、人员</w:t>
          </w:r>
          <w:r>
            <w:rPr>
              <w:rFonts w:hint="eastAsia" w:ascii="方正仿宋_GBK" w:hAnsi="方正仿宋_GBK" w:eastAsia="方正仿宋_GBK" w:cs="方正仿宋_GBK"/>
              <w:sz w:val="32"/>
              <w:szCs w:val="48"/>
              <w:highlight w:val="none"/>
              <w:lang w:eastAsia="zh-CN"/>
            </w:rPr>
            <w:t>编制</w:t>
          </w:r>
          <w:r>
            <w:rPr>
              <w:sz w:val="32"/>
              <w:szCs w:val="40"/>
            </w:rPr>
            <w:tab/>
          </w:r>
          <w:r>
            <w:rPr>
              <w:sz w:val="32"/>
              <w:szCs w:val="40"/>
            </w:rPr>
            <w:fldChar w:fldCharType="begin"/>
          </w:r>
          <w:r>
            <w:rPr>
              <w:sz w:val="32"/>
              <w:szCs w:val="40"/>
            </w:rPr>
            <w:instrText xml:space="preserve"> PAGEREF _Toc7743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_Toc27566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3、职能职责</w:t>
          </w:r>
          <w:r>
            <w:rPr>
              <w:sz w:val="32"/>
              <w:szCs w:val="40"/>
            </w:rPr>
            <w:tab/>
          </w:r>
          <w:r>
            <w:rPr>
              <w:sz w:val="32"/>
              <w:szCs w:val="40"/>
            </w:rPr>
            <w:fldChar w:fldCharType="begin"/>
          </w:r>
          <w:r>
            <w:rPr>
              <w:sz w:val="32"/>
              <w:szCs w:val="40"/>
            </w:rPr>
            <w:instrText xml:space="preserve"> PAGEREF _Toc27566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_Toc19729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（二）</w:t>
          </w:r>
          <w:r>
            <w:rPr>
              <w:rFonts w:hint="eastAsia" w:eastAsia="方正仿宋_GBK"/>
              <w:sz w:val="32"/>
              <w:szCs w:val="48"/>
              <w:highlight w:val="none"/>
            </w:rPr>
            <w:t>预算及支出情况</w:t>
          </w:r>
          <w:r>
            <w:rPr>
              <w:sz w:val="32"/>
              <w:szCs w:val="40"/>
            </w:rPr>
            <w:tab/>
          </w:r>
          <w:r>
            <w:rPr>
              <w:sz w:val="32"/>
              <w:szCs w:val="40"/>
            </w:rPr>
            <w:fldChar w:fldCharType="begin"/>
          </w:r>
          <w:r>
            <w:rPr>
              <w:sz w:val="32"/>
              <w:szCs w:val="40"/>
            </w:rPr>
            <w:instrText xml:space="preserve"> PAGEREF _Toc19729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_Toc25795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1、</w:t>
          </w:r>
          <w:r>
            <w:rPr>
              <w:rFonts w:hint="eastAsia" w:ascii="方正仿宋_GBK" w:hAnsi="方正仿宋_GBK" w:eastAsia="方正仿宋_GBK" w:cs="方正仿宋_GBK"/>
              <w:sz w:val="32"/>
              <w:szCs w:val="48"/>
              <w:highlight w:val="none"/>
            </w:rPr>
            <w:t>财政资金整体支出</w:t>
          </w:r>
          <w:r>
            <w:rPr>
              <w:sz w:val="32"/>
              <w:szCs w:val="40"/>
            </w:rPr>
            <w:tab/>
          </w:r>
          <w:r>
            <w:rPr>
              <w:sz w:val="32"/>
              <w:szCs w:val="40"/>
            </w:rPr>
            <w:fldChar w:fldCharType="begin"/>
          </w:r>
          <w:r>
            <w:rPr>
              <w:sz w:val="32"/>
              <w:szCs w:val="40"/>
            </w:rPr>
            <w:instrText xml:space="preserve"> PAGEREF _Toc25795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_Toc24395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2、</w:t>
          </w:r>
          <w:r>
            <w:rPr>
              <w:rFonts w:hint="eastAsia" w:ascii="方正仿宋_GBK" w:hAnsi="方正仿宋_GBK" w:eastAsia="方正仿宋_GBK" w:cs="方正仿宋_GBK"/>
              <w:sz w:val="32"/>
              <w:szCs w:val="48"/>
              <w:highlight w:val="none"/>
            </w:rPr>
            <w:t>部门“三公”经费支出</w:t>
          </w:r>
          <w:r>
            <w:rPr>
              <w:sz w:val="32"/>
              <w:szCs w:val="40"/>
            </w:rPr>
            <w:tab/>
          </w:r>
          <w:r>
            <w:rPr>
              <w:sz w:val="32"/>
              <w:szCs w:val="40"/>
            </w:rPr>
            <w:fldChar w:fldCharType="begin"/>
          </w:r>
          <w:r>
            <w:rPr>
              <w:sz w:val="32"/>
              <w:szCs w:val="40"/>
            </w:rPr>
            <w:instrText xml:space="preserve"> PAGEREF _Toc24395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2"/>
              <w:sz w:val="32"/>
              <w:szCs w:val="48"/>
              <w:highlight w:val="none"/>
              <w:lang w:val="en-US" w:eastAsia="zh-CN" w:bidi="ar-SA"/>
            </w:rPr>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_Toc2890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二、绩效评价基本情况</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_Toc2890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4</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_Toc21301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（一）绩效评价目的</w:t>
          </w:r>
          <w:r>
            <w:rPr>
              <w:sz w:val="32"/>
              <w:szCs w:val="40"/>
            </w:rPr>
            <w:tab/>
          </w:r>
          <w:r>
            <w:rPr>
              <w:sz w:val="32"/>
              <w:szCs w:val="40"/>
            </w:rPr>
            <w:fldChar w:fldCharType="begin"/>
          </w:r>
          <w:r>
            <w:rPr>
              <w:sz w:val="32"/>
              <w:szCs w:val="40"/>
            </w:rPr>
            <w:instrText xml:space="preserve"> PAGEREF _Toc21301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_Toc31659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（二）绩效评价原则</w:t>
          </w:r>
          <w:r>
            <w:rPr>
              <w:sz w:val="32"/>
              <w:szCs w:val="40"/>
            </w:rPr>
            <w:tab/>
          </w:r>
          <w:r>
            <w:rPr>
              <w:sz w:val="32"/>
              <w:szCs w:val="40"/>
            </w:rPr>
            <w:fldChar w:fldCharType="begin"/>
          </w:r>
          <w:r>
            <w:rPr>
              <w:sz w:val="32"/>
              <w:szCs w:val="40"/>
            </w:rPr>
            <w:instrText xml:space="preserve"> PAGEREF _Toc31659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_Toc5588 </w:instrText>
          </w:r>
          <w:r>
            <w:rPr>
              <w:rFonts w:hint="eastAsia" w:ascii="方正仿宋_GBK" w:hAnsi="方正仿宋_GBK" w:eastAsia="方正仿宋_GBK" w:cs="方正仿宋_GBK"/>
              <w:sz w:val="32"/>
              <w:szCs w:val="48"/>
              <w:highlight w:val="none"/>
            </w:rPr>
            <w:fldChar w:fldCharType="separate"/>
          </w:r>
          <w:r>
            <w:rPr>
              <w:rFonts w:hint="eastAsia" w:eastAsia="方正仿宋_GBK"/>
              <w:sz w:val="32"/>
              <w:szCs w:val="48"/>
              <w:highlight w:val="none"/>
              <w:lang w:eastAsia="zh-CN"/>
            </w:rPr>
            <w:t>（三）</w:t>
          </w:r>
          <w:r>
            <w:rPr>
              <w:rFonts w:eastAsia="方正仿宋_GBK"/>
              <w:sz w:val="32"/>
              <w:szCs w:val="48"/>
              <w:highlight w:val="none"/>
            </w:rPr>
            <w:t>绩效评价工作过程</w:t>
          </w:r>
          <w:r>
            <w:rPr>
              <w:sz w:val="32"/>
              <w:szCs w:val="40"/>
            </w:rPr>
            <w:tab/>
          </w:r>
          <w:r>
            <w:rPr>
              <w:sz w:val="32"/>
              <w:szCs w:val="40"/>
            </w:rPr>
            <w:fldChar w:fldCharType="begin"/>
          </w:r>
          <w:r>
            <w:rPr>
              <w:sz w:val="32"/>
              <w:szCs w:val="40"/>
            </w:rPr>
            <w:instrText xml:space="preserve"> PAGEREF _Toc5588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_Toc4139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rPr>
            <w:t>1、前期准备</w:t>
          </w:r>
          <w:r>
            <w:rPr>
              <w:sz w:val="32"/>
              <w:szCs w:val="40"/>
            </w:rPr>
            <w:tab/>
          </w:r>
          <w:r>
            <w:rPr>
              <w:sz w:val="32"/>
              <w:szCs w:val="40"/>
            </w:rPr>
            <w:fldChar w:fldCharType="begin"/>
          </w:r>
          <w:r>
            <w:rPr>
              <w:sz w:val="32"/>
              <w:szCs w:val="40"/>
            </w:rPr>
            <w:instrText xml:space="preserve"> PAGEREF _Toc4139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_Toc31840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2、</w:t>
          </w:r>
          <w:r>
            <w:rPr>
              <w:rFonts w:hint="eastAsia" w:ascii="方正仿宋_GBK" w:hAnsi="方正仿宋_GBK" w:eastAsia="方正仿宋_GBK" w:cs="方正仿宋_GBK"/>
              <w:sz w:val="32"/>
              <w:szCs w:val="48"/>
              <w:highlight w:val="none"/>
              <w:lang w:eastAsia="zh-CN"/>
            </w:rPr>
            <w:t>组织实施</w:t>
          </w:r>
          <w:r>
            <w:rPr>
              <w:sz w:val="32"/>
              <w:szCs w:val="40"/>
            </w:rPr>
            <w:tab/>
          </w:r>
          <w:r>
            <w:rPr>
              <w:sz w:val="32"/>
              <w:szCs w:val="40"/>
            </w:rPr>
            <w:fldChar w:fldCharType="begin"/>
          </w:r>
          <w:r>
            <w:rPr>
              <w:sz w:val="32"/>
              <w:szCs w:val="40"/>
            </w:rPr>
            <w:instrText xml:space="preserve"> PAGEREF _Toc31840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_Toc17664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3、分析评价</w:t>
          </w:r>
          <w:r>
            <w:rPr>
              <w:sz w:val="32"/>
              <w:szCs w:val="40"/>
            </w:rPr>
            <w:tab/>
          </w:r>
          <w:r>
            <w:rPr>
              <w:sz w:val="32"/>
              <w:szCs w:val="40"/>
            </w:rPr>
            <w:fldChar w:fldCharType="begin"/>
          </w:r>
          <w:r>
            <w:rPr>
              <w:sz w:val="32"/>
              <w:szCs w:val="40"/>
            </w:rPr>
            <w:instrText xml:space="preserve"> PAGEREF _Toc17664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2"/>
              <w:sz w:val="32"/>
              <w:szCs w:val="48"/>
              <w:highlight w:val="none"/>
              <w:lang w:val="en-US" w:eastAsia="zh-CN" w:bidi="ar-SA"/>
            </w:rPr>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_Toc9877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三、绩效评价情况及结论</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_Toc9877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6</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2"/>
              <w:sz w:val="32"/>
              <w:szCs w:val="48"/>
              <w:highlight w:val="none"/>
              <w:lang w:val="en-US" w:eastAsia="zh-CN" w:bidi="ar-SA"/>
            </w:rPr>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_Toc26092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四、主要经验及做法</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_Toc26092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8</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_Toc30800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五、存在的问题和建议</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_Toc30800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9</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_Toc6615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（一）</w:t>
          </w:r>
          <w:r>
            <w:rPr>
              <w:rFonts w:hint="eastAsia" w:eastAsia="方正仿宋_GBK"/>
              <w:sz w:val="32"/>
              <w:szCs w:val="48"/>
              <w:highlight w:val="none"/>
              <w:lang w:eastAsia="zh-CN"/>
            </w:rPr>
            <w:t>存在的问题</w:t>
          </w:r>
          <w:r>
            <w:rPr>
              <w:sz w:val="32"/>
              <w:szCs w:val="40"/>
            </w:rPr>
            <w:tab/>
          </w:r>
          <w:r>
            <w:rPr>
              <w:sz w:val="32"/>
              <w:szCs w:val="40"/>
            </w:rPr>
            <w:fldChar w:fldCharType="begin"/>
          </w:r>
          <w:r>
            <w:rPr>
              <w:sz w:val="32"/>
              <w:szCs w:val="40"/>
            </w:rPr>
            <w:instrText xml:space="preserve"> PAGEREF _Toc6615 \h </w:instrText>
          </w:r>
          <w:r>
            <w:rPr>
              <w:sz w:val="32"/>
              <w:szCs w:val="40"/>
            </w:rPr>
            <w:fldChar w:fldCharType="separate"/>
          </w:r>
          <w:r>
            <w:rPr>
              <w:sz w:val="32"/>
              <w:szCs w:val="40"/>
            </w:rPr>
            <w:t>9</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_Toc3419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w:t>
          </w:r>
          <w:r>
            <w:rPr>
              <w:rFonts w:hint="eastAsia" w:eastAsia="方正仿宋_GBK"/>
              <w:sz w:val="32"/>
              <w:szCs w:val="48"/>
              <w:highlight w:val="none"/>
              <w:lang w:eastAsia="zh-CN"/>
            </w:rPr>
            <w:t>二</w:t>
          </w:r>
          <w:r>
            <w:rPr>
              <w:rFonts w:eastAsia="方正仿宋_GBK"/>
              <w:sz w:val="32"/>
              <w:szCs w:val="48"/>
              <w:highlight w:val="none"/>
            </w:rPr>
            <w:t>）</w:t>
          </w:r>
          <w:r>
            <w:rPr>
              <w:rFonts w:hint="eastAsia" w:eastAsia="方正仿宋_GBK"/>
              <w:sz w:val="32"/>
              <w:szCs w:val="48"/>
              <w:highlight w:val="none"/>
              <w:lang w:eastAsia="zh-CN"/>
            </w:rPr>
            <w:t>建议</w:t>
          </w:r>
          <w:r>
            <w:rPr>
              <w:sz w:val="32"/>
              <w:szCs w:val="40"/>
            </w:rPr>
            <w:tab/>
          </w:r>
          <w:r>
            <w:rPr>
              <w:sz w:val="32"/>
              <w:szCs w:val="40"/>
            </w:rPr>
            <w:fldChar w:fldCharType="begin"/>
          </w:r>
          <w:r>
            <w:rPr>
              <w:sz w:val="32"/>
              <w:szCs w:val="40"/>
            </w:rPr>
            <w:instrText xml:space="preserve"> PAGEREF _Toc3419 \h </w:instrText>
          </w:r>
          <w:r>
            <w:rPr>
              <w:sz w:val="32"/>
              <w:szCs w:val="40"/>
            </w:rPr>
            <w:fldChar w:fldCharType="separate"/>
          </w:r>
          <w:r>
            <w:rPr>
              <w:sz w:val="32"/>
              <w:szCs w:val="40"/>
            </w:rPr>
            <w:t>9</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Cs w:val="32"/>
              <w:highlight w:val="none"/>
            </w:rPr>
            <w:fldChar w:fldCharType="end"/>
          </w:r>
        </w:p>
      </w:sdtContent>
    </w:sdt>
    <w:p>
      <w:pPr>
        <w:rPr>
          <w:rFonts w:eastAsia="方正黑体_GBK"/>
          <w:sz w:val="32"/>
          <w:szCs w:val="32"/>
          <w:highlight w:val="none"/>
        </w:rPr>
      </w:pPr>
      <w:r>
        <w:rPr>
          <w:rFonts w:eastAsia="方正黑体_GBK"/>
          <w:sz w:val="32"/>
          <w:szCs w:val="32"/>
          <w:highlight w:val="none"/>
        </w:rPr>
        <w:br w:type="page"/>
      </w:r>
    </w:p>
    <w:p>
      <w:pPr>
        <w:spacing w:line="560" w:lineRule="exact"/>
        <w:ind w:firstLine="640" w:firstLineChars="200"/>
        <w:rPr>
          <w:rFonts w:eastAsia="方正黑体_GBK"/>
          <w:sz w:val="32"/>
          <w:szCs w:val="32"/>
          <w:highlight w:val="none"/>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sz w:val="32"/>
          <w:szCs w:val="32"/>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spacing w:line="596" w:lineRule="exact"/>
        <w:ind w:firstLine="640" w:firstLineChars="200"/>
        <w:outlineLvl w:val="0"/>
        <w:rPr>
          <w:rFonts w:eastAsia="方正黑体_GBK"/>
          <w:sz w:val="32"/>
          <w:szCs w:val="32"/>
          <w:highlight w:val="none"/>
        </w:rPr>
      </w:pPr>
      <w:bookmarkStart w:id="0" w:name="_Toc13830"/>
      <w:r>
        <w:rPr>
          <w:rFonts w:eastAsia="方正黑体_GBK"/>
          <w:sz w:val="32"/>
          <w:szCs w:val="32"/>
          <w:highlight w:val="none"/>
        </w:rPr>
        <w:t>一、基本</w:t>
      </w:r>
      <w:r>
        <w:rPr>
          <w:rFonts w:hint="eastAsia" w:eastAsia="方正黑体_GBK"/>
          <w:sz w:val="32"/>
          <w:szCs w:val="32"/>
          <w:highlight w:val="none"/>
        </w:rPr>
        <w:t>情况</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sz w:val="32"/>
          <w:szCs w:val="32"/>
          <w:highlight w:val="none"/>
          <w:lang w:eastAsia="zh-CN"/>
        </w:rPr>
      </w:pPr>
      <w:bookmarkStart w:id="1" w:name="_Toc9812"/>
      <w:r>
        <w:rPr>
          <w:rFonts w:eastAsia="方正仿宋_GBK"/>
          <w:sz w:val="32"/>
          <w:szCs w:val="32"/>
          <w:highlight w:val="none"/>
        </w:rPr>
        <w:t>（一）</w:t>
      </w:r>
      <w:r>
        <w:rPr>
          <w:rFonts w:hint="eastAsia" w:eastAsia="方正仿宋_GBK"/>
          <w:sz w:val="32"/>
          <w:szCs w:val="32"/>
          <w:highlight w:val="none"/>
          <w:lang w:eastAsia="zh-CN"/>
        </w:rPr>
        <w:t>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2" w:name="_Toc11222"/>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重庆市璧山区水利综合行致执法支队，为区水利局管理的财政全额补助公益</w:t>
      </w:r>
      <w:r>
        <w:rPr>
          <w:rFonts w:hint="eastAsia" w:ascii="方正仿宋_GBK" w:hAnsi="方正仿宋_GBK" w:eastAsia="方正仿宋_GBK" w:cs="方正仿宋_GBK"/>
          <w:color w:val="auto"/>
          <w:sz w:val="32"/>
          <w:szCs w:val="32"/>
          <w:highlight w:val="none"/>
          <w:lang w:val="en-US" w:eastAsia="zh-CN"/>
        </w:rPr>
        <w:t>一</w:t>
      </w:r>
      <w:r>
        <w:rPr>
          <w:rFonts w:hint="eastAsia" w:ascii="方正仿宋_GBK" w:hAnsi="方正仿宋_GBK" w:eastAsia="方正仿宋_GBK" w:cs="方正仿宋_GBK"/>
          <w:color w:val="auto"/>
          <w:sz w:val="32"/>
          <w:szCs w:val="32"/>
          <w:highlight w:val="none"/>
        </w:rPr>
        <w:t>类正科级事业单位。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3" w:name="_Toc7743"/>
      <w:r>
        <w:rPr>
          <w:rFonts w:hint="eastAsia" w:ascii="方正仿宋_GBK" w:hAnsi="方正仿宋_GBK" w:eastAsia="方正仿宋_GBK" w:cs="方正仿宋_GBK"/>
          <w:color w:val="auto"/>
          <w:sz w:val="32"/>
          <w:szCs w:val="32"/>
          <w:highlight w:val="none"/>
          <w:lang w:val="en-US" w:eastAsia="zh-CN"/>
        </w:rPr>
        <w:t>2、人员</w:t>
      </w:r>
      <w:r>
        <w:rPr>
          <w:rFonts w:hint="eastAsia" w:ascii="方正仿宋_GBK" w:hAnsi="方正仿宋_GBK" w:eastAsia="方正仿宋_GBK" w:cs="方正仿宋_GBK"/>
          <w:color w:val="auto"/>
          <w:sz w:val="32"/>
          <w:szCs w:val="32"/>
          <w:highlight w:val="none"/>
          <w:lang w:eastAsia="zh-CN"/>
        </w:rPr>
        <w:t>编制</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从区农业综合行政执法支队连人带编划转1名到区水利综合行政执法支队。划转后，区水利综合行政执法支队核定事业编制9名(</w:t>
      </w:r>
      <w:r>
        <w:rPr>
          <w:rFonts w:hint="eastAsia" w:ascii="方正仿宋_GBK" w:hAnsi="方正仿宋_GBK" w:eastAsia="方正仿宋_GBK" w:cs="方正仿宋_GBK"/>
          <w:color w:val="auto"/>
          <w:sz w:val="32"/>
          <w:szCs w:val="32"/>
          <w:highlight w:val="none"/>
          <w:lang w:val="en-US" w:eastAsia="zh-CN"/>
        </w:rPr>
        <w:t>干</w:t>
      </w:r>
      <w:r>
        <w:rPr>
          <w:rFonts w:hint="eastAsia" w:ascii="方正仿宋_GBK" w:hAnsi="方正仿宋_GBK" w:eastAsia="方正仿宋_GBK" w:cs="方正仿宋_GBK"/>
          <w:color w:val="auto"/>
          <w:sz w:val="32"/>
          <w:szCs w:val="32"/>
          <w:highlight w:val="none"/>
        </w:rPr>
        <w:t>部)。核定领导职数2名，其中</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正职1名，副职1名。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4" w:name="_Toc27566"/>
      <w:r>
        <w:rPr>
          <w:rFonts w:hint="eastAsia" w:ascii="方正仿宋_GBK" w:hAnsi="方正仿宋_GBK" w:eastAsia="方正仿宋_GBK" w:cs="方正仿宋_GBK"/>
          <w:color w:val="auto"/>
          <w:sz w:val="32"/>
          <w:szCs w:val="32"/>
          <w:highlight w:val="none"/>
          <w:lang w:val="en-US" w:eastAsia="zh-CN"/>
        </w:rPr>
        <w:t>3、职能职责</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）宣传贯彻水法律、法规和规章；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）受主管部门委托,承担全区水行政执法，调查处理水事纠纷和水事违法案件，开展水利行业领域安全生产违法行为的行政处罚；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）受主管部门委托，依法对水工程、水资源、河道、水文设施及防洪设施进行监察；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）受主管部门委托，监督全区水务工程的质量,做好水利工程建设项目稽查工作；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）协助主管部门做好编制和实施河道岸线利用与保护规划的事务性工作；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）承担河道治理的事务性工作,做好涉河建设项目论证的事务工作及相关的资料管理等工作；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）承办主管部门交办的其他事项。</w:t>
      </w:r>
    </w:p>
    <w:p>
      <w:pPr>
        <w:spacing w:line="596" w:lineRule="exact"/>
        <w:ind w:firstLine="640" w:firstLineChars="200"/>
        <w:outlineLvl w:val="1"/>
        <w:rPr>
          <w:rFonts w:eastAsia="方正仿宋_GBK"/>
          <w:sz w:val="32"/>
          <w:szCs w:val="32"/>
          <w:highlight w:val="none"/>
        </w:rPr>
      </w:pPr>
      <w:bookmarkStart w:id="5" w:name="_Toc19729"/>
      <w:r>
        <w:rPr>
          <w:rFonts w:eastAsia="方正仿宋_GBK"/>
          <w:sz w:val="32"/>
          <w:szCs w:val="32"/>
          <w:highlight w:val="none"/>
        </w:rPr>
        <w:t>（二）</w:t>
      </w:r>
      <w:r>
        <w:rPr>
          <w:rFonts w:hint="eastAsia" w:eastAsia="方正仿宋_GBK"/>
          <w:sz w:val="32"/>
          <w:szCs w:val="32"/>
          <w:highlight w:val="none"/>
        </w:rPr>
        <w:t>预算及支出情况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6" w:name="_Toc25795"/>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财政资金整体支出</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年财政资金年初支出预算为391</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万元，年中调整预算为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361.84</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上年无结转</w:t>
      </w:r>
      <w:r>
        <w:rPr>
          <w:rFonts w:hint="eastAsia" w:ascii="方正仿宋_GBK" w:hAnsi="方正仿宋_GBK" w:eastAsia="方正仿宋_GBK" w:cs="方正仿宋_GBK"/>
          <w:color w:val="auto"/>
          <w:sz w:val="32"/>
          <w:szCs w:val="32"/>
          <w:highlight w:val="none"/>
        </w:rPr>
        <w:t>，调整后支出预算为361</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84万元；年末支出决算为361</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84</w:t>
      </w:r>
      <w:r>
        <w:rPr>
          <w:rFonts w:hint="eastAsia" w:ascii="方正仿宋_GBK" w:hAnsi="方正仿宋_GBK" w:eastAsia="方正仿宋_GBK" w:cs="方正仿宋_GBK"/>
          <w:color w:val="auto"/>
          <w:sz w:val="32"/>
          <w:szCs w:val="32"/>
          <w:highlight w:val="none"/>
          <w:lang w:val="en-US" w:eastAsia="zh-CN"/>
        </w:rPr>
        <w:t>万</w:t>
      </w:r>
      <w:r>
        <w:rPr>
          <w:rFonts w:hint="eastAsia" w:ascii="方正仿宋_GBK" w:hAnsi="方正仿宋_GBK" w:eastAsia="方正仿宋_GBK" w:cs="方正仿宋_GBK"/>
          <w:color w:val="auto"/>
          <w:sz w:val="32"/>
          <w:szCs w:val="32"/>
          <w:highlight w:val="none"/>
        </w:rPr>
        <w:t>元</w:t>
      </w:r>
      <w:r>
        <w:rPr>
          <w:rFonts w:hint="eastAsia" w:ascii="方正仿宋_GBK" w:hAnsi="方正仿宋_GBK" w:eastAsia="方正仿宋_GBK" w:cs="方正仿宋_GBK"/>
          <w:color w:val="auto"/>
          <w:sz w:val="32"/>
          <w:szCs w:val="32"/>
          <w:highlight w:val="none"/>
          <w:lang w:eastAsia="zh-CN"/>
        </w:rPr>
        <w:t>，年末</w:t>
      </w:r>
      <w:r>
        <w:rPr>
          <w:rFonts w:hint="eastAsia" w:ascii="方正仿宋_GBK" w:hAnsi="方正仿宋_GBK" w:eastAsia="方正仿宋_GBK" w:cs="方正仿宋_GBK"/>
          <w:color w:val="auto"/>
          <w:sz w:val="32"/>
          <w:szCs w:val="32"/>
          <w:highlight w:val="none"/>
          <w:lang w:val="en-US" w:eastAsia="zh-CN"/>
        </w:rPr>
        <w:t>无</w:t>
      </w:r>
      <w:r>
        <w:rPr>
          <w:rFonts w:hint="eastAsia" w:ascii="方正仿宋_GBK" w:hAnsi="方正仿宋_GBK" w:eastAsia="方正仿宋_GBK" w:cs="方正仿宋_GBK"/>
          <w:color w:val="auto"/>
          <w:sz w:val="32"/>
          <w:szCs w:val="32"/>
          <w:highlight w:val="none"/>
          <w:lang w:eastAsia="zh-CN"/>
        </w:rPr>
        <w:t>结转和结余。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7" w:name="_Toc24395"/>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宋体"/>
          <w:highlight w:val="none"/>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“三公”经费支出总额3</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15万元，其中：公务车运行维护费2</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95万元、国内公务接待</w:t>
      </w:r>
      <w:r>
        <w:rPr>
          <w:rFonts w:hint="eastAsia" w:ascii="方正仿宋_GBK" w:hAnsi="方正仿宋_GBK" w:eastAsia="方正仿宋_GBK" w:cs="方正仿宋_GBK"/>
          <w:color w:val="auto"/>
          <w:sz w:val="32"/>
          <w:szCs w:val="32"/>
          <w:highlight w:val="none"/>
          <w:lang w:val="en-US" w:eastAsia="zh-CN"/>
        </w:rPr>
        <w:t>0.20</w:t>
      </w:r>
      <w:r>
        <w:rPr>
          <w:rFonts w:hint="eastAsia" w:ascii="方正仿宋_GBK" w:hAnsi="方正仿宋_GBK" w:eastAsia="方正仿宋_GBK" w:cs="方正仿宋_GBK"/>
          <w:color w:val="auto"/>
          <w:sz w:val="32"/>
          <w:szCs w:val="32"/>
          <w:highlight w:val="none"/>
        </w:rPr>
        <w:t>万元。年初预算支出7万，比预算减少</w:t>
      </w:r>
      <w:r>
        <w:rPr>
          <w:rFonts w:hint="eastAsia" w:ascii="方正仿宋_GBK" w:hAnsi="方正仿宋_GBK" w:eastAsia="方正仿宋_GBK" w:cs="方正仿宋_GBK"/>
          <w:color w:val="auto"/>
          <w:sz w:val="32"/>
          <w:szCs w:val="32"/>
          <w:highlight w:val="none"/>
          <w:lang w:val="en-US" w:eastAsia="zh-CN"/>
        </w:rPr>
        <w:t>3.85</w:t>
      </w:r>
      <w:r>
        <w:rPr>
          <w:rFonts w:hint="eastAsia" w:ascii="方正仿宋_GBK" w:hAnsi="方正仿宋_GBK" w:eastAsia="方正仿宋_GBK" w:cs="方正仿宋_GBK"/>
          <w:color w:val="auto"/>
          <w:sz w:val="32"/>
          <w:szCs w:val="32"/>
          <w:highlight w:val="none"/>
        </w:rPr>
        <w:t>万元，主要原因是公务车运行维护费减少。公务用车未新购置、保有量为1辆、无因公出国（境）团组数及人数，国内公务接待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批次及</w:t>
      </w:r>
      <w:r>
        <w:rPr>
          <w:rFonts w:hint="eastAsia" w:ascii="方正仿宋_GBK" w:hAnsi="方正仿宋_GBK" w:eastAsia="方正仿宋_GBK" w:cs="方正仿宋_GBK"/>
          <w:color w:val="auto"/>
          <w:sz w:val="32"/>
          <w:szCs w:val="32"/>
          <w:highlight w:val="none"/>
          <w:lang w:val="en-US" w:eastAsia="zh-CN"/>
        </w:rPr>
        <w:t>32</w:t>
      </w:r>
      <w:r>
        <w:rPr>
          <w:rFonts w:hint="eastAsia" w:ascii="方正仿宋_GBK" w:hAnsi="方正仿宋_GBK" w:eastAsia="方正仿宋_GBK" w:cs="方正仿宋_GBK"/>
          <w:color w:val="auto"/>
          <w:sz w:val="32"/>
          <w:szCs w:val="32"/>
          <w:highlight w:val="none"/>
        </w:rPr>
        <w:t>人数。</w:t>
      </w:r>
    </w:p>
    <w:p>
      <w:pPr>
        <w:spacing w:line="596" w:lineRule="exact"/>
        <w:ind w:firstLine="640" w:firstLineChars="200"/>
        <w:outlineLvl w:val="0"/>
        <w:rPr>
          <w:rFonts w:eastAsia="方正仿宋_GBK"/>
          <w:sz w:val="32"/>
          <w:szCs w:val="32"/>
          <w:highlight w:val="none"/>
        </w:rPr>
      </w:pPr>
      <w:bookmarkStart w:id="8" w:name="_Toc2890"/>
      <w:r>
        <w:rPr>
          <w:rFonts w:eastAsia="方正黑体_GBK"/>
          <w:sz w:val="32"/>
          <w:szCs w:val="32"/>
          <w:highlight w:val="none"/>
        </w:rPr>
        <w:t>二、绩效评价</w:t>
      </w:r>
      <w:r>
        <w:rPr>
          <w:rFonts w:hint="eastAsia" w:eastAsia="方正黑体_GBK"/>
          <w:sz w:val="32"/>
          <w:szCs w:val="32"/>
          <w:highlight w:val="none"/>
        </w:rPr>
        <w:t>基本</w:t>
      </w:r>
      <w:r>
        <w:rPr>
          <w:rFonts w:eastAsia="方正黑体_GBK"/>
          <w:sz w:val="32"/>
          <w:szCs w:val="32"/>
          <w:highlight w:val="none"/>
        </w:rPr>
        <w:t>情况</w:t>
      </w:r>
      <w:bookmarkEnd w:id="8"/>
    </w:p>
    <w:p>
      <w:pPr>
        <w:spacing w:line="596" w:lineRule="exact"/>
        <w:ind w:firstLine="640" w:firstLineChars="200"/>
        <w:outlineLvl w:val="1"/>
        <w:rPr>
          <w:rFonts w:eastAsia="方正仿宋_GBK"/>
          <w:sz w:val="32"/>
          <w:szCs w:val="32"/>
          <w:highlight w:val="none"/>
        </w:rPr>
      </w:pPr>
      <w:bookmarkStart w:id="9" w:name="_Toc21301"/>
      <w:r>
        <w:rPr>
          <w:rFonts w:eastAsia="方正仿宋_GBK"/>
          <w:sz w:val="32"/>
          <w:szCs w:val="32"/>
          <w:highlight w:val="none"/>
        </w:rPr>
        <w:t>（一）绩效评价目的</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highlight w:val="none"/>
        </w:rPr>
      </w:pPr>
      <w:r>
        <w:rPr>
          <w:rFonts w:hint="eastAsia" w:ascii="Times New Roman" w:hAnsi="Times New Roman" w:eastAsia="方正仿宋_GBK" w:cs="Times New Roman"/>
          <w:b w:val="0"/>
          <w:bCs w:val="0"/>
          <w:color w:val="auto"/>
          <w:kern w:val="2"/>
          <w:sz w:val="32"/>
          <w:szCs w:val="32"/>
          <w:highlight w:val="none"/>
          <w:lang w:val="en-US" w:eastAsia="zh-CN" w:bidi="ar-SA"/>
        </w:rPr>
        <w:t>为加强预算执行分</w:t>
      </w:r>
      <w:r>
        <w:rPr>
          <w:rFonts w:hint="eastAsia" w:ascii="方正仿宋_GBK" w:hAnsi="方正仿宋_GBK" w:eastAsia="方正仿宋_GBK" w:cs="方正仿宋_GBK"/>
          <w:color w:val="auto"/>
          <w:sz w:val="32"/>
          <w:szCs w:val="32"/>
          <w:highlight w:val="none"/>
          <w:lang w:val="en-US" w:eastAsia="zh-CN"/>
        </w:rPr>
        <w:t>析，规范财务管理，强化财政资金跟踪问效和绩效管理，建立对下属预算单位的监督、指导机制，及时发现问题并采取有效措施解决，组织开展部门2021年整</w:t>
      </w:r>
      <w:r>
        <w:rPr>
          <w:rFonts w:hint="eastAsia" w:ascii="Times New Roman" w:hAnsi="Times New Roman" w:eastAsia="方正仿宋_GBK" w:cs="Times New Roman"/>
          <w:b w:val="0"/>
          <w:bCs w:val="0"/>
          <w:color w:val="auto"/>
          <w:kern w:val="2"/>
          <w:sz w:val="32"/>
          <w:szCs w:val="32"/>
          <w:highlight w:val="none"/>
          <w:lang w:val="en-US" w:eastAsia="zh-CN" w:bidi="ar-SA"/>
        </w:rPr>
        <w:t>体支出绩效自评。</w:t>
      </w:r>
    </w:p>
    <w:p>
      <w:pPr>
        <w:spacing w:line="596" w:lineRule="exact"/>
        <w:ind w:firstLine="640" w:firstLineChars="200"/>
        <w:outlineLvl w:val="1"/>
        <w:rPr>
          <w:rFonts w:eastAsia="方正仿宋_GBK"/>
          <w:sz w:val="32"/>
          <w:szCs w:val="32"/>
          <w:highlight w:val="none"/>
        </w:rPr>
      </w:pPr>
      <w:bookmarkStart w:id="10" w:name="_Toc31659"/>
      <w:r>
        <w:rPr>
          <w:rFonts w:eastAsia="方正仿宋_GBK"/>
          <w:sz w:val="32"/>
          <w:szCs w:val="32"/>
          <w:highlight w:val="none"/>
        </w:rPr>
        <w:t>（二）绩效评价原则</w:t>
      </w:r>
      <w:bookmarkEnd w:id="10"/>
    </w:p>
    <w:p>
      <w:pPr>
        <w:spacing w:line="596" w:lineRule="exact"/>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绩效评价原则包括</w:t>
      </w:r>
      <w:r>
        <w:rPr>
          <w:rFonts w:ascii="仿宋_GB2312" w:eastAsia="仿宋_GB2312"/>
          <w:bCs/>
          <w:sz w:val="32"/>
          <w:szCs w:val="32"/>
          <w:highlight w:val="none"/>
        </w:rPr>
        <w:t>科学规范原则</w:t>
      </w:r>
      <w:r>
        <w:rPr>
          <w:rFonts w:hint="eastAsia" w:ascii="仿宋_GB2312" w:eastAsia="仿宋_GB2312"/>
          <w:bCs/>
          <w:sz w:val="32"/>
          <w:szCs w:val="32"/>
          <w:highlight w:val="none"/>
        </w:rPr>
        <w:t>、</w:t>
      </w:r>
      <w:r>
        <w:rPr>
          <w:rFonts w:ascii="仿宋_GB2312" w:eastAsia="仿宋_GB2312"/>
          <w:bCs/>
          <w:sz w:val="32"/>
          <w:szCs w:val="32"/>
          <w:highlight w:val="none"/>
        </w:rPr>
        <w:t>公开公正原则</w:t>
      </w:r>
      <w:r>
        <w:rPr>
          <w:rFonts w:hint="eastAsia" w:ascii="仿宋_GB2312" w:eastAsia="仿宋_GB2312"/>
          <w:bCs/>
          <w:sz w:val="32"/>
          <w:szCs w:val="32"/>
          <w:highlight w:val="none"/>
        </w:rPr>
        <w:t>、</w:t>
      </w:r>
      <w:r>
        <w:rPr>
          <w:rFonts w:ascii="仿宋_GB2312" w:eastAsia="仿宋_GB2312"/>
          <w:bCs/>
          <w:sz w:val="32"/>
          <w:szCs w:val="32"/>
          <w:highlight w:val="none"/>
        </w:rPr>
        <w:t>分级分类原则</w:t>
      </w:r>
      <w:r>
        <w:rPr>
          <w:rFonts w:hint="eastAsia" w:ascii="仿宋_GB2312" w:eastAsia="仿宋_GB2312"/>
          <w:bCs/>
          <w:sz w:val="32"/>
          <w:szCs w:val="32"/>
          <w:highlight w:val="none"/>
        </w:rPr>
        <w:t>、</w:t>
      </w:r>
      <w:r>
        <w:rPr>
          <w:rFonts w:ascii="仿宋_GB2312" w:eastAsia="仿宋_GB2312"/>
          <w:bCs/>
          <w:sz w:val="32"/>
          <w:szCs w:val="32"/>
          <w:highlight w:val="none"/>
        </w:rPr>
        <w:t>绩效相关原则。</w:t>
      </w:r>
    </w:p>
    <w:p>
      <w:pPr>
        <w:spacing w:line="596" w:lineRule="exact"/>
        <w:ind w:firstLine="640" w:firstLineChars="200"/>
        <w:outlineLvl w:val="1"/>
        <w:rPr>
          <w:rFonts w:eastAsia="方正仿宋_GBK"/>
          <w:sz w:val="32"/>
          <w:szCs w:val="32"/>
          <w:highlight w:val="none"/>
        </w:rPr>
      </w:pPr>
      <w:bookmarkStart w:id="11" w:name="_Toc5588"/>
      <w:r>
        <w:rPr>
          <w:rFonts w:hint="eastAsia" w:eastAsia="方正仿宋_GBK"/>
          <w:sz w:val="32"/>
          <w:szCs w:val="32"/>
          <w:highlight w:val="none"/>
          <w:lang w:eastAsia="zh-CN"/>
        </w:rPr>
        <w:t>（三）</w:t>
      </w:r>
      <w:r>
        <w:rPr>
          <w:rFonts w:eastAsia="方正仿宋_GBK"/>
          <w:sz w:val="32"/>
          <w:szCs w:val="32"/>
          <w:highlight w:val="none"/>
        </w:rPr>
        <w:t>绩效评价工作过程</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12" w:name="_Toc4139"/>
      <w:r>
        <w:rPr>
          <w:rFonts w:hint="eastAsia" w:ascii="方正仿宋_GBK" w:hAnsi="方正仿宋_GBK" w:eastAsia="方正仿宋_GBK" w:cs="方正仿宋_GBK"/>
          <w:color w:val="auto"/>
          <w:sz w:val="32"/>
          <w:szCs w:val="32"/>
          <w:highlight w:val="none"/>
        </w:rPr>
        <w:t>1、前期准备</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Cs w:val="32"/>
          <w:highlight w:val="none"/>
        </w:rPr>
      </w:pPr>
      <w:bookmarkStart w:id="13" w:name="_Toc31938"/>
      <w:r>
        <w:rPr>
          <w:rFonts w:hint="eastAsia" w:ascii="Times New Roman" w:hAnsi="Times New Roman" w:eastAsia="方正仿宋_GBK" w:cs="Times New Roman"/>
          <w:b w:val="0"/>
          <w:bCs w:val="0"/>
          <w:color w:val="auto"/>
          <w:kern w:val="2"/>
          <w:sz w:val="32"/>
          <w:szCs w:val="32"/>
          <w:highlight w:val="none"/>
          <w:lang w:val="en-US" w:eastAsia="zh-CN" w:bidi="ar-SA"/>
        </w:rPr>
        <w:t>根据</w:t>
      </w:r>
      <w:r>
        <w:rPr>
          <w:rFonts w:hint="eastAsia" w:ascii="方正仿宋_GBK" w:hAnsi="方正仿宋_GBK" w:eastAsia="方正仿宋_GBK" w:cs="方正仿宋_GBK"/>
          <w:sz w:val="32"/>
          <w:szCs w:val="32"/>
        </w:rPr>
        <w:t>《重庆市璧山区财政局关于开展2021年度预算绩效自评工作的通知》（璧财绩〔2022〕2号）</w:t>
      </w:r>
      <w:bookmarkStart w:id="35" w:name="_GoBack"/>
      <w:bookmarkEnd w:id="35"/>
      <w:r>
        <w:rPr>
          <w:rFonts w:hint="eastAsia" w:ascii="Times New Roman" w:hAnsi="Times New Roman" w:eastAsia="方正仿宋_GBK" w:cs="Times New Roman"/>
          <w:b w:val="0"/>
          <w:bCs w:val="0"/>
          <w:color w:val="auto"/>
          <w:kern w:val="2"/>
          <w:sz w:val="32"/>
          <w:szCs w:val="32"/>
          <w:highlight w:val="none"/>
          <w:lang w:val="en-US" w:eastAsia="zh-CN" w:bidi="ar-SA"/>
        </w:rPr>
        <w:t>文件要求，我单位高度重视绩效评价，组成由单位领导、财务人员和各项目负责人组成的自评小组，制定自评方案，明确自评程序和方法，通知要求资金使用科室上报资金使用情况、项目实施情况及计划绩效目标完成情况。</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14" w:name="_Toc31840"/>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组织实施</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本次绩效评价工作分为两个阶段：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第一个阶段为评价准备阶段，自评工作组梳理和研读了国家层面、市级层面、区级层面与本次评价部门整体有关的政策文件，获得评价资料。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第二个阶段为实施评价阶段，自评工作组在2022年2月25日至3月15日开展评价实施。取得评价部门整体实施的进度和资金筹集支出情况等资料，通过研读搭建指标体系，填写《重庆市璧山区水利综合行政执法支队2021年度部门整体支出绩效自评表》并撰写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15" w:name="_Toc17664"/>
      <w:r>
        <w:rPr>
          <w:rFonts w:hint="eastAsia" w:ascii="方正仿宋_GBK" w:hAnsi="方正仿宋_GBK" w:eastAsia="方正仿宋_GBK" w:cs="方正仿宋_GBK"/>
          <w:color w:val="auto"/>
          <w:sz w:val="32"/>
          <w:szCs w:val="32"/>
          <w:highlight w:val="none"/>
          <w:lang w:val="en-US" w:eastAsia="zh-CN"/>
        </w:rPr>
        <w:t>3、分析评价</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2022年3月16日至3月25日，自评工作组根据《重庆市璧山区水利综合行政执法支队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spacing w:line="596" w:lineRule="exact"/>
        <w:ind w:firstLine="640" w:firstLineChars="200"/>
        <w:outlineLvl w:val="0"/>
        <w:rPr>
          <w:rFonts w:eastAsia="方正黑体_GBK"/>
          <w:sz w:val="32"/>
          <w:szCs w:val="32"/>
          <w:highlight w:val="none"/>
        </w:rPr>
      </w:pPr>
      <w:bookmarkStart w:id="16" w:name="_Toc9877"/>
      <w:r>
        <w:rPr>
          <w:rFonts w:eastAsia="方正黑体_GBK"/>
          <w:sz w:val="32"/>
          <w:szCs w:val="32"/>
          <w:highlight w:val="none"/>
        </w:rPr>
        <w:t>三、</w:t>
      </w:r>
      <w:r>
        <w:rPr>
          <w:rFonts w:hint="eastAsia" w:eastAsia="方正黑体_GBK"/>
          <w:sz w:val="32"/>
          <w:szCs w:val="32"/>
          <w:highlight w:val="none"/>
        </w:rPr>
        <w:t>绩效</w:t>
      </w:r>
      <w:r>
        <w:rPr>
          <w:rFonts w:eastAsia="方正黑体_GBK"/>
          <w:sz w:val="32"/>
          <w:szCs w:val="32"/>
          <w:highlight w:val="none"/>
        </w:rPr>
        <w:t>评价情况及结论</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根据《重庆市璧山区水利综合行政执法支队2021年度部门整体支出绩效自评表》中的指标体系分析情况，重庆市璧山区水利综合行政执法支队2021年度部门整体支出绩效自评总得分96.88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highlight w:val="none"/>
          <w:lang w:val="en-US" w:eastAsia="zh-CN"/>
        </w:rPr>
      </w:pPr>
      <w:r>
        <w:rPr>
          <w:rFonts w:hint="eastAsia" w:ascii="方正仿宋_GBK" w:hAnsi="方正仿宋_GBK" w:eastAsia="方正仿宋_GBK" w:cs="方正仿宋_GBK"/>
          <w:color w:val="auto"/>
          <w:kern w:val="0"/>
          <w:sz w:val="28"/>
          <w:szCs w:val="28"/>
          <w:highlight w:val="none"/>
          <w:shd w:val="clear" w:color="auto" w:fill="FFFFFF"/>
          <w:lang w:val="en-US" w:eastAsia="zh-CN"/>
        </w:rPr>
        <w:t>表 1：指标得分情况</w:t>
      </w:r>
    </w:p>
    <w:tbl>
      <w:tblPr>
        <w:tblStyle w:val="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日常维修维护管理个数</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日常维护合格率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预算执行率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预决算公开率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项目完成及时率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促进区水利事业顺利发展</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加强防灾减灾能力</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加强水生态文明建设</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促进环境美化</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6.88</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68.75%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受益群众满意度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17" w:name="_Toc24062"/>
      <w:r>
        <w:rPr>
          <w:rFonts w:hint="eastAsia" w:ascii="方正仿宋_GBK" w:eastAsia="方正仿宋_GBK"/>
          <w:color w:val="auto"/>
          <w:sz w:val="32"/>
          <w:szCs w:val="32"/>
          <w:highlight w:val="none"/>
          <w:lang w:val="en-US" w:eastAsia="zh-CN"/>
        </w:rPr>
        <w:t>1、日常维修维护管理个数分析</w:t>
      </w:r>
      <w:bookmarkEnd w:id="1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color w:val="auto"/>
          <w:sz w:val="32"/>
          <w:szCs w:val="32"/>
          <w:highlight w:val="none"/>
        </w:rPr>
        <w:t>按照区生态河长办要求</w:t>
      </w:r>
      <w:r>
        <w:rPr>
          <w:rFonts w:hint="eastAsia" w:ascii="方正仿宋_GBK" w:eastAsia="方正仿宋_GBK"/>
          <w:color w:val="auto"/>
          <w:sz w:val="32"/>
          <w:szCs w:val="32"/>
          <w:highlight w:val="none"/>
          <w:lang w:eastAsia="zh-CN"/>
        </w:rPr>
        <w:t>完成9个拦河堰的日常维护和启闭调度管理</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18" w:name="_Toc3"/>
      <w:r>
        <w:rPr>
          <w:rFonts w:hint="eastAsia" w:ascii="方正仿宋_GBK" w:eastAsia="方正仿宋_GBK"/>
          <w:color w:val="auto"/>
          <w:sz w:val="32"/>
          <w:szCs w:val="32"/>
          <w:highlight w:val="none"/>
          <w:lang w:val="en-US" w:eastAsia="zh-CN"/>
        </w:rPr>
        <w:t>2、日常维护合格率分析</w:t>
      </w:r>
      <w:bookmarkEnd w:id="1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rPr>
        <w:t>按照区生态河长办要求</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设备设施</w:t>
      </w:r>
      <w:r>
        <w:rPr>
          <w:rFonts w:hint="eastAsia" w:ascii="方正仿宋_GBK" w:eastAsia="方正仿宋_GBK"/>
          <w:color w:val="auto"/>
          <w:sz w:val="32"/>
          <w:szCs w:val="32"/>
          <w:highlight w:val="none"/>
          <w:lang w:eastAsia="zh-CN"/>
        </w:rPr>
        <w:t>日常维护合格率</w:t>
      </w:r>
      <w:r>
        <w:rPr>
          <w:rFonts w:hint="eastAsia" w:ascii="方正仿宋_GBK" w:eastAsia="方正仿宋_GBK"/>
          <w:color w:val="auto"/>
          <w:sz w:val="32"/>
          <w:szCs w:val="32"/>
          <w:highlight w:val="none"/>
          <w:lang w:val="en-US" w:eastAsia="zh-CN"/>
        </w:rPr>
        <w:t>达100%。</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19" w:name="_Toc24573"/>
      <w:r>
        <w:rPr>
          <w:rFonts w:hint="eastAsia" w:ascii="方正仿宋_GBK" w:eastAsia="方正仿宋_GBK"/>
          <w:color w:val="auto"/>
          <w:sz w:val="32"/>
          <w:szCs w:val="32"/>
          <w:highlight w:val="none"/>
          <w:lang w:val="en-US" w:eastAsia="zh-CN"/>
        </w:rPr>
        <w:t>3、预算执行率分析</w:t>
      </w:r>
      <w:bookmarkEnd w:id="1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年初预算数</w:t>
      </w:r>
      <w:r>
        <w:rPr>
          <w:rFonts w:hint="eastAsia" w:ascii="方正仿宋_GBK" w:eastAsia="方正仿宋_GBK"/>
          <w:color w:val="auto"/>
          <w:sz w:val="32"/>
          <w:szCs w:val="32"/>
          <w:highlight w:val="none"/>
          <w:lang w:val="en-US" w:eastAsia="zh-CN"/>
        </w:rPr>
        <w:t>为391.20万元</w:t>
      </w:r>
      <w:r>
        <w:rPr>
          <w:rFonts w:hint="eastAsia" w:ascii="方正仿宋_GBK" w:eastAsia="方正仿宋_GBK"/>
          <w:color w:val="auto"/>
          <w:sz w:val="32"/>
          <w:szCs w:val="32"/>
          <w:highlight w:val="none"/>
        </w:rPr>
        <w:t>，全年调整数</w:t>
      </w:r>
      <w:r>
        <w:rPr>
          <w:rFonts w:hint="eastAsia" w:ascii="方正仿宋_GBK" w:eastAsia="方正仿宋_GBK"/>
          <w:color w:val="auto"/>
          <w:sz w:val="32"/>
          <w:szCs w:val="32"/>
          <w:highlight w:val="none"/>
          <w:lang w:val="en-US" w:eastAsia="zh-CN"/>
        </w:rPr>
        <w:t>为361.84万元，</w:t>
      </w:r>
      <w:r>
        <w:rPr>
          <w:rFonts w:hint="eastAsia" w:ascii="方正仿宋_GBK" w:eastAsia="方正仿宋_GBK"/>
          <w:color w:val="auto"/>
          <w:sz w:val="32"/>
          <w:szCs w:val="32"/>
          <w:highlight w:val="none"/>
        </w:rPr>
        <w:t>预算执行数</w:t>
      </w:r>
      <w:r>
        <w:rPr>
          <w:rFonts w:hint="eastAsia" w:ascii="方正仿宋_GBK" w:eastAsia="方正仿宋_GBK"/>
          <w:color w:val="auto"/>
          <w:sz w:val="32"/>
          <w:szCs w:val="32"/>
          <w:highlight w:val="none"/>
          <w:lang w:val="en-US" w:eastAsia="zh-CN"/>
        </w:rPr>
        <w:t>为361.84万元</w:t>
      </w:r>
      <w:r>
        <w:rPr>
          <w:rFonts w:hint="eastAsia" w:ascii="方正仿宋_GBK" w:eastAsia="方正仿宋_GBK"/>
          <w:color w:val="auto"/>
          <w:sz w:val="32"/>
          <w:szCs w:val="32"/>
          <w:highlight w:val="none"/>
        </w:rPr>
        <w:t>，预算执行率为</w:t>
      </w:r>
      <w:r>
        <w:rPr>
          <w:rFonts w:hint="eastAsia" w:ascii="方正仿宋_GBK" w:eastAsia="方正仿宋_GBK"/>
          <w:color w:val="auto"/>
          <w:sz w:val="32"/>
          <w:szCs w:val="32"/>
          <w:highlight w:val="none"/>
          <w:lang w:val="en-US" w:eastAsia="zh-CN"/>
        </w:rPr>
        <w:t>100%</w:t>
      </w:r>
      <w:r>
        <w:rPr>
          <w:rFonts w:hint="eastAsia" w:ascii="方正仿宋_GBK" w:eastAsia="方正仿宋_GBK"/>
          <w:color w:val="auto"/>
          <w:sz w:val="32"/>
          <w:szCs w:val="32"/>
          <w:highlight w:val="none"/>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0" w:name="_Toc23651"/>
      <w:r>
        <w:rPr>
          <w:rFonts w:hint="eastAsia" w:ascii="方正仿宋_GBK" w:eastAsia="方正仿宋_GBK"/>
          <w:color w:val="auto"/>
          <w:sz w:val="32"/>
          <w:szCs w:val="32"/>
          <w:highlight w:val="none"/>
          <w:lang w:val="en-US" w:eastAsia="zh-CN"/>
        </w:rPr>
        <w:t>4、预决算公开率分析</w:t>
      </w:r>
      <w:bookmarkEnd w:id="2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本部门按规定内容公开预算信息，按规定时限公开预算信息，基础数据信息和会计信息资料真实，基础数据信息和会计信息资料完整，基础数据信息和汇集信息资料准确。根据评价标准，该指标得100%权重分。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1" w:name="_Toc1760"/>
      <w:r>
        <w:rPr>
          <w:rFonts w:hint="eastAsia" w:ascii="方正仿宋_GBK" w:eastAsia="方正仿宋_GBK"/>
          <w:color w:val="auto"/>
          <w:sz w:val="32"/>
          <w:szCs w:val="32"/>
          <w:highlight w:val="none"/>
          <w:lang w:val="en-US" w:eastAsia="zh-CN"/>
        </w:rPr>
        <w:t>5、项目完成及时率分析</w:t>
      </w:r>
      <w:bookmarkEnd w:id="2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eastAsia="zh-CN"/>
        </w:rPr>
        <w:t>璧南河干支流拦河堰改造工程、曾家砖房拦河堰放水应急抢修项目和泄洪闸、翻板闸、拦河堰设备维修维护</w:t>
      </w:r>
      <w:r>
        <w:rPr>
          <w:rFonts w:hint="eastAsia" w:ascii="方正仿宋_GBK" w:eastAsia="方正仿宋_GBK"/>
          <w:color w:val="auto"/>
          <w:sz w:val="32"/>
          <w:szCs w:val="32"/>
          <w:highlight w:val="none"/>
          <w:lang w:val="en-US" w:eastAsia="zh-CN"/>
        </w:rPr>
        <w:t>项目在规定时间内完成</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2" w:name="_Toc2634"/>
      <w:r>
        <w:rPr>
          <w:rFonts w:hint="eastAsia" w:ascii="方正仿宋_GBK" w:eastAsia="方正仿宋_GBK"/>
          <w:color w:val="auto"/>
          <w:sz w:val="32"/>
          <w:szCs w:val="32"/>
          <w:highlight w:val="none"/>
          <w:lang w:val="en-US" w:eastAsia="zh-CN"/>
        </w:rPr>
        <w:t>6、促进区水利事业顺利发展分析</w:t>
      </w:r>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按照区生态河长办要求</w:t>
      </w:r>
      <w:r>
        <w:rPr>
          <w:rFonts w:hint="eastAsia" w:ascii="方正仿宋_GBK" w:eastAsia="方正仿宋_GBK"/>
          <w:color w:val="auto"/>
          <w:sz w:val="32"/>
          <w:szCs w:val="32"/>
          <w:highlight w:val="none"/>
          <w:lang w:eastAsia="zh-CN"/>
        </w:rPr>
        <w:t>实施项目，不仅使河道生态设施运行得到保障</w:t>
      </w:r>
      <w:r>
        <w:rPr>
          <w:rFonts w:hint="eastAsia" w:ascii="方正仿宋_GBK" w:eastAsia="方正仿宋_GBK"/>
          <w:color w:val="auto"/>
          <w:sz w:val="32"/>
          <w:szCs w:val="32"/>
          <w:highlight w:val="none"/>
          <w:lang w:val="en-US" w:eastAsia="zh-CN"/>
        </w:rPr>
        <w:t>，还</w:t>
      </w:r>
      <w:r>
        <w:rPr>
          <w:rFonts w:hint="eastAsia" w:ascii="方正仿宋_GBK" w:eastAsia="方正仿宋_GBK"/>
          <w:color w:val="auto"/>
          <w:sz w:val="32"/>
          <w:szCs w:val="32"/>
          <w:highlight w:val="none"/>
          <w:lang w:eastAsia="zh-CN"/>
        </w:rPr>
        <w:t>促进了区水利事业顺利发展。</w:t>
      </w:r>
      <w:r>
        <w:rPr>
          <w:rFonts w:hint="eastAsia" w:ascii="方正仿宋_GBK" w:eastAsia="方正仿宋_GBK"/>
          <w:color w:val="auto"/>
          <w:sz w:val="32"/>
          <w:szCs w:val="32"/>
          <w:highlight w:val="none"/>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3" w:name="_Toc4505"/>
      <w:r>
        <w:rPr>
          <w:rFonts w:hint="eastAsia" w:ascii="方正仿宋_GBK" w:eastAsia="方正仿宋_GBK"/>
          <w:color w:val="auto"/>
          <w:sz w:val="32"/>
          <w:szCs w:val="32"/>
          <w:highlight w:val="none"/>
          <w:lang w:val="en-US" w:eastAsia="zh-CN"/>
        </w:rPr>
        <w:t>7、提升防灾减灾能力分析</w:t>
      </w:r>
      <w:bookmarkEnd w:id="23"/>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lang w:eastAsia="zh-CN"/>
        </w:rPr>
        <w:t>通过对泄洪闸、翻板闸、拦河堰设备维修维护和曾家砖房拦河堰放水应急抢修项目的开展，完成了9个拦河堰的日常维护和启闭调度管理，保证河道生态设施正常运行，保障河道安全度汛，提升了防灾减灾能力。</w:t>
      </w:r>
      <w:r>
        <w:rPr>
          <w:rFonts w:hint="eastAsia" w:ascii="方正仿宋_GBK" w:eastAsia="方正仿宋_GBK"/>
          <w:color w:val="auto"/>
          <w:sz w:val="32"/>
          <w:szCs w:val="32"/>
          <w:highlight w:val="none"/>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4" w:name="_Toc14453"/>
      <w:r>
        <w:rPr>
          <w:rFonts w:hint="eastAsia" w:ascii="方正仿宋_GBK" w:eastAsia="方正仿宋_GBK"/>
          <w:color w:val="auto"/>
          <w:sz w:val="32"/>
          <w:szCs w:val="32"/>
          <w:highlight w:val="none"/>
          <w:lang w:val="en-US" w:eastAsia="zh-CN"/>
        </w:rPr>
        <w:t>8、加强水生态文明建设分析</w:t>
      </w:r>
      <w:bookmarkEnd w:id="2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按照区生态河长办要求</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通过对</w:t>
      </w:r>
      <w:r>
        <w:rPr>
          <w:rFonts w:hint="eastAsia" w:ascii="方正仿宋_GBK" w:eastAsia="方正仿宋_GBK"/>
          <w:color w:val="auto"/>
          <w:sz w:val="32"/>
          <w:szCs w:val="32"/>
          <w:highlight w:val="none"/>
          <w:lang w:eastAsia="zh-CN"/>
        </w:rPr>
        <w:t>泄洪闸、翻板闸、拦河堰设备进行维修维护和对璧南河干支流拦河堰的改造，保证河道生态设施正常运行，加强了水生态文明建设。</w:t>
      </w:r>
      <w:r>
        <w:rPr>
          <w:rFonts w:hint="eastAsia" w:ascii="方正仿宋_GBK" w:eastAsia="方正仿宋_GBK"/>
          <w:color w:val="auto"/>
          <w:sz w:val="32"/>
          <w:szCs w:val="32"/>
          <w:highlight w:val="none"/>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5" w:name="_Toc31035"/>
      <w:r>
        <w:rPr>
          <w:rFonts w:hint="eastAsia" w:ascii="方正仿宋_GBK" w:eastAsia="方正仿宋_GBK"/>
          <w:color w:val="auto"/>
          <w:sz w:val="32"/>
          <w:szCs w:val="32"/>
          <w:highlight w:val="none"/>
          <w:lang w:val="en-US" w:eastAsia="zh-CN"/>
        </w:rPr>
        <w:t>9、促进环境美化分析</w:t>
      </w:r>
      <w:bookmarkEnd w:id="2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方正仿宋_GBK" w:eastAsia="方正仿宋_GBK"/>
          <w:color w:val="FF0000"/>
          <w:sz w:val="32"/>
          <w:szCs w:val="32"/>
          <w:highlight w:val="none"/>
          <w:lang w:val="en-US" w:eastAsia="zh-CN"/>
        </w:rPr>
      </w:pPr>
      <w:r>
        <w:rPr>
          <w:rFonts w:hint="eastAsia" w:ascii="方正仿宋_GBK" w:eastAsia="方正仿宋_GBK"/>
          <w:color w:val="auto"/>
          <w:sz w:val="32"/>
          <w:szCs w:val="32"/>
          <w:highlight w:val="none"/>
          <w:lang w:eastAsia="zh-CN"/>
        </w:rPr>
        <w:t>通过璧南河干支流拦河堰改造工程、曾家砖房拦河堰放水应急抢修项目和泄洪闸、翻板闸、拦河堰设备维修维护</w:t>
      </w:r>
      <w:r>
        <w:rPr>
          <w:rFonts w:hint="eastAsia" w:ascii="方正仿宋_GBK" w:eastAsia="方正仿宋_GBK"/>
          <w:color w:val="auto"/>
          <w:sz w:val="32"/>
          <w:szCs w:val="32"/>
          <w:highlight w:val="none"/>
          <w:lang w:val="en-US" w:eastAsia="zh-CN"/>
        </w:rPr>
        <w:t>项目的开展</w:t>
      </w:r>
      <w:r>
        <w:rPr>
          <w:rFonts w:hint="eastAsia" w:ascii="方正仿宋_GBK" w:eastAsia="方正仿宋_GBK"/>
          <w:color w:val="auto"/>
          <w:sz w:val="32"/>
          <w:szCs w:val="32"/>
          <w:highlight w:val="none"/>
          <w:lang w:eastAsia="zh-CN"/>
        </w:rPr>
        <w:t>，使</w:t>
      </w:r>
      <w:r>
        <w:rPr>
          <w:rFonts w:hint="eastAsia" w:ascii="方正仿宋_GBK" w:eastAsia="方正仿宋_GBK"/>
          <w:color w:val="auto"/>
          <w:sz w:val="32"/>
          <w:szCs w:val="32"/>
          <w:highlight w:val="none"/>
          <w:lang w:val="en-US" w:eastAsia="zh-CN"/>
        </w:rPr>
        <w:t>水利工程周围环境得到改善，促进了环境的美化。根据评价标准，该指标得100%权重分。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6" w:name="_Toc5066"/>
      <w:r>
        <w:rPr>
          <w:rFonts w:hint="eastAsia" w:ascii="方正仿宋_GBK" w:eastAsia="方正仿宋_GBK"/>
          <w:color w:val="auto"/>
          <w:sz w:val="32"/>
          <w:szCs w:val="32"/>
          <w:highlight w:val="none"/>
          <w:lang w:val="en-US" w:eastAsia="zh-CN"/>
        </w:rPr>
        <w:t>10、受益群众满意度分析</w:t>
      </w:r>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color w:val="auto"/>
          <w:sz w:val="32"/>
          <w:szCs w:val="32"/>
          <w:highlight w:val="none"/>
          <w:lang w:val="en-US" w:eastAsia="zh-CN"/>
        </w:rPr>
        <w:t>受益群众对相关工作满意度达到95%以上。根据评价标准，该指标得100%权重分。</w:t>
      </w:r>
    </w:p>
    <w:p>
      <w:pPr>
        <w:spacing w:line="596" w:lineRule="exact"/>
        <w:ind w:firstLine="640" w:firstLineChars="200"/>
        <w:outlineLvl w:val="0"/>
        <w:rPr>
          <w:rFonts w:eastAsia="方正黑体_GBK"/>
          <w:sz w:val="32"/>
          <w:szCs w:val="32"/>
          <w:highlight w:val="none"/>
        </w:rPr>
      </w:pPr>
      <w:bookmarkStart w:id="27" w:name="_Toc26092"/>
      <w:r>
        <w:rPr>
          <w:rFonts w:hint="eastAsia" w:eastAsia="方正黑体_GBK"/>
          <w:sz w:val="32"/>
          <w:szCs w:val="32"/>
          <w:highlight w:val="none"/>
          <w:lang w:eastAsia="zh-CN"/>
        </w:rPr>
        <w:t>四、</w:t>
      </w:r>
      <w:r>
        <w:rPr>
          <w:rFonts w:eastAsia="方正黑体_GBK"/>
          <w:sz w:val="32"/>
          <w:szCs w:val="32"/>
          <w:highlight w:val="none"/>
        </w:rPr>
        <w:t>主要经验及做法</w:t>
      </w:r>
      <w:bookmarkEnd w:id="2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Times New Roman" w:eastAsia="方正仿宋_GBK" w:cs="Times New Roman"/>
          <w:color w:val="auto"/>
          <w:kern w:val="2"/>
          <w:sz w:val="32"/>
          <w:szCs w:val="32"/>
          <w:highlight w:val="none"/>
          <w:lang w:val="en-US" w:eastAsia="zh-CN" w:bidi="ar-SA"/>
        </w:rPr>
      </w:pPr>
      <w:r>
        <w:rPr>
          <w:rFonts w:hint="eastAsia" w:ascii="方正仿宋_GBK" w:hAnsi="Times New Roman" w:eastAsia="方正仿宋_GBK" w:cs="Times New Roman"/>
          <w:color w:val="auto"/>
          <w:kern w:val="2"/>
          <w:sz w:val="32"/>
          <w:szCs w:val="32"/>
          <w:highlight w:val="none"/>
          <w:lang w:val="en-US" w:eastAsia="zh-CN" w:bidi="ar-SA"/>
        </w:rPr>
        <w:t>1、制定项目绩效管理制度明确项目绩效目标编制及审批流程，规范绩效指标设置。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Times New Roman" w:eastAsia="方正仿宋_GBK" w:cs="Times New Roman"/>
          <w:color w:val="auto"/>
          <w:kern w:val="2"/>
          <w:sz w:val="32"/>
          <w:szCs w:val="32"/>
          <w:highlight w:val="none"/>
          <w:lang w:val="en-US" w:eastAsia="zh-CN" w:bidi="ar-SA"/>
        </w:rPr>
      </w:pPr>
      <w:r>
        <w:rPr>
          <w:rFonts w:hint="eastAsia" w:ascii="方正仿宋_GBK" w:hAnsi="Times New Roman" w:eastAsia="方正仿宋_GBK" w:cs="Times New Roman"/>
          <w:color w:val="auto"/>
          <w:kern w:val="2"/>
          <w:sz w:val="32"/>
          <w:szCs w:val="32"/>
          <w:highlight w:val="none"/>
          <w:lang w:val="en-US" w:eastAsia="zh-CN" w:bidi="ar-SA"/>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color w:val="auto"/>
          <w:highlight w:val="none"/>
        </w:rPr>
      </w:pPr>
      <w:r>
        <w:rPr>
          <w:rFonts w:hint="eastAsia" w:ascii="方正仿宋_GBK" w:hAnsi="Times New Roman" w:eastAsia="方正仿宋_GBK" w:cs="Times New Roman"/>
          <w:color w:val="auto"/>
          <w:kern w:val="2"/>
          <w:sz w:val="32"/>
          <w:szCs w:val="32"/>
          <w:highlight w:val="none"/>
          <w:lang w:val="en-US" w:eastAsia="zh-CN" w:bidi="ar-SA"/>
        </w:rPr>
        <w:t>3、进一步强化河道管理范围内建设项目洪水影响评价审批工作，法律法规禁止事项必须令行禁止。行政审批人员特别是要认真学习、研究、收集当前新形势下的相关政策、规划和负面清单制度等，对其禁止事项在行政审批时要严格执行。落实好“归并申请材料，整合技术报告，减少审批层级、明确实施主体”等要求。要保护三峡水库库容，禁止随意回填占用三峡水库库容。占用三峡水库库容修建调节坝（景观坝）的建设项目，其洪水影响评价均报长江委审批。</w:t>
      </w:r>
    </w:p>
    <w:p>
      <w:pPr>
        <w:spacing w:line="596" w:lineRule="exact"/>
        <w:ind w:firstLine="640" w:firstLineChars="200"/>
        <w:outlineLvl w:val="0"/>
        <w:rPr>
          <w:rFonts w:eastAsia="方正黑体_GBK"/>
          <w:sz w:val="32"/>
          <w:szCs w:val="32"/>
          <w:highlight w:val="none"/>
        </w:rPr>
      </w:pPr>
      <w:bookmarkStart w:id="28" w:name="_Toc30800"/>
      <w:r>
        <w:rPr>
          <w:rFonts w:hint="eastAsia" w:eastAsia="方正黑体_GBK"/>
          <w:sz w:val="32"/>
          <w:szCs w:val="32"/>
          <w:highlight w:val="none"/>
        </w:rPr>
        <w:t>五、</w:t>
      </w:r>
      <w:r>
        <w:rPr>
          <w:rFonts w:eastAsia="方正黑体_GBK"/>
          <w:sz w:val="32"/>
          <w:szCs w:val="32"/>
          <w:highlight w:val="none"/>
        </w:rPr>
        <w:t>存在的问题和建议</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color w:val="auto"/>
          <w:sz w:val="32"/>
          <w:szCs w:val="32"/>
          <w:highlight w:val="none"/>
          <w:lang w:eastAsia="zh-CN"/>
        </w:rPr>
      </w:pPr>
      <w:bookmarkStart w:id="29" w:name="_Toc17714"/>
      <w:bookmarkStart w:id="30" w:name="_Toc6615"/>
      <w:r>
        <w:rPr>
          <w:rFonts w:eastAsia="方正仿宋_GBK"/>
          <w:color w:val="auto"/>
          <w:sz w:val="32"/>
          <w:szCs w:val="32"/>
          <w:highlight w:val="none"/>
        </w:rPr>
        <w:t>（一）</w:t>
      </w:r>
      <w:r>
        <w:rPr>
          <w:rFonts w:hint="eastAsia" w:eastAsia="方正仿宋_GBK"/>
          <w:color w:val="auto"/>
          <w:sz w:val="32"/>
          <w:szCs w:val="32"/>
          <w:highlight w:val="none"/>
          <w:lang w:eastAsia="zh-CN"/>
        </w:rPr>
        <w:t>存在的问题</w:t>
      </w:r>
      <w:bookmarkEnd w:id="29"/>
      <w:bookmarkEnd w:id="30"/>
    </w:p>
    <w:p>
      <w:pPr>
        <w:spacing w:line="596" w:lineRule="exact"/>
        <w:ind w:firstLine="640" w:firstLineChars="200"/>
        <w:jc w:val="left"/>
        <w:rPr>
          <w:rFonts w:hint="eastAsia" w:ascii="方正仿宋_GBK" w:hAnsi="方正仿宋_GBK" w:eastAsia="方正仿宋_GBK" w:cs="方正仿宋_GBK"/>
          <w:b w:val="0"/>
          <w:color w:val="auto"/>
          <w:kern w:val="0"/>
          <w:sz w:val="32"/>
          <w:szCs w:val="32"/>
          <w:highlight w:val="none"/>
          <w:shd w:val="clear" w:color="auto" w:fill="FFFFFF"/>
          <w:lang w:val="en-US" w:eastAsia="zh-CN"/>
        </w:rPr>
      </w:pPr>
      <w:bookmarkStart w:id="31" w:name="_Toc4640"/>
      <w:bookmarkStart w:id="32" w:name="_Toc16456"/>
      <w:r>
        <w:rPr>
          <w:rFonts w:hint="eastAsia" w:ascii="方正仿宋_GBK" w:hAnsi="方正仿宋_GBK" w:eastAsia="方正仿宋_GBK" w:cs="方正仿宋_GBK"/>
          <w:b w:val="0"/>
          <w:color w:val="auto"/>
          <w:kern w:val="0"/>
          <w:sz w:val="32"/>
          <w:szCs w:val="32"/>
          <w:highlight w:val="none"/>
          <w:shd w:val="clear" w:color="auto" w:fill="FFFFFF"/>
          <w:lang w:val="en-US" w:eastAsia="zh-CN"/>
        </w:rPr>
        <w:t>1、</w:t>
      </w:r>
      <w:bookmarkEnd w:id="31"/>
      <w:bookmarkEnd w:id="32"/>
      <w:r>
        <w:rPr>
          <w:rFonts w:hint="eastAsia" w:ascii="方正仿宋_GBK" w:hAnsi="方正仿宋_GBK" w:eastAsia="方正仿宋_GBK" w:cs="方正仿宋_GBK"/>
          <w:b w:val="0"/>
          <w:color w:val="auto"/>
          <w:kern w:val="0"/>
          <w:sz w:val="32"/>
          <w:szCs w:val="32"/>
          <w:highlight w:val="none"/>
          <w:shd w:val="clear" w:color="auto" w:fill="FFFFFF"/>
          <w:lang w:val="en-US" w:eastAsia="zh-CN"/>
        </w:rPr>
        <w:t>对主体工程之外的辅助工程等临时涉河活动，其主体工程完工后，施工单位和项目业主未即时拆除、恢复原状、绿化岸坡。</w:t>
      </w:r>
    </w:p>
    <w:p>
      <w:pPr>
        <w:spacing w:line="596" w:lineRule="exact"/>
        <w:ind w:firstLine="640" w:firstLineChars="200"/>
        <w:jc w:val="left"/>
        <w:rPr>
          <w:rFonts w:hint="eastAsia" w:ascii="方正仿宋_GBK" w:hAnsi="方正仿宋_GBK" w:eastAsia="方正仿宋_GBK" w:cs="方正仿宋_GBK"/>
          <w:b w:val="0"/>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2、涉河建设项目洪水影响评价审查及事中事后监管材料的不完整。</w:t>
      </w:r>
    </w:p>
    <w:p>
      <w:pPr>
        <w:spacing w:line="596" w:lineRule="exact"/>
        <w:ind w:firstLine="640" w:firstLineChars="200"/>
        <w:jc w:val="left"/>
        <w:rPr>
          <w:rFonts w:hint="eastAsia" w:ascii="方正仿宋_GBK" w:hAnsi="方正仿宋_GBK" w:eastAsia="方正仿宋_GBK" w:cs="方正仿宋_GBK"/>
          <w:b w:val="0"/>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3、“乱搭乱建、乱倾乱倒、乱挖乱采”现象突出。</w:t>
      </w:r>
    </w:p>
    <w:p>
      <w:pPr>
        <w:keepNext w:val="0"/>
        <w:keepLines w:val="0"/>
        <w:pageBreakBefore w:val="0"/>
        <w:kinsoku/>
        <w:wordWrap/>
        <w:overflowPunct/>
        <w:topLinePunct w:val="0"/>
        <w:bidi w:val="0"/>
        <w:adjustRightInd/>
        <w:snapToGrid/>
        <w:spacing w:line="560" w:lineRule="exact"/>
        <w:ind w:firstLine="640" w:firstLineChars="200"/>
        <w:textAlignment w:val="auto"/>
        <w:outlineLvl w:val="1"/>
        <w:rPr>
          <w:rFonts w:hint="eastAsia" w:eastAsia="方正仿宋_GBK"/>
          <w:color w:val="auto"/>
          <w:sz w:val="32"/>
          <w:szCs w:val="32"/>
          <w:highlight w:val="none"/>
          <w:lang w:eastAsia="zh-CN"/>
        </w:rPr>
      </w:pPr>
      <w:bookmarkStart w:id="33" w:name="_Toc10918"/>
      <w:bookmarkStart w:id="34" w:name="_Toc3419"/>
      <w:r>
        <w:rPr>
          <w:rFonts w:eastAsia="方正仿宋_GBK"/>
          <w:color w:val="auto"/>
          <w:sz w:val="32"/>
          <w:szCs w:val="32"/>
          <w:highlight w:val="none"/>
        </w:rPr>
        <w:t>（</w:t>
      </w:r>
      <w:r>
        <w:rPr>
          <w:rFonts w:hint="eastAsia" w:eastAsia="方正仿宋_GBK"/>
          <w:color w:val="auto"/>
          <w:sz w:val="32"/>
          <w:szCs w:val="32"/>
          <w:highlight w:val="none"/>
          <w:lang w:eastAsia="zh-CN"/>
        </w:rPr>
        <w:t>二</w:t>
      </w:r>
      <w:r>
        <w:rPr>
          <w:rFonts w:eastAsia="方正仿宋_GBK"/>
          <w:color w:val="auto"/>
          <w:sz w:val="32"/>
          <w:szCs w:val="32"/>
          <w:highlight w:val="none"/>
        </w:rPr>
        <w:t>）</w:t>
      </w:r>
      <w:r>
        <w:rPr>
          <w:rFonts w:hint="eastAsia" w:eastAsia="方正仿宋_GBK"/>
          <w:color w:val="auto"/>
          <w:sz w:val="32"/>
          <w:szCs w:val="32"/>
          <w:highlight w:val="none"/>
          <w:lang w:eastAsia="zh-CN"/>
        </w:rPr>
        <w:t>建议</w:t>
      </w:r>
      <w:bookmarkEnd w:id="33"/>
      <w:bookmarkEnd w:id="34"/>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1、加强河道管理范围内建设项目的日常监督管理，重点监督其工程施工按水行政许可的要求实施。对主体工程之外的辅助工程等临时涉河活动，其主体工程完工后，要监督施工单位和项目业主即时拆除、恢复原状、绿化岸坡。</w:t>
      </w:r>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2、建立河道管理范围内建设项目档案。各区县行政区内的涉河建设项目应一个项目一个档案，保证涉河建设项目洪水影响评价审查及事中事后监管材料的完整。</w:t>
      </w:r>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3、建立河道巡查制度，做好河道巡查记录。要结合“河长制”的实施，将河道内“乱搭乱建、乱倾乱倒、乱挖乱采”的监督举报责任下沉到乡镇（街道）、村（居委会），做到第一时间发现，第一时间执法处理。</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67D58"/>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C3E1B"/>
    <w:rsid w:val="00FD0041"/>
    <w:rsid w:val="00FE38F2"/>
    <w:rsid w:val="01084415"/>
    <w:rsid w:val="012A4E2C"/>
    <w:rsid w:val="012B7AC4"/>
    <w:rsid w:val="016F283F"/>
    <w:rsid w:val="01BE4C35"/>
    <w:rsid w:val="02117ADA"/>
    <w:rsid w:val="029A4EDF"/>
    <w:rsid w:val="02CD3CC1"/>
    <w:rsid w:val="02E43152"/>
    <w:rsid w:val="02E9230D"/>
    <w:rsid w:val="02FB6AD5"/>
    <w:rsid w:val="03052894"/>
    <w:rsid w:val="032737B0"/>
    <w:rsid w:val="03411FB9"/>
    <w:rsid w:val="03863E70"/>
    <w:rsid w:val="03A34A22"/>
    <w:rsid w:val="042E69E2"/>
    <w:rsid w:val="0442248D"/>
    <w:rsid w:val="04531807"/>
    <w:rsid w:val="04745386"/>
    <w:rsid w:val="04C80BE4"/>
    <w:rsid w:val="04E6613A"/>
    <w:rsid w:val="04F574FF"/>
    <w:rsid w:val="050339CA"/>
    <w:rsid w:val="05142ADD"/>
    <w:rsid w:val="051E6A56"/>
    <w:rsid w:val="057A17B3"/>
    <w:rsid w:val="05BC48C5"/>
    <w:rsid w:val="06A2533E"/>
    <w:rsid w:val="06C74ECC"/>
    <w:rsid w:val="06EB43B9"/>
    <w:rsid w:val="06EC66E0"/>
    <w:rsid w:val="06F7755F"/>
    <w:rsid w:val="072C377D"/>
    <w:rsid w:val="075F5104"/>
    <w:rsid w:val="07752619"/>
    <w:rsid w:val="081D7AE0"/>
    <w:rsid w:val="083E1439"/>
    <w:rsid w:val="08493DEA"/>
    <w:rsid w:val="08705E98"/>
    <w:rsid w:val="088272FF"/>
    <w:rsid w:val="089332B7"/>
    <w:rsid w:val="09336848"/>
    <w:rsid w:val="098552F6"/>
    <w:rsid w:val="098E0E75"/>
    <w:rsid w:val="099E3CC2"/>
    <w:rsid w:val="09DB3168"/>
    <w:rsid w:val="09E66AE6"/>
    <w:rsid w:val="09FA11E0"/>
    <w:rsid w:val="0A2950EA"/>
    <w:rsid w:val="0B835865"/>
    <w:rsid w:val="0B864EDA"/>
    <w:rsid w:val="0B924F3C"/>
    <w:rsid w:val="0BEA7692"/>
    <w:rsid w:val="0C1C7A68"/>
    <w:rsid w:val="0C3D1EB8"/>
    <w:rsid w:val="0C9019D1"/>
    <w:rsid w:val="0CD53589"/>
    <w:rsid w:val="0CE47124"/>
    <w:rsid w:val="0D270B1E"/>
    <w:rsid w:val="0DDA0608"/>
    <w:rsid w:val="0DF2282E"/>
    <w:rsid w:val="0E6B25E0"/>
    <w:rsid w:val="0EA174D3"/>
    <w:rsid w:val="0EB65F51"/>
    <w:rsid w:val="0EC71F0D"/>
    <w:rsid w:val="0F1210E4"/>
    <w:rsid w:val="0F136BBC"/>
    <w:rsid w:val="0F3155D8"/>
    <w:rsid w:val="0F330DA2"/>
    <w:rsid w:val="0FDD12BC"/>
    <w:rsid w:val="10150A56"/>
    <w:rsid w:val="10394744"/>
    <w:rsid w:val="103C7F6B"/>
    <w:rsid w:val="107439CE"/>
    <w:rsid w:val="10B464C1"/>
    <w:rsid w:val="10B46B50"/>
    <w:rsid w:val="10EE7C49"/>
    <w:rsid w:val="11A2456B"/>
    <w:rsid w:val="11E92A7D"/>
    <w:rsid w:val="124E3BCD"/>
    <w:rsid w:val="12617F82"/>
    <w:rsid w:val="128F4AEF"/>
    <w:rsid w:val="12C013F0"/>
    <w:rsid w:val="12D20E80"/>
    <w:rsid w:val="12DF5253"/>
    <w:rsid w:val="13041393"/>
    <w:rsid w:val="13544E60"/>
    <w:rsid w:val="136F4921"/>
    <w:rsid w:val="13702419"/>
    <w:rsid w:val="13776B56"/>
    <w:rsid w:val="13C14191"/>
    <w:rsid w:val="13D23CF0"/>
    <w:rsid w:val="14B86FCD"/>
    <w:rsid w:val="14EB6229"/>
    <w:rsid w:val="14EB79FD"/>
    <w:rsid w:val="150E2AFD"/>
    <w:rsid w:val="154F4A0A"/>
    <w:rsid w:val="159643E7"/>
    <w:rsid w:val="15E909BB"/>
    <w:rsid w:val="164C2CF7"/>
    <w:rsid w:val="165361DE"/>
    <w:rsid w:val="16683FED"/>
    <w:rsid w:val="16BC60CF"/>
    <w:rsid w:val="170703E4"/>
    <w:rsid w:val="172208CD"/>
    <w:rsid w:val="17B40B54"/>
    <w:rsid w:val="17C73B8D"/>
    <w:rsid w:val="18AB39C5"/>
    <w:rsid w:val="18B169F7"/>
    <w:rsid w:val="18D003E4"/>
    <w:rsid w:val="19033B41"/>
    <w:rsid w:val="190E2B30"/>
    <w:rsid w:val="19D21AFD"/>
    <w:rsid w:val="19DE635C"/>
    <w:rsid w:val="19F87BEE"/>
    <w:rsid w:val="1A165567"/>
    <w:rsid w:val="1AA977E8"/>
    <w:rsid w:val="1ABA2925"/>
    <w:rsid w:val="1ADA46BA"/>
    <w:rsid w:val="1ADF238C"/>
    <w:rsid w:val="1B1A617D"/>
    <w:rsid w:val="1B4E7077"/>
    <w:rsid w:val="1B9C545C"/>
    <w:rsid w:val="1BB630ED"/>
    <w:rsid w:val="1BE063BC"/>
    <w:rsid w:val="1C073948"/>
    <w:rsid w:val="1C5648D0"/>
    <w:rsid w:val="1C821221"/>
    <w:rsid w:val="1C8925AF"/>
    <w:rsid w:val="1CA7512B"/>
    <w:rsid w:val="1CAE2016"/>
    <w:rsid w:val="1CAF3C4F"/>
    <w:rsid w:val="1CBE660A"/>
    <w:rsid w:val="1D196F2B"/>
    <w:rsid w:val="1D7A45EE"/>
    <w:rsid w:val="1D805EE2"/>
    <w:rsid w:val="1D953CF2"/>
    <w:rsid w:val="1DAF24EA"/>
    <w:rsid w:val="1DB63878"/>
    <w:rsid w:val="1E041D99"/>
    <w:rsid w:val="1E466713"/>
    <w:rsid w:val="1E7E4FA7"/>
    <w:rsid w:val="1EBB288A"/>
    <w:rsid w:val="1F2C36C6"/>
    <w:rsid w:val="1F2F4A18"/>
    <w:rsid w:val="1F4C5B16"/>
    <w:rsid w:val="1F5F3A9B"/>
    <w:rsid w:val="1F6317DE"/>
    <w:rsid w:val="1F897A12"/>
    <w:rsid w:val="1FBA6F24"/>
    <w:rsid w:val="20CA763A"/>
    <w:rsid w:val="20FA1CCE"/>
    <w:rsid w:val="22644610"/>
    <w:rsid w:val="22EA36DF"/>
    <w:rsid w:val="244A4D1A"/>
    <w:rsid w:val="24705490"/>
    <w:rsid w:val="24855D52"/>
    <w:rsid w:val="24D96CD4"/>
    <w:rsid w:val="25207829"/>
    <w:rsid w:val="25216535"/>
    <w:rsid w:val="25760699"/>
    <w:rsid w:val="2593624D"/>
    <w:rsid w:val="25A21578"/>
    <w:rsid w:val="25A71594"/>
    <w:rsid w:val="25ED0053"/>
    <w:rsid w:val="260158AC"/>
    <w:rsid w:val="26064C71"/>
    <w:rsid w:val="26395046"/>
    <w:rsid w:val="26597496"/>
    <w:rsid w:val="269B32A8"/>
    <w:rsid w:val="26A67592"/>
    <w:rsid w:val="26DE799C"/>
    <w:rsid w:val="26E054C2"/>
    <w:rsid w:val="26F24C50"/>
    <w:rsid w:val="274D4FD9"/>
    <w:rsid w:val="277061AF"/>
    <w:rsid w:val="278A3E0D"/>
    <w:rsid w:val="278E1E37"/>
    <w:rsid w:val="27D61F8C"/>
    <w:rsid w:val="27EB5D07"/>
    <w:rsid w:val="281C69CE"/>
    <w:rsid w:val="283414C1"/>
    <w:rsid w:val="284D3120"/>
    <w:rsid w:val="288D3427"/>
    <w:rsid w:val="28FF18D9"/>
    <w:rsid w:val="29BD26DA"/>
    <w:rsid w:val="29F80D74"/>
    <w:rsid w:val="2A144355"/>
    <w:rsid w:val="2A2C2766"/>
    <w:rsid w:val="2A3A313B"/>
    <w:rsid w:val="2B3758CC"/>
    <w:rsid w:val="2B536BAA"/>
    <w:rsid w:val="2B717030"/>
    <w:rsid w:val="2C016A47"/>
    <w:rsid w:val="2CAE7E10"/>
    <w:rsid w:val="2CDE03EA"/>
    <w:rsid w:val="2D964B2C"/>
    <w:rsid w:val="2DCD42C6"/>
    <w:rsid w:val="2DDA032C"/>
    <w:rsid w:val="2DF61A6F"/>
    <w:rsid w:val="2E3507E9"/>
    <w:rsid w:val="2E6359DF"/>
    <w:rsid w:val="2E9753EC"/>
    <w:rsid w:val="2F1E302B"/>
    <w:rsid w:val="2FCD1DB8"/>
    <w:rsid w:val="2FDD1B7F"/>
    <w:rsid w:val="30087837"/>
    <w:rsid w:val="306929CC"/>
    <w:rsid w:val="30A25EDE"/>
    <w:rsid w:val="315F5C65"/>
    <w:rsid w:val="31BB2DB3"/>
    <w:rsid w:val="31C37EBA"/>
    <w:rsid w:val="322E6E27"/>
    <w:rsid w:val="324A3FB8"/>
    <w:rsid w:val="324F79A0"/>
    <w:rsid w:val="325F6CD4"/>
    <w:rsid w:val="32891103"/>
    <w:rsid w:val="32B251D5"/>
    <w:rsid w:val="32DB1E15"/>
    <w:rsid w:val="32E77BD8"/>
    <w:rsid w:val="330C763F"/>
    <w:rsid w:val="332814CC"/>
    <w:rsid w:val="332C0A50"/>
    <w:rsid w:val="33707BCD"/>
    <w:rsid w:val="339F04B3"/>
    <w:rsid w:val="33FF18B6"/>
    <w:rsid w:val="344A6670"/>
    <w:rsid w:val="34DB15D1"/>
    <w:rsid w:val="353F1F4D"/>
    <w:rsid w:val="35531555"/>
    <w:rsid w:val="3575264D"/>
    <w:rsid w:val="35DF4A23"/>
    <w:rsid w:val="36180E48"/>
    <w:rsid w:val="36216BCA"/>
    <w:rsid w:val="364D41F6"/>
    <w:rsid w:val="367B5207"/>
    <w:rsid w:val="36FF05B7"/>
    <w:rsid w:val="37313B18"/>
    <w:rsid w:val="374013D9"/>
    <w:rsid w:val="374E46CA"/>
    <w:rsid w:val="3772660A"/>
    <w:rsid w:val="37CE1367"/>
    <w:rsid w:val="38606463"/>
    <w:rsid w:val="38B14F10"/>
    <w:rsid w:val="38B44A00"/>
    <w:rsid w:val="38D64977"/>
    <w:rsid w:val="3949339B"/>
    <w:rsid w:val="39627FB8"/>
    <w:rsid w:val="3995213C"/>
    <w:rsid w:val="39AD3E67"/>
    <w:rsid w:val="39D62CD1"/>
    <w:rsid w:val="39DA2245"/>
    <w:rsid w:val="3A685AA2"/>
    <w:rsid w:val="3AD46C94"/>
    <w:rsid w:val="3AF92B9E"/>
    <w:rsid w:val="3B123572"/>
    <w:rsid w:val="3B733A8A"/>
    <w:rsid w:val="3BA74BF4"/>
    <w:rsid w:val="3BCA661C"/>
    <w:rsid w:val="3BF848DC"/>
    <w:rsid w:val="3C0269D0"/>
    <w:rsid w:val="3C265FD0"/>
    <w:rsid w:val="3C383B28"/>
    <w:rsid w:val="3CB669F0"/>
    <w:rsid w:val="3CC64D02"/>
    <w:rsid w:val="3CCD7E3F"/>
    <w:rsid w:val="3D6562C9"/>
    <w:rsid w:val="3D764477"/>
    <w:rsid w:val="3D9062FC"/>
    <w:rsid w:val="3E2671E9"/>
    <w:rsid w:val="3E3143FD"/>
    <w:rsid w:val="3E4B1963"/>
    <w:rsid w:val="3EFC7A6B"/>
    <w:rsid w:val="3F2521B4"/>
    <w:rsid w:val="3F397A0D"/>
    <w:rsid w:val="3F3E696B"/>
    <w:rsid w:val="3FDB6D16"/>
    <w:rsid w:val="3FE23C01"/>
    <w:rsid w:val="41126768"/>
    <w:rsid w:val="41393CF5"/>
    <w:rsid w:val="414508EB"/>
    <w:rsid w:val="4148771D"/>
    <w:rsid w:val="415625CD"/>
    <w:rsid w:val="41D13F2D"/>
    <w:rsid w:val="41D62082"/>
    <w:rsid w:val="41DB2FFE"/>
    <w:rsid w:val="4216723D"/>
    <w:rsid w:val="43ED4EB3"/>
    <w:rsid w:val="442666EC"/>
    <w:rsid w:val="451A5BEB"/>
    <w:rsid w:val="454E4C18"/>
    <w:rsid w:val="455F7AA2"/>
    <w:rsid w:val="46955E71"/>
    <w:rsid w:val="46A40C8A"/>
    <w:rsid w:val="46AE2A8F"/>
    <w:rsid w:val="46C978C9"/>
    <w:rsid w:val="46EA7EDB"/>
    <w:rsid w:val="46F239CD"/>
    <w:rsid w:val="474927B8"/>
    <w:rsid w:val="47BE31A6"/>
    <w:rsid w:val="48177C47"/>
    <w:rsid w:val="487D6BBD"/>
    <w:rsid w:val="489F0814"/>
    <w:rsid w:val="48A57EC2"/>
    <w:rsid w:val="48DF1625"/>
    <w:rsid w:val="48F84495"/>
    <w:rsid w:val="490E1F0B"/>
    <w:rsid w:val="49676BE9"/>
    <w:rsid w:val="49D4280C"/>
    <w:rsid w:val="4A0D5D1E"/>
    <w:rsid w:val="4A395CA2"/>
    <w:rsid w:val="4A563B69"/>
    <w:rsid w:val="4A72164F"/>
    <w:rsid w:val="4AB443EC"/>
    <w:rsid w:val="4AE41175"/>
    <w:rsid w:val="4AE63E96"/>
    <w:rsid w:val="4B416C8E"/>
    <w:rsid w:val="4B8F7077"/>
    <w:rsid w:val="4BC863A1"/>
    <w:rsid w:val="4BD55986"/>
    <w:rsid w:val="4BE57B5D"/>
    <w:rsid w:val="4BEF2895"/>
    <w:rsid w:val="4C0373D9"/>
    <w:rsid w:val="4C2B6930"/>
    <w:rsid w:val="4C717508"/>
    <w:rsid w:val="4C7D6B0F"/>
    <w:rsid w:val="4C896221"/>
    <w:rsid w:val="4CD001D9"/>
    <w:rsid w:val="4CD07C03"/>
    <w:rsid w:val="4CDE7CD1"/>
    <w:rsid w:val="4D422183"/>
    <w:rsid w:val="4D8D0E92"/>
    <w:rsid w:val="4DB210B7"/>
    <w:rsid w:val="4E465EC0"/>
    <w:rsid w:val="4EA2112B"/>
    <w:rsid w:val="4EB144E5"/>
    <w:rsid w:val="4F7D56F4"/>
    <w:rsid w:val="4F94176A"/>
    <w:rsid w:val="4FD035E4"/>
    <w:rsid w:val="4FD04615"/>
    <w:rsid w:val="50412BC6"/>
    <w:rsid w:val="507914D1"/>
    <w:rsid w:val="50B60EBE"/>
    <w:rsid w:val="51196B7F"/>
    <w:rsid w:val="511B3686"/>
    <w:rsid w:val="512A5408"/>
    <w:rsid w:val="51532BB1"/>
    <w:rsid w:val="51703763"/>
    <w:rsid w:val="51DB1DFE"/>
    <w:rsid w:val="520D2F84"/>
    <w:rsid w:val="52647668"/>
    <w:rsid w:val="526A755F"/>
    <w:rsid w:val="528154FB"/>
    <w:rsid w:val="52A116FA"/>
    <w:rsid w:val="53D94677"/>
    <w:rsid w:val="53F8359B"/>
    <w:rsid w:val="544C2353"/>
    <w:rsid w:val="54B55930"/>
    <w:rsid w:val="54B75204"/>
    <w:rsid w:val="54D2203E"/>
    <w:rsid w:val="54E12281"/>
    <w:rsid w:val="56120C9B"/>
    <w:rsid w:val="56723AD9"/>
    <w:rsid w:val="56E20D30"/>
    <w:rsid w:val="56E9366F"/>
    <w:rsid w:val="56FF2E93"/>
    <w:rsid w:val="57BE7A9E"/>
    <w:rsid w:val="57DC225F"/>
    <w:rsid w:val="57EC1669"/>
    <w:rsid w:val="58584F50"/>
    <w:rsid w:val="58B356B8"/>
    <w:rsid w:val="591915CF"/>
    <w:rsid w:val="59387870"/>
    <w:rsid w:val="59D6612D"/>
    <w:rsid w:val="59F12F67"/>
    <w:rsid w:val="5A44753A"/>
    <w:rsid w:val="5A533AA6"/>
    <w:rsid w:val="5A5B4884"/>
    <w:rsid w:val="5A5F76EB"/>
    <w:rsid w:val="5A67147B"/>
    <w:rsid w:val="5A6D20E0"/>
    <w:rsid w:val="5A7D0C9E"/>
    <w:rsid w:val="5AAA1591"/>
    <w:rsid w:val="5B9D4333"/>
    <w:rsid w:val="5BD7425A"/>
    <w:rsid w:val="5BEC1C38"/>
    <w:rsid w:val="5C401F83"/>
    <w:rsid w:val="5C9F6CAA"/>
    <w:rsid w:val="5D105DFA"/>
    <w:rsid w:val="5D153410"/>
    <w:rsid w:val="5EC073AC"/>
    <w:rsid w:val="5F053010"/>
    <w:rsid w:val="5F1514A5"/>
    <w:rsid w:val="5F9D09D0"/>
    <w:rsid w:val="600532C8"/>
    <w:rsid w:val="60771CEC"/>
    <w:rsid w:val="614B11AE"/>
    <w:rsid w:val="615458E4"/>
    <w:rsid w:val="615564D1"/>
    <w:rsid w:val="61DA0784"/>
    <w:rsid w:val="61EA275C"/>
    <w:rsid w:val="620B1AB5"/>
    <w:rsid w:val="62BB0009"/>
    <w:rsid w:val="62D12475"/>
    <w:rsid w:val="62EE60D7"/>
    <w:rsid w:val="635A00BC"/>
    <w:rsid w:val="644545DB"/>
    <w:rsid w:val="646F6B02"/>
    <w:rsid w:val="64B625E5"/>
    <w:rsid w:val="64F2278D"/>
    <w:rsid w:val="650C50F9"/>
    <w:rsid w:val="651F7908"/>
    <w:rsid w:val="65393A14"/>
    <w:rsid w:val="658C6239"/>
    <w:rsid w:val="65A215B9"/>
    <w:rsid w:val="65A37721"/>
    <w:rsid w:val="65D576A7"/>
    <w:rsid w:val="65E6368A"/>
    <w:rsid w:val="65EB11B2"/>
    <w:rsid w:val="65ED6CD8"/>
    <w:rsid w:val="65FB51CE"/>
    <w:rsid w:val="65FC7E82"/>
    <w:rsid w:val="663924EB"/>
    <w:rsid w:val="663A2E25"/>
    <w:rsid w:val="663B13AC"/>
    <w:rsid w:val="66B92476"/>
    <w:rsid w:val="66CF2882"/>
    <w:rsid w:val="66DE0D17"/>
    <w:rsid w:val="672C0E52"/>
    <w:rsid w:val="67E657A8"/>
    <w:rsid w:val="680622D3"/>
    <w:rsid w:val="683D381B"/>
    <w:rsid w:val="686C3513"/>
    <w:rsid w:val="69121CD3"/>
    <w:rsid w:val="692B1732"/>
    <w:rsid w:val="69807E63"/>
    <w:rsid w:val="69AC6EAA"/>
    <w:rsid w:val="6A126DDC"/>
    <w:rsid w:val="6A150CDB"/>
    <w:rsid w:val="6A701C86"/>
    <w:rsid w:val="6A7F636D"/>
    <w:rsid w:val="6AA30543"/>
    <w:rsid w:val="6AC975E8"/>
    <w:rsid w:val="6AD42215"/>
    <w:rsid w:val="6B054A88"/>
    <w:rsid w:val="6B0830C4"/>
    <w:rsid w:val="6B170353"/>
    <w:rsid w:val="6B3B2294"/>
    <w:rsid w:val="6B7457A6"/>
    <w:rsid w:val="6B9326FD"/>
    <w:rsid w:val="6C382C77"/>
    <w:rsid w:val="6C685F71"/>
    <w:rsid w:val="6D0229AC"/>
    <w:rsid w:val="6D1C5D12"/>
    <w:rsid w:val="6D286848"/>
    <w:rsid w:val="6DAA5773"/>
    <w:rsid w:val="6DC72505"/>
    <w:rsid w:val="6DD62431"/>
    <w:rsid w:val="6E3631E6"/>
    <w:rsid w:val="6E4F6056"/>
    <w:rsid w:val="6E514E37"/>
    <w:rsid w:val="6E5813AF"/>
    <w:rsid w:val="6E8421A4"/>
    <w:rsid w:val="6F033FA1"/>
    <w:rsid w:val="6F9866CF"/>
    <w:rsid w:val="6F9C0BD2"/>
    <w:rsid w:val="6F9D700B"/>
    <w:rsid w:val="702A28D7"/>
    <w:rsid w:val="70393F4B"/>
    <w:rsid w:val="70520175"/>
    <w:rsid w:val="717A163C"/>
    <w:rsid w:val="718D136F"/>
    <w:rsid w:val="71BC1C54"/>
    <w:rsid w:val="721750DD"/>
    <w:rsid w:val="7293103A"/>
    <w:rsid w:val="72D07765"/>
    <w:rsid w:val="731A6C33"/>
    <w:rsid w:val="733A72D5"/>
    <w:rsid w:val="73AC2825"/>
    <w:rsid w:val="73F558BD"/>
    <w:rsid w:val="744E128A"/>
    <w:rsid w:val="745B39A7"/>
    <w:rsid w:val="747F7695"/>
    <w:rsid w:val="748E78D8"/>
    <w:rsid w:val="7499002B"/>
    <w:rsid w:val="74CE7AAB"/>
    <w:rsid w:val="74F311C2"/>
    <w:rsid w:val="756B7C19"/>
    <w:rsid w:val="760277D3"/>
    <w:rsid w:val="76053BCA"/>
    <w:rsid w:val="76777509"/>
    <w:rsid w:val="76C33D5F"/>
    <w:rsid w:val="76F012FB"/>
    <w:rsid w:val="76F65C09"/>
    <w:rsid w:val="77063A92"/>
    <w:rsid w:val="772A73A5"/>
    <w:rsid w:val="77594A3F"/>
    <w:rsid w:val="779276DF"/>
    <w:rsid w:val="77BA6C36"/>
    <w:rsid w:val="77F04406"/>
    <w:rsid w:val="78173E5E"/>
    <w:rsid w:val="781E3887"/>
    <w:rsid w:val="78444D3A"/>
    <w:rsid w:val="78591FAB"/>
    <w:rsid w:val="7947274B"/>
    <w:rsid w:val="79627585"/>
    <w:rsid w:val="79CD0EA3"/>
    <w:rsid w:val="7A341A8C"/>
    <w:rsid w:val="7AA250E0"/>
    <w:rsid w:val="7AA5214F"/>
    <w:rsid w:val="7AAD65DE"/>
    <w:rsid w:val="7AB34C3E"/>
    <w:rsid w:val="7AC40004"/>
    <w:rsid w:val="7AFE6E3A"/>
    <w:rsid w:val="7B0326A2"/>
    <w:rsid w:val="7B25086A"/>
    <w:rsid w:val="7BC736D0"/>
    <w:rsid w:val="7C3945CD"/>
    <w:rsid w:val="7C9712F4"/>
    <w:rsid w:val="7CE7399F"/>
    <w:rsid w:val="7D4623C4"/>
    <w:rsid w:val="7D465607"/>
    <w:rsid w:val="7D7E02A2"/>
    <w:rsid w:val="7DCE4638"/>
    <w:rsid w:val="7DD76584"/>
    <w:rsid w:val="7DF73C41"/>
    <w:rsid w:val="7E635B40"/>
    <w:rsid w:val="7EB35B77"/>
    <w:rsid w:val="7EB73ECF"/>
    <w:rsid w:val="7ED53E39"/>
    <w:rsid w:val="7F192494"/>
    <w:rsid w:val="7F1C65C7"/>
    <w:rsid w:val="7F3609D7"/>
    <w:rsid w:val="7F48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3469</Words>
  <Characters>3666</Characters>
  <Lines>1</Lines>
  <Paragraphs>1</Paragraphs>
  <TotalTime>0</TotalTime>
  <ScaleCrop>false</ScaleCrop>
  <LinksUpToDate>false</LinksUpToDate>
  <CharactersWithSpaces>3727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飞如内控咨询</cp:lastModifiedBy>
  <cp:lastPrinted>2020-04-20T08:58:00Z</cp:lastPrinted>
  <dcterms:modified xsi:type="dcterms:W3CDTF">2022-03-29T04:21:53Z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0994B5937C5D4CA18DBD26538F7D0F6F</vt:lpwstr>
  </property>
</Properties>
</file>