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hint="eastAsia" w:eastAsia="方正小标宋_GBK"/>
          <w:sz w:val="44"/>
          <w:szCs w:val="32"/>
        </w:rPr>
      </w:pPr>
    </w:p>
    <w:p>
      <w:pPr>
        <w:spacing w:line="596" w:lineRule="exact"/>
        <w:jc w:val="center"/>
        <w:rPr>
          <w:rFonts w:hint="eastAsia" w:eastAsia="方正小标宋_GBK"/>
          <w:sz w:val="44"/>
          <w:szCs w:val="32"/>
        </w:rPr>
      </w:pPr>
    </w:p>
    <w:p>
      <w:pPr>
        <w:spacing w:line="596" w:lineRule="exact"/>
        <w:jc w:val="center"/>
        <w:rPr>
          <w:rFonts w:hint="eastAsia" w:eastAsia="方正小标宋_GBK"/>
          <w:sz w:val="44"/>
          <w:szCs w:val="32"/>
        </w:rPr>
      </w:pPr>
    </w:p>
    <w:p>
      <w:pPr>
        <w:spacing w:line="596" w:lineRule="exact"/>
        <w:jc w:val="center"/>
        <w:rPr>
          <w:rFonts w:hint="eastAsia" w:eastAsia="方正小标宋_GBK"/>
          <w:sz w:val="44"/>
          <w:szCs w:val="32"/>
        </w:rPr>
      </w:pPr>
    </w:p>
    <w:p>
      <w:pPr>
        <w:spacing w:line="596" w:lineRule="exact"/>
        <w:jc w:val="center"/>
        <w:rPr>
          <w:rFonts w:hint="eastAsia" w:eastAsia="方正小标宋_GBK"/>
          <w:sz w:val="44"/>
          <w:szCs w:val="32"/>
        </w:rPr>
      </w:pPr>
    </w:p>
    <w:p>
      <w:pPr>
        <w:spacing w:line="596" w:lineRule="exact"/>
        <w:jc w:val="center"/>
        <w:rPr>
          <w:rFonts w:hint="eastAsia" w:eastAsia="方正小标宋_GBK"/>
          <w:sz w:val="44"/>
          <w:szCs w:val="32"/>
        </w:rPr>
      </w:pPr>
    </w:p>
    <w:p>
      <w:pPr>
        <w:pStyle w:val="19"/>
        <w:spacing w:line="596" w:lineRule="exact"/>
        <w:ind w:left="359" w:leftChars="171" w:firstLine="1100" w:firstLineChars="250"/>
        <w:jc w:val="center"/>
        <w:rPr>
          <w:rFonts w:hint="eastAsia" w:eastAsia="方正小标宋_GBK"/>
          <w:sz w:val="44"/>
          <w:szCs w:val="32"/>
          <w:lang w:eastAsia="zh-CN"/>
        </w:rPr>
      </w:pPr>
      <w:r>
        <w:rPr>
          <w:rFonts w:hint="eastAsia" w:eastAsia="方正小标宋_GBK"/>
          <w:sz w:val="44"/>
          <w:szCs w:val="32"/>
        </w:rPr>
        <w:t>重庆市</w:t>
      </w:r>
      <w:r>
        <w:rPr>
          <w:rFonts w:hint="eastAsia" w:eastAsia="方正小标宋_GBK"/>
          <w:sz w:val="44"/>
          <w:szCs w:val="32"/>
          <w:lang w:eastAsia="zh-CN"/>
        </w:rPr>
        <w:t>璧山区市政设施所</w:t>
      </w:r>
    </w:p>
    <w:p>
      <w:pPr>
        <w:pStyle w:val="19"/>
        <w:spacing w:line="596" w:lineRule="exact"/>
        <w:ind w:left="359" w:leftChars="171" w:firstLine="1100" w:firstLineChars="25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pStyle w:val="19"/>
        <w:spacing w:line="596" w:lineRule="exact"/>
        <w:ind w:left="357" w:firstLine="640"/>
        <w:rPr>
          <w:rFonts w:eastAsia="方正仿宋_GBK"/>
          <w:sz w:val="32"/>
          <w:szCs w:val="32"/>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目录</w:t>
      </w:r>
    </w:p>
    <w:p>
      <w:pPr>
        <w:pStyle w:val="10"/>
        <w:tabs>
          <w:tab w:val="right" w:leader="dot" w:pos="8958"/>
        </w:tabs>
        <w:rPr>
          <w:rFonts w:hint="eastAsia" w:ascii="方正仿宋_GBK" w:hAnsi="方正仿宋_GBK" w:eastAsia="方正仿宋_GBK" w:cs="方正仿宋_GBK"/>
          <w:sz w:val="32"/>
          <w:szCs w:val="32"/>
        </w:rPr>
      </w:pPr>
      <w:r>
        <w:rPr>
          <w:rFonts w:eastAsia="方正仿宋_GBK"/>
          <w:sz w:val="32"/>
          <w:szCs w:val="32"/>
        </w:rPr>
        <w:fldChar w:fldCharType="begin"/>
      </w:r>
      <w:r>
        <w:rPr>
          <w:rFonts w:eastAsia="方正仿宋_GBK"/>
          <w:sz w:val="32"/>
          <w:szCs w:val="32"/>
        </w:rPr>
        <w:instrText xml:space="preserve">TOC \o "1-2" \h \u </w:instrText>
      </w:r>
      <w:r>
        <w:rPr>
          <w:rFonts w:eastAsia="方正仿宋_GBK"/>
          <w:sz w:val="32"/>
          <w:szCs w:val="32"/>
        </w:rPr>
        <w:fldChar w:fldCharType="separate"/>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_Toc15140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一、基本情况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_Toc15140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_Toc1217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（一）部门基本情况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_Toc1217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_Toc23040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（二）预算及支出情况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_Toc23040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_Toc32563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二、绩效评价基本情况</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_Toc32563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_Toc12088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（一）绩效评价目的</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_Toc12088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_Toc21759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（二）绩效评价原则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_Toc21759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_Toc17428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（三）绩效评价工作过程</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_Toc17428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_Toc4042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三、绩效评价情况及结论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_Toc4042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_Toc29495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主要经验及做法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_Toc29495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0"/>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五、存在的问题和建议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_Toc243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_Toc19623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（一）存在的问题</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_Toc19623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1"/>
        <w:tabs>
          <w:tab w:val="right" w:leader="dot" w:pos="8958"/>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_Toc29697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eastAsia="zh-CN"/>
        </w:rPr>
        <w:t>（二）建议</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PAGEREF _Toc29697 \h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fldChar w:fldCharType="end"/>
      </w:r>
    </w:p>
    <w:p>
      <w:pPr>
        <w:pStyle w:val="19"/>
        <w:spacing w:line="596" w:lineRule="exact"/>
        <w:ind w:left="0" w:leftChars="0" w:firstLine="0" w:firstLineChars="0"/>
        <w:rPr>
          <w:rFonts w:eastAsia="方正仿宋_GBK"/>
          <w:sz w:val="32"/>
          <w:szCs w:val="32"/>
        </w:rPr>
      </w:pPr>
      <w:r>
        <w:rPr>
          <w:rFonts w:eastAsia="方正仿宋_GBK"/>
          <w:szCs w:val="32"/>
        </w:rPr>
        <w:fldChar w:fldCharType="end"/>
      </w:r>
    </w:p>
    <w:p>
      <w:pPr>
        <w:rPr>
          <w:rFonts w:eastAsia="FZHei-B01"/>
          <w:sz w:val="32"/>
          <w:szCs w:val="32"/>
        </w:rPr>
      </w:pPr>
      <w:r>
        <w:rPr>
          <w:rFonts w:eastAsia="FZHei-B01"/>
          <w:sz w:val="32"/>
          <w:szCs w:val="32"/>
        </w:rPr>
        <w:br w:type="page"/>
      </w:r>
    </w:p>
    <w:p>
      <w:pPr>
        <w:spacing w:line="560" w:lineRule="exact"/>
        <w:ind w:firstLine="640" w:firstLineChars="200"/>
        <w:rPr>
          <w:rFonts w:eastAsia="FZHei-B01"/>
          <w:sz w:val="32"/>
          <w:szCs w:val="32"/>
        </w:rPr>
      </w:pPr>
      <w:r>
        <w:rPr>
          <w:rFonts w:hint="eastAsia" w:ascii="方正仿宋_GBK" w:hAnsi="方正仿宋_GBK" w:eastAsia="方正仿宋_GBK" w:cs="方正仿宋_GBK"/>
          <w:color w:val="auto"/>
          <w:sz w:val="32"/>
          <w:szCs w:val="32"/>
          <w:highlight w:val="none"/>
        </w:rPr>
        <w:t>为加强财政资金的管理，提高财政资金的使用效益。根据《</w:t>
      </w:r>
      <w:r>
        <w:rPr>
          <w:rFonts w:hint="eastAsia" w:ascii="方正仿宋_GBK" w:hAnsi="方正仿宋_GBK" w:eastAsia="方正仿宋_GBK" w:cs="方正仿宋_GBK"/>
          <w:color w:val="auto"/>
          <w:sz w:val="32"/>
          <w:szCs w:val="32"/>
          <w:highlight w:val="none"/>
          <w:lang w:eastAsia="zh-CN"/>
        </w:rPr>
        <w:t>重庆市财政局关于加快推进预算绩效管理工作的通知</w:t>
      </w:r>
      <w:r>
        <w:rPr>
          <w:rFonts w:hint="eastAsia" w:ascii="方正仿宋_GBK" w:hAnsi="方正仿宋_GBK" w:eastAsia="方正仿宋_GBK" w:cs="方正仿宋_GBK"/>
          <w:color w:val="auto"/>
          <w:sz w:val="32"/>
          <w:szCs w:val="32"/>
          <w:highlight w:val="none"/>
        </w:rPr>
        <w:t>》（渝财绩〔202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〕1号）、</w:t>
      </w:r>
      <w:r>
        <w:rPr>
          <w:rFonts w:hint="eastAsia" w:ascii="方正仿宋_GBK" w:hAnsi="方正仿宋_GBK" w:eastAsia="方正仿宋_GBK" w:cs="方正仿宋_GBK"/>
          <w:sz w:val="32"/>
          <w:szCs w:val="32"/>
        </w:rPr>
        <w:t>《重庆市璧山区财政局关于开展2021年度预算绩效自评工作的通知》（璧财绩〔2022〕2号）</w:t>
      </w:r>
      <w:r>
        <w:rPr>
          <w:rFonts w:hint="eastAsia" w:ascii="方正仿宋_GBK" w:hAnsi="方正仿宋_GBK" w:eastAsia="方正仿宋_GBK" w:cs="方正仿宋_GBK"/>
          <w:color w:val="auto"/>
          <w:sz w:val="32"/>
          <w:szCs w:val="32"/>
          <w:highlight w:val="none"/>
          <w:lang w:val="en-US" w:eastAsia="zh-CN"/>
        </w:rPr>
        <w:t>文件要求</w:t>
      </w:r>
      <w:r>
        <w:rPr>
          <w:rFonts w:hint="eastAsia" w:ascii="方正仿宋_GBK" w:hAnsi="方正仿宋_GBK" w:eastAsia="方正仿宋_GBK" w:cs="方正仿宋_GBK"/>
          <w:color w:val="auto"/>
          <w:sz w:val="32"/>
          <w:szCs w:val="32"/>
          <w:highlight w:val="none"/>
        </w:rPr>
        <w:t>，形成202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度</w:t>
      </w:r>
      <w:r>
        <w:rPr>
          <w:rFonts w:hint="eastAsia" w:ascii="方正仿宋_GBK" w:hAnsi="方正仿宋_GBK" w:eastAsia="方正仿宋_GBK" w:cs="方正仿宋_GBK"/>
          <w:color w:val="auto"/>
          <w:sz w:val="32"/>
          <w:szCs w:val="32"/>
          <w:highlight w:val="none"/>
          <w:lang w:val="en-US" w:eastAsia="zh-CN"/>
        </w:rPr>
        <w:t>部门</w:t>
      </w:r>
      <w:r>
        <w:rPr>
          <w:rFonts w:hint="eastAsia" w:ascii="方正仿宋_GBK" w:hAnsi="方正仿宋_GBK" w:eastAsia="方正仿宋_GBK" w:cs="方正仿宋_GBK"/>
          <w:color w:val="auto"/>
          <w:sz w:val="32"/>
          <w:szCs w:val="32"/>
          <w:highlight w:val="none"/>
        </w:rPr>
        <w:t>整体支出绩效自评报告如下：</w:t>
      </w:r>
    </w:p>
    <w:p>
      <w:pPr>
        <w:spacing w:line="596" w:lineRule="exact"/>
        <w:ind w:firstLine="640" w:firstLineChars="200"/>
        <w:outlineLvl w:val="0"/>
        <w:rPr>
          <w:rFonts w:hint="eastAsia" w:eastAsia="FZHei-B01"/>
          <w:sz w:val="32"/>
          <w:szCs w:val="32"/>
        </w:rPr>
      </w:pPr>
      <w:bookmarkStart w:id="0" w:name="_Toc15140"/>
      <w:r>
        <w:rPr>
          <w:rFonts w:hint="eastAsia" w:eastAsia="FZHei-B01"/>
          <w:sz w:val="32"/>
          <w:szCs w:val="32"/>
        </w:rPr>
        <w:t>一、基本情况</w:t>
      </w:r>
      <w:bookmarkEnd w:id="0"/>
    </w:p>
    <w:p>
      <w:pPr>
        <w:spacing w:line="596" w:lineRule="exact"/>
        <w:ind w:firstLine="640" w:firstLineChars="200"/>
        <w:outlineLvl w:val="1"/>
        <w:rPr>
          <w:rFonts w:hint="eastAsia" w:eastAsia="方正仿宋_GBK"/>
          <w:sz w:val="32"/>
          <w:szCs w:val="32"/>
          <w:lang w:eastAsia="zh-CN"/>
        </w:rPr>
      </w:pPr>
      <w:bookmarkStart w:id="1" w:name="_Toc1217"/>
      <w:r>
        <w:rPr>
          <w:rFonts w:hint="eastAsia" w:eastAsia="方正仿宋_GBK"/>
          <w:sz w:val="32"/>
          <w:szCs w:val="32"/>
          <w:lang w:eastAsia="zh-CN"/>
        </w:rPr>
        <w:t>（一）部门基本情况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部门职级</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重庆市璧山区市政设施所为区城市管理局下属的财政全额补助公益一类事业单位，为正科级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内设机构及编制</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重庆市</w:t>
      </w:r>
      <w:r>
        <w:rPr>
          <w:rFonts w:hint="eastAsia" w:ascii="方正仿宋_GBK" w:hAnsi="方正仿宋_GBK" w:eastAsia="方正仿宋_GBK" w:cs="方正仿宋_GBK"/>
          <w:color w:val="auto"/>
          <w:sz w:val="32"/>
          <w:szCs w:val="32"/>
          <w:highlight w:val="none"/>
          <w:lang w:eastAsia="zh-CN"/>
        </w:rPr>
        <w:t>璧山区市政设施所</w:t>
      </w:r>
      <w:r>
        <w:rPr>
          <w:rFonts w:hint="eastAsia" w:ascii="方正仿宋_GBK" w:hAnsi="方正仿宋_GBK" w:eastAsia="方正仿宋_GBK" w:cs="方正仿宋_GBK"/>
          <w:color w:val="auto"/>
          <w:sz w:val="32"/>
          <w:szCs w:val="32"/>
          <w:highlight w:val="none"/>
        </w:rPr>
        <w:t>设下列内设机构：</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办公室。</w:t>
      </w:r>
      <w:r>
        <w:rPr>
          <w:rFonts w:hint="eastAsia" w:ascii="方正仿宋_GBK" w:hAnsi="方正仿宋_GBK" w:eastAsia="方正仿宋_GBK" w:cs="方正仿宋_GBK"/>
          <w:color w:val="auto"/>
          <w:sz w:val="32"/>
          <w:szCs w:val="32"/>
          <w:highlight w:val="none"/>
          <w:lang w:val="en-US" w:eastAsia="zh-CN"/>
        </w:rPr>
        <w:t>当好所领导的助手、参谋，搞好上传下达和内外联系工作，负责各种会议的准备工作；负责做好文件、资料、信件的收发、登记、归档等工作；负责草拟通知、请示、报告、会议记录等，协助领导拟制工作计划、工作总结等文书工作，负责后勤保障工作；负责全所职工考勤，收集好人好事、先进事迹，整理奖惩考核等材料；完成领导交办的其他工作任务。</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维修队。负责城区路灯灯饰维护管理工作，确保亮灯率和设施完好率达标；负责组织每月至少1次的安全排查工作，重点对管辖区范围内路灯灯杆灯具、专变、控制柜（箱）、地埋线缆等进行安全排查，落实安全措施，消除安全隐患，预防安全事故的发生；负责迎春灯饰的供电、电源搭接、负荷监测等相关工作；负责做好路灯灯饰日常启闭工作；完成领导交办的其他临时性、突击性工作任务。</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隧道站。负责隧道所有设施设备的日常巡视检查，发现问题及时通知相关部门及科室；负责隧道交通事故前期处置及救援，安全隐患排除；负责中控室的值守（各类信息上报和通知、记录完善备查）；负责隧道照明设施、风机、监控设施、配电室、设备室、机电设施设备等日常维护维修工作；负责隧道消防设备维修（灭火器、泡沫发生器、消防洞室门）；负责隧道各类应急抢险（机电、消防、安全交通事故）；负责隧道管理房及配套设施用房的设施设备维修、维护；负责安全设施维修（各类安全标志、标牌、警示标志、情报板、限速板、公里桩、百米桩、人行横通道门、车行横通道门）；负责各类禁止进入隧道的行为的劝导。</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单位独立编制机构为1个，人员编制29人（实有人数29人），退休职工1人，临聘人员54人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3、职能职责</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）宣传贯彻</w:t>
      </w:r>
      <w:r>
        <w:rPr>
          <w:rFonts w:hint="eastAsia" w:ascii="方正仿宋_GBK" w:hAnsi="方正仿宋_GBK" w:eastAsia="方正仿宋_GBK" w:cs="方正仿宋_GBK"/>
          <w:color w:val="auto"/>
          <w:sz w:val="32"/>
          <w:szCs w:val="32"/>
          <w:highlight w:val="none"/>
          <w:lang w:val="en-US" w:eastAsia="zh-CN"/>
        </w:rPr>
        <w:t>执行</w:t>
      </w:r>
      <w:r>
        <w:rPr>
          <w:rFonts w:hint="eastAsia" w:ascii="方正仿宋_GBK" w:hAnsi="方正仿宋_GBK" w:eastAsia="方正仿宋_GBK" w:cs="方正仿宋_GBK"/>
          <w:color w:val="auto"/>
          <w:sz w:val="32"/>
          <w:szCs w:val="32"/>
          <w:highlight w:val="none"/>
          <w:lang w:eastAsia="zh-CN"/>
        </w:rPr>
        <w:t>国家和地方</w:t>
      </w:r>
      <w:r>
        <w:rPr>
          <w:rFonts w:hint="eastAsia" w:ascii="方正仿宋_GBK" w:hAnsi="方正仿宋_GBK" w:eastAsia="方正仿宋_GBK" w:cs="方正仿宋_GBK"/>
          <w:color w:val="auto"/>
          <w:sz w:val="32"/>
          <w:szCs w:val="32"/>
          <w:highlight w:val="none"/>
          <w:lang w:val="en-US" w:eastAsia="zh-CN"/>
        </w:rPr>
        <w:t>有</w:t>
      </w:r>
      <w:r>
        <w:rPr>
          <w:rFonts w:hint="eastAsia" w:ascii="方正仿宋_GBK" w:hAnsi="方正仿宋_GBK" w:eastAsia="方正仿宋_GBK" w:cs="方正仿宋_GBK"/>
          <w:color w:val="auto"/>
          <w:sz w:val="32"/>
          <w:szCs w:val="32"/>
          <w:highlight w:val="none"/>
          <w:lang w:eastAsia="zh-CN"/>
        </w:rPr>
        <w:t>关</w:t>
      </w:r>
      <w:r>
        <w:rPr>
          <w:rFonts w:hint="eastAsia" w:ascii="方正仿宋_GBK" w:hAnsi="方正仿宋_GBK" w:eastAsia="方正仿宋_GBK" w:cs="方正仿宋_GBK"/>
          <w:color w:val="auto"/>
          <w:sz w:val="32"/>
          <w:szCs w:val="32"/>
          <w:highlight w:val="none"/>
          <w:lang w:val="en-US" w:eastAsia="zh-CN"/>
        </w:rPr>
        <w:t>市政公用设施维护管理</w:t>
      </w:r>
      <w:r>
        <w:rPr>
          <w:rFonts w:hint="eastAsia" w:ascii="方正仿宋_GBK" w:hAnsi="方正仿宋_GBK" w:eastAsia="方正仿宋_GBK" w:cs="方正仿宋_GBK"/>
          <w:color w:val="auto"/>
          <w:sz w:val="32"/>
          <w:szCs w:val="32"/>
          <w:highlight w:val="none"/>
          <w:lang w:eastAsia="zh-CN"/>
        </w:rPr>
        <w:t>的法律、法规、规章和政策。</w:t>
      </w:r>
    </w:p>
    <w:p>
      <w:pPr>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协助主管部门做好编制城市市政基础设施建设、维护的中长期发展规划和年度计划的事务性工作。参与城市市政基础设施项目的竣工验收。</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）承担</w:t>
      </w:r>
      <w:r>
        <w:rPr>
          <w:rFonts w:hint="eastAsia" w:ascii="方正仿宋_GBK" w:hAnsi="方正仿宋_GBK" w:eastAsia="方正仿宋_GBK" w:cs="方正仿宋_GBK"/>
          <w:color w:val="auto"/>
          <w:sz w:val="32"/>
          <w:szCs w:val="32"/>
          <w:highlight w:val="none"/>
          <w:lang w:val="en-US" w:eastAsia="zh-CN"/>
        </w:rPr>
        <w:t>城区道路、桥梁、隧道、公园、广场等市政设施的维护</w:t>
      </w:r>
      <w:r>
        <w:rPr>
          <w:rFonts w:hint="eastAsia" w:ascii="方正仿宋_GBK" w:hAnsi="方正仿宋_GBK" w:eastAsia="方正仿宋_GBK" w:cs="方正仿宋_GBK"/>
          <w:color w:val="auto"/>
          <w:sz w:val="32"/>
          <w:szCs w:val="32"/>
          <w:highlight w:val="none"/>
          <w:lang w:eastAsia="zh-CN"/>
        </w:rPr>
        <w:t>。</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）承担</w:t>
      </w:r>
      <w:r>
        <w:rPr>
          <w:rFonts w:hint="eastAsia" w:ascii="方正仿宋_GBK" w:hAnsi="方正仿宋_GBK" w:eastAsia="方正仿宋_GBK" w:cs="方正仿宋_GBK"/>
          <w:color w:val="auto"/>
          <w:sz w:val="32"/>
          <w:szCs w:val="32"/>
          <w:highlight w:val="none"/>
          <w:lang w:val="en-US" w:eastAsia="zh-CN"/>
        </w:rPr>
        <w:t>规定权限内的城区窨井及窨井盖的日常维护</w:t>
      </w:r>
      <w:r>
        <w:rPr>
          <w:rFonts w:hint="eastAsia" w:ascii="方正仿宋_GBK" w:hAnsi="方正仿宋_GBK" w:eastAsia="方正仿宋_GBK" w:cs="方正仿宋_GBK"/>
          <w:color w:val="auto"/>
          <w:sz w:val="32"/>
          <w:szCs w:val="32"/>
          <w:highlight w:val="none"/>
          <w:lang w:eastAsia="zh-CN"/>
        </w:rPr>
        <w:t>。</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承担城市功能照明、景观照明等城市照明设施的维护。</w:t>
      </w:r>
    </w:p>
    <w:p>
      <w:pPr>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承担规定范围内的功能照明、景观照明等基础设施的建设任务。</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）承办主管部门交办的其他事项。</w:t>
      </w:r>
    </w:p>
    <w:p>
      <w:pPr>
        <w:spacing w:line="596" w:lineRule="exact"/>
        <w:ind w:firstLine="640" w:firstLineChars="200"/>
        <w:outlineLvl w:val="1"/>
        <w:rPr>
          <w:rFonts w:hint="eastAsia" w:eastAsia="方正仿宋_GBK"/>
          <w:sz w:val="32"/>
          <w:szCs w:val="32"/>
          <w:lang w:eastAsia="zh-CN"/>
        </w:rPr>
      </w:pPr>
      <w:bookmarkStart w:id="2" w:name="_Toc23040"/>
      <w:r>
        <w:rPr>
          <w:rFonts w:hint="eastAsia" w:eastAsia="方正仿宋_GBK"/>
          <w:sz w:val="32"/>
          <w:szCs w:val="32"/>
          <w:lang w:eastAsia="zh-CN"/>
        </w:rPr>
        <w:t>（二）预算及支出情况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财政资金整体支出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年财政资金年初支出</w:t>
      </w:r>
      <w:r>
        <w:rPr>
          <w:rFonts w:hint="eastAsia" w:ascii="方正仿宋_GBK" w:hAnsi="方正仿宋_GBK" w:eastAsia="方正仿宋_GBK" w:cs="方正仿宋_GBK"/>
          <w:color w:val="auto"/>
          <w:sz w:val="32"/>
          <w:szCs w:val="32"/>
          <w:highlight w:val="none"/>
        </w:rPr>
        <w:t>预算为</w:t>
      </w:r>
      <w:r>
        <w:rPr>
          <w:rFonts w:hint="eastAsia" w:ascii="方正仿宋_GBK" w:hAnsi="方正仿宋_GBK" w:eastAsia="方正仿宋_GBK" w:cs="方正仿宋_GBK"/>
          <w:color w:val="auto"/>
          <w:sz w:val="32"/>
          <w:szCs w:val="32"/>
          <w:highlight w:val="none"/>
          <w:lang w:val="en-US" w:eastAsia="zh-CN"/>
        </w:rPr>
        <w:t>4182.851734</w:t>
      </w:r>
      <w:r>
        <w:rPr>
          <w:rFonts w:hint="eastAsia" w:ascii="方正仿宋_GBK" w:hAnsi="方正仿宋_GBK" w:eastAsia="方正仿宋_GBK" w:cs="方正仿宋_GBK"/>
          <w:color w:val="auto"/>
          <w:sz w:val="32"/>
          <w:szCs w:val="32"/>
          <w:highlight w:val="none"/>
        </w:rPr>
        <w:t>万元，年中调整预算为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3381.339678</w:t>
      </w:r>
      <w:r>
        <w:rPr>
          <w:rFonts w:hint="eastAsia" w:ascii="方正仿宋_GBK" w:hAnsi="方正仿宋_GBK" w:eastAsia="方正仿宋_GBK" w:cs="方正仿宋_GBK"/>
          <w:color w:val="auto"/>
          <w:sz w:val="32"/>
          <w:szCs w:val="32"/>
          <w:highlight w:val="none"/>
        </w:rPr>
        <w:t>万元，调整后支出预算为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3381.339678</w:t>
      </w:r>
      <w:r>
        <w:rPr>
          <w:rFonts w:hint="eastAsia" w:ascii="方正仿宋_GBK" w:hAnsi="方正仿宋_GBK" w:eastAsia="方正仿宋_GBK" w:cs="方正仿宋_GBK"/>
          <w:color w:val="auto"/>
          <w:sz w:val="32"/>
          <w:szCs w:val="32"/>
          <w:highlight w:val="none"/>
        </w:rPr>
        <w:t>万元；年末支出决算为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3381.339678</w:t>
      </w:r>
      <w:r>
        <w:rPr>
          <w:rFonts w:hint="eastAsia" w:ascii="方正仿宋_GBK" w:hAnsi="方正仿宋_GBK" w:eastAsia="方正仿宋_GBK" w:cs="方正仿宋_GBK"/>
          <w:color w:val="auto"/>
          <w:sz w:val="32"/>
          <w:szCs w:val="32"/>
          <w:highlight w:val="none"/>
        </w:rPr>
        <w:t>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部门“三公”经费支出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宋体"/>
          <w:lang w:eastAsia="zh-CN"/>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rPr>
        <w:t>“三公”经费支出总额</w:t>
      </w:r>
      <w:r>
        <w:rPr>
          <w:rFonts w:hint="eastAsia" w:ascii="方正仿宋_GBK" w:hAnsi="方正仿宋_GBK" w:eastAsia="方正仿宋_GBK" w:cs="方正仿宋_GBK"/>
          <w:color w:val="auto"/>
          <w:sz w:val="32"/>
          <w:szCs w:val="32"/>
          <w:highlight w:val="none"/>
          <w:lang w:val="en-US" w:eastAsia="zh-CN"/>
        </w:rPr>
        <w:t>44.671968</w:t>
      </w:r>
      <w:r>
        <w:rPr>
          <w:rFonts w:hint="eastAsia" w:ascii="方正仿宋_GBK" w:hAnsi="方正仿宋_GBK" w:eastAsia="方正仿宋_GBK" w:cs="方正仿宋_GBK"/>
          <w:color w:val="auto"/>
          <w:sz w:val="32"/>
          <w:szCs w:val="32"/>
          <w:highlight w:val="none"/>
        </w:rPr>
        <w:t>万元，其中：公务车运行维护费</w:t>
      </w:r>
      <w:r>
        <w:rPr>
          <w:rFonts w:hint="eastAsia" w:ascii="方正仿宋_GBK" w:hAnsi="方正仿宋_GBK" w:eastAsia="方正仿宋_GBK" w:cs="方正仿宋_GBK"/>
          <w:color w:val="auto"/>
          <w:sz w:val="32"/>
          <w:szCs w:val="32"/>
          <w:highlight w:val="none"/>
          <w:lang w:val="en-US" w:eastAsia="zh-CN"/>
        </w:rPr>
        <w:t>44.671968</w:t>
      </w:r>
      <w:r>
        <w:rPr>
          <w:rFonts w:hint="eastAsia" w:ascii="方正仿宋_GBK" w:hAnsi="方正仿宋_GBK" w:eastAsia="方正仿宋_GBK" w:cs="方正仿宋_GBK"/>
          <w:color w:val="auto"/>
          <w:sz w:val="32"/>
          <w:szCs w:val="32"/>
          <w:highlight w:val="none"/>
        </w:rPr>
        <w:t>万元。年初预算支出</w:t>
      </w:r>
      <w:r>
        <w:rPr>
          <w:rFonts w:hint="eastAsia" w:ascii="方正仿宋_GBK" w:hAnsi="方正仿宋_GBK" w:eastAsia="方正仿宋_GBK" w:cs="方正仿宋_GBK"/>
          <w:color w:val="auto"/>
          <w:sz w:val="32"/>
          <w:szCs w:val="32"/>
          <w:highlight w:val="none"/>
          <w:lang w:val="en-US" w:eastAsia="zh-CN"/>
        </w:rPr>
        <w:t>85</w:t>
      </w:r>
      <w:r>
        <w:rPr>
          <w:rFonts w:hint="eastAsia" w:ascii="方正仿宋_GBK" w:hAnsi="方正仿宋_GBK" w:eastAsia="方正仿宋_GBK" w:cs="方正仿宋_GBK"/>
          <w:color w:val="auto"/>
          <w:sz w:val="32"/>
          <w:szCs w:val="32"/>
          <w:highlight w:val="none"/>
        </w:rPr>
        <w:t>万，比预算减少</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328032</w:t>
      </w:r>
      <w:r>
        <w:rPr>
          <w:rFonts w:hint="eastAsia" w:ascii="方正仿宋_GBK" w:hAnsi="方正仿宋_GBK" w:eastAsia="方正仿宋_GBK" w:cs="方正仿宋_GBK"/>
          <w:color w:val="auto"/>
          <w:sz w:val="32"/>
          <w:szCs w:val="32"/>
          <w:highlight w:val="none"/>
        </w:rPr>
        <w:t>万元，主要原因是厉行节约，严格管理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由于受疫影响，今年未接待来访、来客人员。</w:t>
      </w:r>
    </w:p>
    <w:p>
      <w:pPr>
        <w:spacing w:line="596" w:lineRule="exact"/>
        <w:ind w:firstLine="640" w:firstLineChars="200"/>
        <w:outlineLvl w:val="0"/>
        <w:rPr>
          <w:rFonts w:hint="eastAsia" w:eastAsia="FZHei-B01"/>
          <w:sz w:val="32"/>
          <w:szCs w:val="32"/>
        </w:rPr>
      </w:pPr>
      <w:bookmarkStart w:id="3" w:name="_Toc32563"/>
      <w:r>
        <w:rPr>
          <w:rFonts w:hint="eastAsia" w:eastAsia="FZHei-B01"/>
          <w:sz w:val="32"/>
          <w:szCs w:val="32"/>
        </w:rPr>
        <w:t>二、绩效评价基本情况</w:t>
      </w:r>
      <w:bookmarkEnd w:id="3"/>
    </w:p>
    <w:p>
      <w:pPr>
        <w:spacing w:line="596" w:lineRule="exact"/>
        <w:ind w:firstLine="640" w:firstLineChars="200"/>
        <w:outlineLvl w:val="1"/>
        <w:rPr>
          <w:rFonts w:hint="eastAsia" w:eastAsia="方正仿宋_GBK"/>
          <w:sz w:val="32"/>
          <w:szCs w:val="32"/>
          <w:lang w:eastAsia="zh-CN"/>
        </w:rPr>
      </w:pPr>
      <w:bookmarkStart w:id="4" w:name="_Toc12088"/>
      <w:r>
        <w:rPr>
          <w:rFonts w:hint="eastAsia" w:eastAsia="方正仿宋_GBK"/>
          <w:sz w:val="32"/>
          <w:szCs w:val="32"/>
          <w:lang w:eastAsia="zh-CN"/>
        </w:rPr>
        <w:t>（一）绩效评价目的</w:t>
      </w:r>
      <w:bookmarkEnd w:id="4"/>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为加强预算执行分析，规范财务管理，强化财政资金跟踪问效和绩效管理，建立对下属预算单位的监督、指导机制，及时发现问题并采取有效措施解决，组织开展部门2021年整体支出绩效自评。</w:t>
      </w:r>
    </w:p>
    <w:p>
      <w:pPr>
        <w:spacing w:line="596" w:lineRule="exact"/>
        <w:ind w:firstLine="640" w:firstLineChars="200"/>
        <w:outlineLvl w:val="1"/>
        <w:rPr>
          <w:rFonts w:hint="eastAsia" w:eastAsia="方正仿宋_GBK"/>
          <w:sz w:val="32"/>
          <w:szCs w:val="32"/>
          <w:lang w:eastAsia="zh-CN"/>
        </w:rPr>
      </w:pPr>
      <w:bookmarkStart w:id="5" w:name="_Toc21759"/>
      <w:r>
        <w:rPr>
          <w:rFonts w:hint="eastAsia" w:eastAsia="方正仿宋_GBK"/>
          <w:sz w:val="32"/>
          <w:szCs w:val="32"/>
          <w:lang w:eastAsia="zh-CN"/>
        </w:rPr>
        <w:t>（二）绩效评价原则</w:t>
      </w:r>
      <w:bookmarkEnd w:id="5"/>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绩效评价原则包括科学规范原则、公开公正原则、分级分类原则、绩效相关原则。</w:t>
      </w:r>
    </w:p>
    <w:p>
      <w:pPr>
        <w:spacing w:line="596" w:lineRule="exact"/>
        <w:ind w:firstLine="640" w:firstLineChars="200"/>
        <w:outlineLvl w:val="1"/>
        <w:rPr>
          <w:rFonts w:hint="eastAsia" w:eastAsia="方正仿宋_GBK"/>
          <w:sz w:val="32"/>
          <w:szCs w:val="32"/>
          <w:lang w:eastAsia="zh-CN"/>
        </w:rPr>
      </w:pPr>
      <w:bookmarkStart w:id="6" w:name="_Toc17428"/>
      <w:r>
        <w:rPr>
          <w:rFonts w:hint="eastAsia" w:eastAsia="方正仿宋_GBK"/>
          <w:sz w:val="32"/>
          <w:szCs w:val="32"/>
          <w:lang w:eastAsia="zh-CN"/>
        </w:rPr>
        <w:t>（三）绩效评价工作过程</w:t>
      </w:r>
      <w:bookmarkEnd w:id="6"/>
    </w:p>
    <w:p>
      <w:pPr>
        <w:spacing w:line="596" w:lineRule="exact"/>
        <w:ind w:firstLine="640" w:firstLineChars="200"/>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前期准备</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sz w:val="32"/>
          <w:szCs w:val="32"/>
        </w:rPr>
        <w:t>《重庆市璧山区财政局关于开展2021年度预算绩效自评工作的通知》（璧财绩〔2022〕2号）</w:t>
      </w:r>
      <w:r>
        <w:rPr>
          <w:rFonts w:hint="eastAsia" w:ascii="方正仿宋_GBK" w:hAnsi="方正仿宋_GBK" w:eastAsia="方正仿宋_GBK" w:cs="方正仿宋_GBK"/>
          <w:color w:val="auto"/>
          <w:sz w:val="32"/>
          <w:szCs w:val="32"/>
          <w:highlight w:val="none"/>
        </w:rPr>
        <w:t>文件要求，我</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高度重视绩效评价，组成由</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领导、财务</w:t>
      </w:r>
      <w:r>
        <w:rPr>
          <w:rFonts w:hint="eastAsia" w:ascii="方正仿宋_GBK" w:hAnsi="方正仿宋_GBK" w:eastAsia="方正仿宋_GBK" w:cs="方正仿宋_GBK"/>
          <w:color w:val="auto"/>
          <w:sz w:val="32"/>
          <w:szCs w:val="32"/>
          <w:highlight w:val="none"/>
          <w:lang w:eastAsia="zh-CN"/>
        </w:rPr>
        <w:t>科</w:t>
      </w:r>
      <w:r>
        <w:rPr>
          <w:rFonts w:hint="eastAsia" w:ascii="方正仿宋_GBK" w:hAnsi="方正仿宋_GBK" w:eastAsia="方正仿宋_GBK" w:cs="方正仿宋_GBK"/>
          <w:color w:val="auto"/>
          <w:sz w:val="32"/>
          <w:szCs w:val="32"/>
          <w:highlight w:val="none"/>
        </w:rPr>
        <w:t>、各业务</w:t>
      </w:r>
      <w:r>
        <w:rPr>
          <w:rFonts w:hint="eastAsia" w:ascii="方正仿宋_GBK" w:hAnsi="方正仿宋_GBK" w:eastAsia="方正仿宋_GBK" w:cs="方正仿宋_GBK"/>
          <w:color w:val="auto"/>
          <w:sz w:val="32"/>
          <w:szCs w:val="32"/>
          <w:highlight w:val="none"/>
          <w:lang w:eastAsia="zh-CN"/>
        </w:rPr>
        <w:t>科</w:t>
      </w:r>
      <w:r>
        <w:rPr>
          <w:rFonts w:hint="eastAsia" w:ascii="方正仿宋_GBK" w:hAnsi="方正仿宋_GBK" w:eastAsia="方正仿宋_GBK" w:cs="方正仿宋_GBK"/>
          <w:color w:val="auto"/>
          <w:sz w:val="32"/>
          <w:szCs w:val="32"/>
          <w:highlight w:val="none"/>
        </w:rPr>
        <w:t>室负责人和项目负责人组成的自评小组，制定自评方案，明确自评程序和方法，通知要求资金使用</w:t>
      </w:r>
      <w:r>
        <w:rPr>
          <w:rFonts w:hint="eastAsia" w:ascii="方正仿宋_GBK" w:hAnsi="方正仿宋_GBK" w:eastAsia="方正仿宋_GBK" w:cs="方正仿宋_GBK"/>
          <w:color w:val="auto"/>
          <w:sz w:val="32"/>
          <w:szCs w:val="32"/>
          <w:highlight w:val="none"/>
          <w:lang w:eastAsia="zh-CN"/>
        </w:rPr>
        <w:t>科室</w:t>
      </w:r>
      <w:r>
        <w:rPr>
          <w:rFonts w:hint="eastAsia" w:ascii="方正仿宋_GBK" w:hAnsi="方正仿宋_GBK" w:eastAsia="方正仿宋_GBK" w:cs="方正仿宋_GBK"/>
          <w:color w:val="auto"/>
          <w:sz w:val="32"/>
          <w:szCs w:val="32"/>
          <w:highlight w:val="none"/>
        </w:rPr>
        <w:t>上报资金使用情况、项目实施情况及计划绩效目标完成情况。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本次绩效评价工作分为</w:t>
      </w:r>
      <w:r>
        <w:rPr>
          <w:rFonts w:hint="eastAsia" w:ascii="方正仿宋_GBK" w:hAnsi="方正仿宋_GBK" w:eastAsia="方正仿宋_GBK" w:cs="方正仿宋_GBK"/>
          <w:color w:val="auto"/>
          <w:sz w:val="32"/>
          <w:szCs w:val="32"/>
          <w:highlight w:val="none"/>
          <w:lang w:eastAsia="zh-CN"/>
        </w:rPr>
        <w:t>两</w:t>
      </w:r>
      <w:r>
        <w:rPr>
          <w:rFonts w:hint="eastAsia" w:ascii="方正仿宋_GBK" w:hAnsi="方正仿宋_GBK" w:eastAsia="方正仿宋_GBK" w:cs="方正仿宋_GBK"/>
          <w:color w:val="auto"/>
          <w:sz w:val="32"/>
          <w:szCs w:val="32"/>
          <w:highlight w:val="none"/>
        </w:rPr>
        <w:t>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第一个阶段为评价准备阶段，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工作组梳理和研读了国家层面、市级层面、区级层面与本次评价</w:t>
      </w:r>
      <w:r>
        <w:rPr>
          <w:rFonts w:hint="eastAsia" w:ascii="方正仿宋_GBK" w:hAnsi="方正仿宋_GBK" w:eastAsia="方正仿宋_GBK" w:cs="方正仿宋_GBK"/>
          <w:color w:val="auto"/>
          <w:sz w:val="32"/>
          <w:szCs w:val="32"/>
          <w:highlight w:val="none"/>
          <w:lang w:eastAsia="zh-CN"/>
        </w:rPr>
        <w:t>部门整体</w:t>
      </w:r>
      <w:r>
        <w:rPr>
          <w:rFonts w:hint="eastAsia" w:ascii="方正仿宋_GBK" w:hAnsi="方正仿宋_GBK" w:eastAsia="方正仿宋_GBK" w:cs="方正仿宋_GBK"/>
          <w:color w:val="auto"/>
          <w:sz w:val="32"/>
          <w:szCs w:val="32"/>
          <w:highlight w:val="none"/>
        </w:rPr>
        <w:t>有关的政策文件，获得</w:t>
      </w:r>
      <w:r>
        <w:rPr>
          <w:rFonts w:hint="eastAsia" w:ascii="方正仿宋_GBK" w:hAnsi="方正仿宋_GBK" w:eastAsia="方正仿宋_GBK" w:cs="方正仿宋_GBK"/>
          <w:color w:val="auto"/>
          <w:sz w:val="32"/>
          <w:szCs w:val="32"/>
          <w:highlight w:val="none"/>
          <w:lang w:eastAsia="zh-CN"/>
        </w:rPr>
        <w:t>评价</w:t>
      </w:r>
      <w:r>
        <w:rPr>
          <w:rFonts w:hint="eastAsia" w:ascii="方正仿宋_GBK" w:hAnsi="方正仿宋_GBK" w:eastAsia="方正仿宋_GBK" w:cs="方正仿宋_GBK"/>
          <w:color w:val="auto"/>
          <w:sz w:val="32"/>
          <w:szCs w:val="32"/>
          <w:highlight w:val="none"/>
        </w:rPr>
        <w:t>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第二个阶段为实施评价阶段，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工作组在202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25</w:t>
      </w:r>
      <w:r>
        <w:rPr>
          <w:rFonts w:hint="eastAsia" w:ascii="方正仿宋_GBK" w:hAnsi="方正仿宋_GBK" w:eastAsia="方正仿宋_GBK" w:cs="方正仿宋_GBK"/>
          <w:color w:val="auto"/>
          <w:sz w:val="32"/>
          <w:szCs w:val="32"/>
          <w:highlight w:val="none"/>
        </w:rPr>
        <w:t>日至</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日开展评价实施。取得评价</w:t>
      </w:r>
      <w:r>
        <w:rPr>
          <w:rFonts w:hint="eastAsia" w:ascii="方正仿宋_GBK" w:hAnsi="方正仿宋_GBK" w:eastAsia="方正仿宋_GBK" w:cs="方正仿宋_GBK"/>
          <w:color w:val="auto"/>
          <w:sz w:val="32"/>
          <w:szCs w:val="32"/>
          <w:highlight w:val="none"/>
          <w:lang w:eastAsia="zh-CN"/>
        </w:rPr>
        <w:t>部门整体实施</w:t>
      </w:r>
      <w:r>
        <w:rPr>
          <w:rFonts w:hint="eastAsia" w:ascii="方正仿宋_GBK" w:hAnsi="方正仿宋_GBK" w:eastAsia="方正仿宋_GBK" w:cs="方正仿宋_GBK"/>
          <w:color w:val="auto"/>
          <w:sz w:val="32"/>
          <w:szCs w:val="32"/>
          <w:highlight w:val="none"/>
        </w:rPr>
        <w:t>的进度和资金筹集支出情况等资料，通过研读搭建指标体系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填写《</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市政设施所2021年度部门整体支出绩效自评表》并撰写自评报告</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yellow"/>
          <w:lang w:val="en-US" w:eastAsia="zh-CN"/>
        </w:rPr>
      </w:pPr>
      <w:r>
        <w:rPr>
          <w:rFonts w:hint="eastAsia" w:ascii="方正仿宋_GBK" w:hAnsi="方正仿宋_GBK" w:eastAsia="方正仿宋_GBK" w:cs="方正仿宋_GBK"/>
          <w:color w:val="auto"/>
          <w:sz w:val="32"/>
          <w:szCs w:val="32"/>
          <w:lang w:val="en-US" w:eastAsia="zh-CN"/>
        </w:rPr>
        <w:t>3、分析评价</w:t>
      </w:r>
    </w:p>
    <w:p>
      <w:pPr>
        <w:spacing w:line="596" w:lineRule="exact"/>
        <w:ind w:firstLine="640" w:firstLineChars="200"/>
        <w:rPr>
          <w:rFonts w:hint="eastAsia" w:ascii="Times New Roman" w:hAnsi="Times New Roman"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rPr>
        <w:t>2022年3月1</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日至3月</w:t>
      </w:r>
      <w:r>
        <w:rPr>
          <w:rFonts w:hint="eastAsia" w:ascii="方正仿宋_GBK" w:hAnsi="方正仿宋_GBK" w:eastAsia="方正仿宋_GBK" w:cs="方正仿宋_GBK"/>
          <w:color w:val="auto"/>
          <w:sz w:val="32"/>
          <w:szCs w:val="32"/>
          <w:highlight w:val="none"/>
          <w:lang w:val="en-US" w:eastAsia="zh-CN"/>
        </w:rPr>
        <w:t>25</w:t>
      </w:r>
      <w:r>
        <w:rPr>
          <w:rFonts w:hint="eastAsia" w:ascii="方正仿宋_GBK" w:hAnsi="方正仿宋_GBK" w:eastAsia="方正仿宋_GBK" w:cs="方正仿宋_GBK"/>
          <w:color w:val="auto"/>
          <w:sz w:val="32"/>
          <w:szCs w:val="32"/>
          <w:highlight w:val="none"/>
        </w:rPr>
        <w:t>日，自评工作组根据《重庆市璧山区</w:t>
      </w:r>
      <w:r>
        <w:rPr>
          <w:rFonts w:hint="eastAsia" w:ascii="方正仿宋_GBK" w:hAnsi="方正仿宋_GBK" w:eastAsia="方正仿宋_GBK" w:cs="方正仿宋_GBK"/>
          <w:color w:val="auto"/>
          <w:sz w:val="32"/>
          <w:szCs w:val="32"/>
          <w:highlight w:val="none"/>
          <w:lang w:val="en-US" w:eastAsia="zh-CN"/>
        </w:rPr>
        <w:t>市政设施所</w:t>
      </w:r>
      <w:r>
        <w:rPr>
          <w:rFonts w:hint="eastAsia" w:ascii="方正仿宋_GBK" w:hAnsi="方正仿宋_GBK" w:eastAsia="方正仿宋_GBK" w:cs="方正仿宋_GBK"/>
          <w:color w:val="auto"/>
          <w:sz w:val="32"/>
          <w:szCs w:val="32"/>
          <w:highlight w:val="none"/>
        </w:rPr>
        <w:t>2021年度部门整体支出绩效自评表》中的指标体系</w:t>
      </w:r>
      <w:r>
        <w:rPr>
          <w:rFonts w:hint="eastAsia" w:ascii="方正仿宋_GBK" w:hAnsi="方正仿宋_GBK" w:eastAsia="方正仿宋_GBK" w:cs="方正仿宋_GBK"/>
          <w:color w:val="auto"/>
          <w:sz w:val="32"/>
          <w:szCs w:val="32"/>
          <w:highlight w:val="none"/>
          <w:lang w:val="en-US" w:eastAsia="zh-CN"/>
        </w:rPr>
        <w:t>以及自评报告的</w:t>
      </w:r>
      <w:r>
        <w:rPr>
          <w:rFonts w:hint="eastAsia" w:ascii="方正仿宋_GBK" w:hAnsi="方正仿宋_GBK" w:eastAsia="方正仿宋_GBK" w:cs="方正仿宋_GBK"/>
          <w:color w:val="auto"/>
          <w:sz w:val="32"/>
          <w:szCs w:val="32"/>
          <w:highlight w:val="none"/>
        </w:rPr>
        <w:t>分析情况，</w:t>
      </w:r>
      <w:r>
        <w:rPr>
          <w:rFonts w:hint="eastAsia" w:ascii="方正仿宋_GBK" w:hAnsi="方正仿宋_GBK" w:eastAsia="方正仿宋_GBK" w:cs="方正仿宋_GBK"/>
          <w:color w:val="auto"/>
          <w:sz w:val="32"/>
          <w:szCs w:val="32"/>
          <w:highlight w:val="none"/>
          <w:lang w:val="en-US" w:eastAsia="zh-CN"/>
        </w:rPr>
        <w:t>对</w:t>
      </w:r>
      <w:r>
        <w:rPr>
          <w:rFonts w:hint="eastAsia" w:ascii="方正仿宋_GBK" w:hAnsi="方正仿宋_GBK" w:eastAsia="方正仿宋_GBK" w:cs="方正仿宋_GBK"/>
          <w:color w:val="auto"/>
          <w:sz w:val="32"/>
          <w:szCs w:val="32"/>
          <w:highlight w:val="none"/>
        </w:rPr>
        <w:t>初稿进行审核，按照相关文件、资金拨付资料，开展自评检查工作，对部门整</w:t>
      </w:r>
      <w:r>
        <w:rPr>
          <w:rFonts w:hint="eastAsia" w:ascii="Times New Roman" w:hAnsi="Times New Roman" w:eastAsia="方正仿宋_GBK" w:cs="方正仿宋_GBK"/>
          <w:color w:val="auto"/>
          <w:sz w:val="32"/>
          <w:szCs w:val="32"/>
          <w:highlight w:val="none"/>
        </w:rPr>
        <w:t>体实施情况和质量进行评定。提出修改意见，形成部门整体绩效评价报告</w:t>
      </w:r>
      <w:r>
        <w:rPr>
          <w:rFonts w:hint="eastAsia" w:ascii="Times New Roman" w:hAnsi="Times New Roman" w:eastAsia="方正仿宋_GBK" w:cs="方正仿宋_GBK"/>
          <w:b w:val="0"/>
          <w:bCs w:val="0"/>
          <w:color w:val="auto"/>
          <w:kern w:val="2"/>
          <w:sz w:val="32"/>
          <w:szCs w:val="32"/>
          <w:highlight w:val="none"/>
          <w:lang w:val="en-US" w:eastAsia="zh-CN" w:bidi="ar-SA"/>
        </w:rPr>
        <w:t>。</w:t>
      </w:r>
    </w:p>
    <w:p>
      <w:pPr>
        <w:spacing w:line="596" w:lineRule="exact"/>
        <w:ind w:firstLine="640" w:firstLineChars="200"/>
        <w:outlineLvl w:val="0"/>
        <w:rPr>
          <w:rFonts w:hint="eastAsia" w:eastAsia="FZHei-B01"/>
          <w:sz w:val="32"/>
          <w:szCs w:val="32"/>
        </w:rPr>
      </w:pPr>
      <w:bookmarkStart w:id="7" w:name="_Toc4042"/>
      <w:r>
        <w:rPr>
          <w:rFonts w:hint="eastAsia" w:eastAsia="FZHei-B01"/>
          <w:sz w:val="32"/>
          <w:szCs w:val="32"/>
        </w:rPr>
        <w:t>三、绩效评价情况及结论</w:t>
      </w:r>
      <w:bookmarkEnd w:id="7"/>
    </w:p>
    <w:p>
      <w:pPr>
        <w:spacing w:line="596"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根据《重庆市璧山区</w:t>
      </w:r>
      <w:r>
        <w:rPr>
          <w:rFonts w:hint="eastAsia" w:eastAsia="方正仿宋_GBK" w:cs="方正仿宋_GBK"/>
          <w:color w:val="auto"/>
          <w:sz w:val="32"/>
          <w:szCs w:val="32"/>
          <w:highlight w:val="none"/>
          <w:lang w:val="en-US" w:eastAsia="zh-CN"/>
        </w:rPr>
        <w:t>市政设施</w:t>
      </w:r>
      <w:r>
        <w:rPr>
          <w:rFonts w:hint="eastAsia" w:ascii="方正仿宋_GBK" w:hAnsi="方正仿宋_GBK" w:eastAsia="方正仿宋_GBK" w:cs="方正仿宋_GBK"/>
          <w:color w:val="auto"/>
          <w:sz w:val="32"/>
          <w:szCs w:val="32"/>
          <w:highlight w:val="none"/>
          <w:lang w:val="en-US" w:eastAsia="zh-CN"/>
        </w:rPr>
        <w:t>所2021年度部门</w:t>
      </w:r>
      <w:r>
        <w:rPr>
          <w:rFonts w:hint="eastAsia" w:ascii="Times New Roman" w:hAnsi="Times New Roman" w:eastAsia="方正仿宋_GBK" w:cs="方正仿宋_GBK"/>
          <w:b w:val="0"/>
          <w:bCs w:val="0"/>
          <w:color w:val="auto"/>
          <w:kern w:val="2"/>
          <w:sz w:val="32"/>
          <w:szCs w:val="32"/>
          <w:highlight w:val="none"/>
          <w:lang w:val="en-US" w:eastAsia="zh-CN" w:bidi="ar-SA"/>
        </w:rPr>
        <w:t>整体支出绩效自评表》中的指</w:t>
      </w:r>
      <w:r>
        <w:rPr>
          <w:rFonts w:hint="eastAsia" w:ascii="方正仿宋_GBK" w:hAnsi="方正仿宋_GBK" w:eastAsia="方正仿宋_GBK" w:cs="方正仿宋_GBK"/>
          <w:color w:val="auto"/>
          <w:sz w:val="32"/>
          <w:szCs w:val="32"/>
          <w:highlight w:val="none"/>
          <w:lang w:val="en-US" w:eastAsia="zh-CN"/>
        </w:rPr>
        <w:t>标体系分析情况，重庆市璧山区市政设施所2021年度部门整体支出绩效自评总得分97.5分，等级为“优”。具体得分情况如表1所示</w:t>
      </w:r>
      <w:r>
        <w:rPr>
          <w:rFonts w:hint="eastAsia" w:ascii="Times New Roman" w:hAnsi="Times New Roman" w:eastAsia="方正仿宋_GBK" w:cs="方正仿宋_GBK"/>
          <w:b w:val="0"/>
          <w:bCs w:val="0"/>
          <w:color w:val="auto"/>
          <w:kern w:val="2"/>
          <w:sz w:val="32"/>
          <w:szCs w:val="32"/>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lang w:val="en-US" w:eastAsia="zh-CN"/>
        </w:rPr>
      </w:pPr>
      <w:r>
        <w:rPr>
          <w:rFonts w:hint="eastAsia" w:ascii="方正仿宋_GBK" w:hAnsi="方正仿宋_GBK" w:eastAsia="方正仿宋_GBK" w:cs="方正仿宋_GBK"/>
          <w:color w:val="auto"/>
          <w:kern w:val="0"/>
          <w:sz w:val="28"/>
          <w:szCs w:val="28"/>
          <w:shd w:val="clear" w:color="auto" w:fill="FFFFFF"/>
          <w:lang w:val="en-US" w:eastAsia="zh-CN"/>
        </w:rPr>
        <w:t>表 1：指标得分情况</w:t>
      </w:r>
    </w:p>
    <w:tbl>
      <w:tblPr>
        <w:tblStyle w:val="14"/>
        <w:tblW w:w="82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shd w:val="clear" w:color="auto" w:fill="FFFFFF"/>
                <w:lang w:val="en-US" w:eastAsia="zh-CN"/>
              </w:rPr>
            </w:pPr>
            <w:r>
              <w:rPr>
                <w:rFonts w:hint="eastAsia" w:ascii="方正仿宋_GBK" w:hAnsi="方正仿宋_GBK" w:eastAsia="方正仿宋_GBK" w:cs="方正仿宋_GBK"/>
                <w:color w:val="auto"/>
                <w:kern w:val="0"/>
                <w:sz w:val="24"/>
                <w:szCs w:val="24"/>
                <w:shd w:val="clear" w:color="auto" w:fill="FFFFFF"/>
                <w:lang w:val="en-US" w:eastAsia="zh-CN"/>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shd w:val="clear" w:color="auto" w:fill="FFFFFF"/>
                <w:lang w:val="en-US" w:eastAsia="zh-CN"/>
              </w:rPr>
            </w:pPr>
            <w:r>
              <w:rPr>
                <w:rFonts w:hint="eastAsia" w:ascii="方正仿宋_GBK" w:hAnsi="方正仿宋_GBK" w:eastAsia="方正仿宋_GBK" w:cs="方正仿宋_GBK"/>
                <w:color w:val="auto"/>
                <w:kern w:val="0"/>
                <w:sz w:val="24"/>
                <w:szCs w:val="24"/>
                <w:shd w:val="clear" w:color="auto" w:fill="FFFFFF"/>
                <w:lang w:val="en-US" w:eastAsia="zh-CN"/>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shd w:val="clear" w:color="auto" w:fill="FFFFFF"/>
                <w:lang w:val="en-US" w:eastAsia="zh-CN"/>
              </w:rPr>
            </w:pPr>
            <w:r>
              <w:rPr>
                <w:rFonts w:hint="eastAsia" w:ascii="方正仿宋_GBK" w:hAnsi="方正仿宋_GBK" w:eastAsia="方正仿宋_GBK" w:cs="方正仿宋_GBK"/>
                <w:color w:val="auto"/>
                <w:kern w:val="0"/>
                <w:sz w:val="24"/>
                <w:szCs w:val="24"/>
                <w:shd w:val="clear" w:color="auto" w:fill="FFFFFF"/>
                <w:lang w:val="en-US" w:eastAsia="zh-CN"/>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shd w:val="clear" w:color="auto" w:fill="FFFFFF"/>
                <w:lang w:val="en-US" w:eastAsia="zh-CN"/>
              </w:rPr>
            </w:pPr>
            <w:r>
              <w:rPr>
                <w:rFonts w:hint="eastAsia" w:ascii="方正仿宋_GBK" w:hAnsi="方正仿宋_GBK" w:eastAsia="方正仿宋_GBK" w:cs="方正仿宋_GBK"/>
                <w:color w:val="auto"/>
                <w:kern w:val="0"/>
                <w:sz w:val="24"/>
                <w:szCs w:val="24"/>
                <w:shd w:val="clear" w:color="auto" w:fill="FFFFFF"/>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预算执行率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预决算公开率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供应路灯正常用电数量</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市政设施设备维护率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新建改造路灯盏数</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主次干道装灯率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城市品质、形象提高率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75</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景观灯饰安全保障率</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jc w:val="center"/>
        </w:trPr>
        <w:tc>
          <w:tcPr>
            <w:tcW w:w="326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人民群众对市政工作满意度</w:t>
            </w:r>
          </w:p>
        </w:tc>
        <w:tc>
          <w:tcPr>
            <w:tcW w:w="1677"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w:t>
            </w:r>
            <w:r>
              <w:rPr>
                <w:rFonts w:hint="eastAsia" w:ascii="方正仿宋_GBK" w:hAnsi="方正仿宋_GBK" w:eastAsia="方正仿宋_GBK" w:cs="方正仿宋_GBK"/>
                <w:i w:val="0"/>
                <w:iCs w:val="0"/>
                <w:color w:val="auto"/>
                <w:kern w:val="0"/>
                <w:sz w:val="24"/>
                <w:szCs w:val="24"/>
                <w:u w:val="none"/>
                <w:lang w:val="en-US" w:eastAsia="zh-CN" w:bidi="ar"/>
              </w:rPr>
              <w:t>%</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预算执行率</w:t>
      </w:r>
      <w:r>
        <w:rPr>
          <w:rFonts w:hint="eastAsia" w:ascii="方正仿宋_GBK" w:hAnsi="方正仿宋_GBK" w:eastAsia="方正仿宋_GBK" w:cs="方正仿宋_GBK"/>
          <w:color w:val="auto"/>
          <w:kern w:val="0"/>
          <w:sz w:val="32"/>
          <w:szCs w:val="32"/>
          <w:highlight w:val="none"/>
          <w:shd w:val="clear" w:color="auto" w:fill="FFFFFF"/>
          <w:lang w:val="en-US" w:eastAsia="zh-CN"/>
        </w:rPr>
        <w:t>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年财政资金年初支出预算为</w:t>
      </w:r>
      <w:r>
        <w:rPr>
          <w:rFonts w:hint="eastAsia" w:ascii="方正仿宋_GBK" w:hAnsi="方正仿宋_GBK" w:eastAsia="方正仿宋_GBK" w:cs="方正仿宋_GBK"/>
          <w:color w:val="auto"/>
          <w:sz w:val="32"/>
          <w:szCs w:val="32"/>
          <w:highlight w:val="none"/>
          <w:lang w:val="en-US" w:eastAsia="zh-CN"/>
        </w:rPr>
        <w:t>4182.851734</w:t>
      </w:r>
      <w:r>
        <w:rPr>
          <w:rFonts w:hint="eastAsia" w:ascii="方正仿宋_GBK" w:hAnsi="方正仿宋_GBK" w:eastAsia="方正仿宋_GBK" w:cs="方正仿宋_GBK"/>
          <w:color w:val="auto"/>
          <w:sz w:val="32"/>
          <w:szCs w:val="32"/>
          <w:highlight w:val="none"/>
        </w:rPr>
        <w:t>万元，年中调整预算为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3381.339678</w:t>
      </w:r>
      <w:r>
        <w:rPr>
          <w:rFonts w:hint="eastAsia" w:ascii="方正仿宋_GBK" w:hAnsi="方正仿宋_GBK" w:eastAsia="方正仿宋_GBK" w:cs="方正仿宋_GBK"/>
          <w:color w:val="auto"/>
          <w:sz w:val="32"/>
          <w:szCs w:val="32"/>
          <w:highlight w:val="none"/>
        </w:rPr>
        <w:t>万元，年末支出决算为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3381.339678万</w:t>
      </w:r>
      <w:r>
        <w:rPr>
          <w:rFonts w:hint="eastAsia" w:ascii="方正仿宋_GBK" w:hAnsi="方正仿宋_GBK" w:eastAsia="方正仿宋_GBK" w:cs="方正仿宋_GBK"/>
          <w:color w:val="auto"/>
          <w:sz w:val="32"/>
          <w:szCs w:val="32"/>
          <w:highlight w:val="none"/>
        </w:rPr>
        <w:t>元</w:t>
      </w:r>
      <w:r>
        <w:rPr>
          <w:rFonts w:hint="eastAsia" w:ascii="方正仿宋_GBK" w:hAnsi="方正仿宋_GBK" w:eastAsia="方正仿宋_GBK" w:cs="方正仿宋_GBK"/>
          <w:color w:val="auto"/>
          <w:sz w:val="32"/>
          <w:szCs w:val="32"/>
          <w:highlight w:val="none"/>
          <w:lang w:eastAsia="zh-CN"/>
        </w:rPr>
        <w:t>，执行率为</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预算公开率</w:t>
      </w:r>
      <w:r>
        <w:rPr>
          <w:rFonts w:hint="eastAsia" w:ascii="方正仿宋_GBK" w:hAnsi="方正仿宋_GBK" w:eastAsia="方正仿宋_GBK" w:cs="方正仿宋_GBK"/>
          <w:color w:val="auto"/>
          <w:kern w:val="0"/>
          <w:sz w:val="32"/>
          <w:szCs w:val="32"/>
          <w:highlight w:val="none"/>
          <w:shd w:val="clear" w:color="auto" w:fill="FFFFFF"/>
          <w:lang w:val="en-US" w:eastAsia="zh-CN"/>
        </w:rPr>
        <w:t>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按规定内容公开预算信息，按规定时限公开预算信息，基础数据信息和会计信息资料真实，基础数据信息和会计信息资料完整，基础数据信息和汇集信息资料准确。根据评价标准，该指标得100%权重分。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供应路灯正常用电数量分析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完成2021年23000盏路灯正常用电，确保路灯灯饰电费缴费率100%。保证路灯灯饰正常运行。为人民群众生产生活提供方便和保护人民群众生命安全。根据评价标准，该指标得100%权重分。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市政设施设备维护率分析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根据2021年年初项目绩效目标，</w:t>
      </w:r>
      <w:r>
        <w:rPr>
          <w:rFonts w:hint="eastAsia" w:ascii="方正仿宋_GBK" w:hAnsi="方正仿宋_GBK" w:eastAsia="方正仿宋_GBK" w:cs="方正仿宋_GBK"/>
          <w:color w:val="000000"/>
          <w:kern w:val="0"/>
          <w:sz w:val="32"/>
          <w:szCs w:val="32"/>
          <w:highlight w:val="none"/>
        </w:rPr>
        <w:t>继续加大力度对城区影响美观、陈旧、掉漆、褪色、锈蚀的路灯灯杆进行刷漆翻新，完成</w:t>
      </w:r>
      <w:r>
        <w:rPr>
          <w:rFonts w:hint="eastAsia" w:ascii="方正仿宋_GBK" w:hAnsi="方正仿宋_GBK" w:eastAsia="方正仿宋_GBK" w:cs="方正仿宋_GBK"/>
          <w:bCs/>
          <w:sz w:val="32"/>
          <w:szCs w:val="32"/>
          <w:highlight w:val="none"/>
        </w:rPr>
        <w:t>枫香路</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Cs/>
          <w:sz w:val="32"/>
          <w:szCs w:val="32"/>
          <w:highlight w:val="none"/>
        </w:rPr>
        <w:t>凝山路、福顺</w:t>
      </w:r>
      <w:r>
        <w:rPr>
          <w:rFonts w:hint="eastAsia" w:ascii="方正仿宋_GBK" w:hAnsi="方正仿宋_GBK" w:eastAsia="方正仿宋_GBK" w:cs="方正仿宋_GBK"/>
          <w:sz w:val="32"/>
          <w:szCs w:val="32"/>
          <w:highlight w:val="none"/>
        </w:rPr>
        <w:t>大道等</w:t>
      </w:r>
      <w:r>
        <w:rPr>
          <w:rFonts w:hint="eastAsia" w:ascii="方正仿宋_GBK" w:hAnsi="方正仿宋_GBK" w:eastAsia="方正仿宋_GBK" w:cs="方正仿宋_GBK"/>
          <w:bCs/>
          <w:sz w:val="32"/>
          <w:szCs w:val="32"/>
          <w:highlight w:val="none"/>
        </w:rPr>
        <w:t>1954</w:t>
      </w:r>
      <w:r>
        <w:rPr>
          <w:rFonts w:hint="eastAsia" w:ascii="方正仿宋_GBK" w:hAnsi="方正仿宋_GBK" w:eastAsia="方正仿宋_GBK" w:cs="方正仿宋_GBK"/>
          <w:sz w:val="32"/>
          <w:szCs w:val="32"/>
          <w:highlight w:val="none"/>
        </w:rPr>
        <w:t>根</w:t>
      </w:r>
      <w:r>
        <w:rPr>
          <w:rFonts w:hint="eastAsia" w:ascii="方正仿宋_GBK" w:hAnsi="方正仿宋_GBK" w:eastAsia="方正仿宋_GBK" w:cs="方正仿宋_GBK"/>
          <w:color w:val="000000"/>
          <w:kern w:val="0"/>
          <w:sz w:val="32"/>
          <w:szCs w:val="32"/>
          <w:highlight w:val="none"/>
        </w:rPr>
        <w:t>路灯杆翻新刷漆工作，</w:t>
      </w:r>
      <w:r>
        <w:rPr>
          <w:rFonts w:hint="eastAsia" w:ascii="方正仿宋_GBK" w:hAnsi="方正仿宋_GBK" w:eastAsia="方正仿宋_GBK" w:cs="方正仿宋_GBK"/>
          <w:sz w:val="32"/>
          <w:szCs w:val="32"/>
          <w:highlight w:val="none"/>
        </w:rPr>
        <w:t>营造了整洁美观、庄重大方、协调统一的城市色彩。</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新建改造路灯盏数分析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eastAsia="方正仿宋_GBK"/>
          <w:sz w:val="32"/>
          <w:szCs w:val="32"/>
          <w:highlight w:val="none"/>
          <w:lang w:eastAsia="zh-CN"/>
        </w:rPr>
        <w:t>为</w:t>
      </w:r>
      <w:r>
        <w:rPr>
          <w:rFonts w:hint="eastAsia" w:ascii="方正仿宋_GBK" w:eastAsia="方正仿宋_GBK"/>
          <w:sz w:val="32"/>
          <w:szCs w:val="32"/>
          <w:highlight w:val="none"/>
        </w:rPr>
        <w:t>构建绿色健康的城市照明环境，</w:t>
      </w:r>
      <w:r>
        <w:rPr>
          <w:rFonts w:hint="eastAsia" w:ascii="方正仿宋_GBK" w:hAnsi="方正楷体_GBK" w:eastAsia="方正仿宋_GBK" w:cs="方正楷体_GBK"/>
          <w:bCs/>
          <w:sz w:val="32"/>
          <w:szCs w:val="32"/>
          <w:highlight w:val="none"/>
        </w:rPr>
        <w:t>持续实施绿色照明新建改造，</w:t>
      </w:r>
      <w:r>
        <w:rPr>
          <w:rFonts w:hint="eastAsia" w:ascii="方正仿宋_GBK" w:hAnsi="方正楷体_GBK" w:eastAsia="方正仿宋_GBK" w:cs="方正楷体_GBK"/>
          <w:bCs/>
          <w:sz w:val="32"/>
          <w:szCs w:val="32"/>
          <w:highlight w:val="none"/>
          <w:lang w:eastAsia="zh-CN"/>
        </w:rPr>
        <w:t>完成</w:t>
      </w:r>
      <w:r>
        <w:rPr>
          <w:rFonts w:hint="eastAsia" w:ascii="方正仿宋_GBK" w:eastAsia="方正仿宋_GBK"/>
          <w:sz w:val="32"/>
          <w:szCs w:val="32"/>
          <w:highlight w:val="none"/>
        </w:rPr>
        <w:t>黛山大道、璧青路、鸡冠石路等大功率、高耗能、低照度4000盏路灯绿色照明新建改造</w:t>
      </w:r>
      <w:r>
        <w:rPr>
          <w:rFonts w:hint="eastAsia" w:ascii="方正仿宋_GBK" w:eastAsia="方正仿宋_GBK"/>
          <w:sz w:val="32"/>
          <w:szCs w:val="32"/>
          <w:highlight w:val="none"/>
          <w:lang w:eastAsia="zh-CN"/>
        </w:rPr>
        <w:t>工作</w:t>
      </w:r>
      <w:r>
        <w:rPr>
          <w:rFonts w:hint="eastAsia" w:ascii="方正仿宋_GBK" w:eastAsia="方正仿宋_GBK"/>
          <w:sz w:val="32"/>
          <w:szCs w:val="32"/>
          <w:highlight w:val="none"/>
        </w:rPr>
        <w:t>，引导城市照明向</w:t>
      </w:r>
      <w:r>
        <w:rPr>
          <w:rFonts w:hint="eastAsia" w:ascii="方正仿宋_GBK" w:hAnsi="方正仿宋_GBK" w:eastAsia="方正仿宋_GBK" w:cs="方正仿宋_GBK"/>
          <w:sz w:val="32"/>
          <w:szCs w:val="32"/>
          <w:highlight w:val="none"/>
        </w:rPr>
        <w:t>“高效、节能、环保、健康”</w:t>
      </w:r>
      <w:r>
        <w:rPr>
          <w:rFonts w:hint="eastAsia" w:ascii="方正仿宋_GBK" w:eastAsia="方正仿宋_GBK"/>
          <w:sz w:val="32"/>
          <w:szCs w:val="32"/>
          <w:highlight w:val="none"/>
        </w:rPr>
        <w:t>方向发展。</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主次干道装灯率分析</w:t>
      </w:r>
    </w:p>
    <w:p>
      <w:pPr>
        <w:pStyle w:val="7"/>
        <w:keepNext w:val="0"/>
        <w:keepLines w:val="0"/>
        <w:pageBreakBefore w:val="0"/>
        <w:widowControl w:val="0"/>
        <w:tabs>
          <w:tab w:val="left" w:pos="7140"/>
        </w:tabs>
        <w:kinsoku/>
        <w:wordWrap/>
        <w:overflowPunct/>
        <w:topLinePunct w:val="0"/>
        <w:autoSpaceDE/>
        <w:autoSpaceDN/>
        <w:bidi w:val="0"/>
        <w:adjustRightInd/>
        <w:snapToGrid/>
        <w:spacing w:line="620" w:lineRule="exact"/>
        <w:ind w:right="-172" w:rightChars="-82" w:firstLine="627" w:firstLineChars="196"/>
        <w:textAlignment w:val="auto"/>
        <w:rPr>
          <w:rFonts w:hint="eastAsia" w:ascii="方正仿宋_GBK" w:eastAsia="方正仿宋_GBK"/>
          <w:b w:val="0"/>
          <w:bCs/>
          <w:sz w:val="32"/>
          <w:szCs w:val="32"/>
          <w:highlight w:val="none"/>
          <w:lang w:val="en-US" w:eastAsia="zh-CN"/>
        </w:rPr>
      </w:pPr>
      <w:r>
        <w:rPr>
          <w:rFonts w:hint="eastAsia" w:ascii="方正仿宋_GBK" w:eastAsia="方正仿宋_GBK"/>
          <w:b w:val="0"/>
          <w:bCs/>
          <w:sz w:val="32"/>
          <w:szCs w:val="32"/>
          <w:highlight w:val="none"/>
          <w:lang w:eastAsia="zh-CN"/>
        </w:rPr>
        <w:t>根据</w:t>
      </w:r>
      <w:r>
        <w:rPr>
          <w:rFonts w:hint="eastAsia" w:ascii="方正仿宋_GBK" w:eastAsia="方正仿宋_GBK"/>
          <w:b w:val="0"/>
          <w:bCs/>
          <w:sz w:val="32"/>
          <w:szCs w:val="32"/>
          <w:highlight w:val="none"/>
        </w:rPr>
        <w:t>对城乡结合部、支巷、通道等区域照明设施的</w:t>
      </w:r>
      <w:r>
        <w:rPr>
          <w:rFonts w:hint="eastAsia" w:ascii="方正仿宋_GBK" w:eastAsia="方正仿宋_GBK"/>
          <w:b w:val="0"/>
          <w:bCs/>
          <w:sz w:val="32"/>
          <w:szCs w:val="32"/>
          <w:highlight w:val="none"/>
          <w:lang w:eastAsia="zh-CN"/>
        </w:rPr>
        <w:t>查</w:t>
      </w:r>
      <w:r>
        <w:rPr>
          <w:rFonts w:hint="eastAsia" w:ascii="方正仿宋_GBK" w:eastAsia="方正仿宋_GBK"/>
          <w:b w:val="0"/>
          <w:bCs/>
          <w:sz w:val="32"/>
          <w:szCs w:val="32"/>
          <w:highlight w:val="none"/>
        </w:rPr>
        <w:t>漏补缺，在温泉路、兴旺一路、璧渝路等路段安装路灯</w:t>
      </w:r>
      <w:r>
        <w:rPr>
          <w:rFonts w:hint="eastAsia" w:ascii="方正仿宋_GBK" w:eastAsia="方正仿宋_GBK"/>
          <w:b w:val="0"/>
          <w:bCs/>
          <w:sz w:val="32"/>
          <w:szCs w:val="32"/>
          <w:highlight w:val="none"/>
          <w:lang w:val="en-US" w:eastAsia="zh-CN"/>
        </w:rPr>
        <w:t>151</w:t>
      </w:r>
      <w:r>
        <w:rPr>
          <w:rFonts w:hint="eastAsia" w:ascii="方正仿宋_GBK" w:eastAsia="方正仿宋_GBK"/>
          <w:b w:val="0"/>
          <w:bCs/>
          <w:sz w:val="32"/>
          <w:szCs w:val="32"/>
          <w:highlight w:val="none"/>
        </w:rPr>
        <w:t>盏，彻底消除城市路灯“盲区”，给广大市民提供了温馨、明亮的夜间出行环境</w:t>
      </w:r>
      <w:r>
        <w:rPr>
          <w:rFonts w:hint="eastAsia" w:ascii="方正仿宋_GBK" w:eastAsia="方正仿宋_GBK"/>
          <w:b w:val="0"/>
          <w:bCs/>
          <w:sz w:val="32"/>
          <w:szCs w:val="32"/>
          <w:highlight w:val="none"/>
          <w:lang w:val="en-US" w:eastAsia="zh-CN"/>
        </w:rPr>
        <w:t>。根据评价标准，该指标得100%权重分。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城市品质、形象提高率分析</w:t>
      </w:r>
    </w:p>
    <w:p>
      <w:pPr>
        <w:pStyle w:val="7"/>
        <w:keepNext w:val="0"/>
        <w:keepLines w:val="0"/>
        <w:pageBreakBefore w:val="0"/>
        <w:widowControl w:val="0"/>
        <w:tabs>
          <w:tab w:val="left" w:pos="7140"/>
        </w:tabs>
        <w:kinsoku/>
        <w:wordWrap/>
        <w:overflowPunct/>
        <w:topLinePunct w:val="0"/>
        <w:autoSpaceDE/>
        <w:autoSpaceDN/>
        <w:bidi w:val="0"/>
        <w:adjustRightInd/>
        <w:snapToGrid/>
        <w:spacing w:line="620" w:lineRule="exact"/>
        <w:ind w:right="-172" w:rightChars="-82" w:firstLine="627" w:firstLineChars="196"/>
        <w:textAlignment w:val="auto"/>
        <w:rPr>
          <w:rFonts w:hint="eastAsia" w:ascii="方正仿宋_GBK" w:eastAsia="方正仿宋_GBK"/>
          <w:b w:val="0"/>
          <w:bCs/>
          <w:sz w:val="32"/>
          <w:szCs w:val="32"/>
          <w:highlight w:val="none"/>
          <w:lang w:val="en-US" w:eastAsia="zh-CN"/>
        </w:rPr>
      </w:pPr>
      <w:r>
        <w:rPr>
          <w:rFonts w:hint="eastAsia" w:ascii="方正仿宋_GBK" w:eastAsia="方正仿宋_GBK"/>
          <w:b w:val="0"/>
          <w:bCs/>
          <w:sz w:val="32"/>
          <w:szCs w:val="32"/>
          <w:highlight w:val="none"/>
        </w:rPr>
        <w:t>完成古道湾公园、龙子堡公园、黄桷坡公园13座休闲亭</w:t>
      </w:r>
      <w:r>
        <w:rPr>
          <w:rFonts w:hint="eastAsia" w:ascii="方正仿宋_GBK" w:eastAsia="方正仿宋_GBK"/>
          <w:b w:val="0"/>
          <w:bCs/>
          <w:sz w:val="32"/>
          <w:szCs w:val="32"/>
          <w:highlight w:val="none"/>
          <w:lang w:eastAsia="zh-CN"/>
        </w:rPr>
        <w:t>，</w:t>
      </w:r>
      <w:r>
        <w:rPr>
          <w:rFonts w:hint="eastAsia" w:ascii="方正仿宋_GBK" w:eastAsia="方正仿宋_GBK"/>
          <w:b w:val="0"/>
          <w:bCs/>
          <w:sz w:val="32"/>
          <w:szCs w:val="32"/>
          <w:highlight w:val="none"/>
        </w:rPr>
        <w:t>黛山大道</w:t>
      </w:r>
      <w:r>
        <w:rPr>
          <w:rFonts w:hint="eastAsia" w:ascii="方正仿宋_GBK" w:eastAsia="方正仿宋_GBK"/>
          <w:b w:val="0"/>
          <w:bCs/>
          <w:sz w:val="32"/>
          <w:szCs w:val="32"/>
          <w:highlight w:val="none"/>
          <w:lang w:eastAsia="zh-CN"/>
        </w:rPr>
        <w:t>桥</w:t>
      </w:r>
      <w:r>
        <w:rPr>
          <w:rFonts w:hint="eastAsia" w:ascii="方正仿宋_GBK" w:eastAsia="方正仿宋_GBK"/>
          <w:b w:val="0"/>
          <w:bCs/>
          <w:sz w:val="32"/>
          <w:szCs w:val="32"/>
          <w:highlight w:val="none"/>
        </w:rPr>
        <w:t>、虎峰大道</w:t>
      </w:r>
      <w:r>
        <w:rPr>
          <w:rFonts w:hint="eastAsia" w:ascii="方正仿宋_GBK" w:eastAsia="方正仿宋_GBK"/>
          <w:b w:val="0"/>
          <w:bCs/>
          <w:sz w:val="32"/>
          <w:szCs w:val="32"/>
          <w:highlight w:val="none"/>
          <w:lang w:eastAsia="zh-CN"/>
        </w:rPr>
        <w:t>桥等</w:t>
      </w:r>
      <w:r>
        <w:rPr>
          <w:rFonts w:hint="eastAsia" w:ascii="方正仿宋_GBK" w:eastAsia="方正仿宋_GBK"/>
          <w:b w:val="0"/>
          <w:bCs/>
          <w:sz w:val="32"/>
          <w:szCs w:val="32"/>
          <w:highlight w:val="none"/>
        </w:rPr>
        <w:t>5座桥梁景观照明建设</w:t>
      </w:r>
      <w:r>
        <w:rPr>
          <w:rFonts w:hint="eastAsia" w:ascii="方正仿宋_GBK" w:eastAsia="方正仿宋_GBK"/>
          <w:b w:val="0"/>
          <w:bCs/>
          <w:sz w:val="32"/>
          <w:szCs w:val="32"/>
          <w:highlight w:val="none"/>
          <w:lang w:eastAsia="zh-CN"/>
        </w:rPr>
        <w:t>工作。</w:t>
      </w:r>
      <w:r>
        <w:rPr>
          <w:rFonts w:hint="eastAsia" w:ascii="方正仿宋_GBK" w:eastAsia="方正仿宋_GBK"/>
          <w:b w:val="0"/>
          <w:bCs/>
          <w:sz w:val="32"/>
          <w:szCs w:val="32"/>
          <w:highlight w:val="none"/>
        </w:rPr>
        <w:t>进一步提升城市档次和形象，着力打造</w:t>
      </w:r>
      <w:r>
        <w:rPr>
          <w:rFonts w:hint="eastAsia" w:ascii="方正仿宋_GBK" w:eastAsia="方正仿宋_GBK"/>
          <w:b w:val="0"/>
          <w:bCs/>
          <w:sz w:val="32"/>
          <w:szCs w:val="32"/>
          <w:highlight w:val="none"/>
          <w:lang w:val="en-US" w:eastAsia="zh-CN"/>
        </w:rPr>
        <w:t>休闲</w:t>
      </w:r>
      <w:r>
        <w:rPr>
          <w:rFonts w:hint="eastAsia" w:ascii="方正仿宋_GBK" w:eastAsia="方正仿宋_GBK"/>
          <w:b w:val="0"/>
          <w:bCs/>
          <w:sz w:val="32"/>
          <w:szCs w:val="32"/>
          <w:highlight w:val="none"/>
        </w:rPr>
        <w:t>舒适的宜居环境</w:t>
      </w:r>
      <w:r>
        <w:rPr>
          <w:rFonts w:hint="eastAsia" w:ascii="方正仿宋_GBK" w:eastAsia="方正仿宋_GBK"/>
          <w:b w:val="0"/>
          <w:bCs/>
          <w:sz w:val="32"/>
          <w:szCs w:val="32"/>
          <w:highlight w:val="none"/>
          <w:lang w:eastAsia="zh-CN"/>
        </w:rPr>
        <w:t>，但是部分地方的老旧景观灯饰</w:t>
      </w:r>
      <w:r>
        <w:rPr>
          <w:rFonts w:hint="eastAsia" w:ascii="方正仿宋_GBK" w:eastAsia="方正仿宋_GBK"/>
          <w:b w:val="0"/>
          <w:bCs/>
          <w:sz w:val="32"/>
          <w:szCs w:val="32"/>
          <w:highlight w:val="none"/>
          <w:lang w:val="en-US" w:eastAsia="zh-CN"/>
        </w:rPr>
        <w:t>、陈旧锈蚀的各类杆体、标识标牌、箱体、景观石未全面整改完成。根据评价标准，该指标得75%权重分。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景观灯饰安全保障率分析</w:t>
      </w:r>
    </w:p>
    <w:p>
      <w:pPr>
        <w:pStyle w:val="7"/>
        <w:keepNext w:val="0"/>
        <w:keepLines w:val="0"/>
        <w:pageBreakBefore w:val="0"/>
        <w:widowControl w:val="0"/>
        <w:tabs>
          <w:tab w:val="left" w:pos="7140"/>
        </w:tabs>
        <w:kinsoku/>
        <w:wordWrap/>
        <w:overflowPunct/>
        <w:topLinePunct w:val="0"/>
        <w:autoSpaceDE/>
        <w:autoSpaceDN/>
        <w:bidi w:val="0"/>
        <w:adjustRightInd/>
        <w:snapToGrid/>
        <w:spacing w:line="620" w:lineRule="exact"/>
        <w:ind w:right="-172" w:rightChars="-82" w:firstLine="627" w:firstLineChars="196"/>
        <w:textAlignment w:val="auto"/>
        <w:rPr>
          <w:rFonts w:hint="eastAsia" w:ascii="方正仿宋_GBK" w:hAnsi="方正仿宋_GBK" w:eastAsia="方正仿宋_GBK" w:cs="方正仿宋_GBK"/>
          <w:b w:val="0"/>
          <w:bCs/>
          <w:color w:val="auto"/>
          <w:kern w:val="0"/>
          <w:sz w:val="32"/>
          <w:szCs w:val="32"/>
          <w:highlight w:val="none"/>
          <w:shd w:val="clear" w:color="auto" w:fill="FFFFFF"/>
          <w:lang w:val="en-US" w:eastAsia="zh-CN"/>
        </w:rPr>
      </w:pPr>
      <w:r>
        <w:rPr>
          <w:rFonts w:hint="eastAsia" w:ascii="方正仿宋_GBK" w:eastAsia="方正仿宋_GBK"/>
          <w:b w:val="0"/>
          <w:bCs/>
          <w:sz w:val="32"/>
          <w:szCs w:val="32"/>
          <w:highlight w:val="none"/>
          <w:lang w:eastAsia="zh-CN"/>
        </w:rPr>
        <w:t>为</w:t>
      </w:r>
      <w:r>
        <w:rPr>
          <w:rFonts w:hint="eastAsia" w:ascii="方正仿宋_GBK" w:eastAsia="方正仿宋_GBK"/>
          <w:b w:val="0"/>
          <w:bCs/>
          <w:sz w:val="32"/>
          <w:szCs w:val="32"/>
          <w:highlight w:val="none"/>
        </w:rPr>
        <w:t>消除安全隐患，预防线缆短路造成火灾、灯具高空坠落等安全事故发生，对</w:t>
      </w:r>
      <w:r>
        <w:rPr>
          <w:rFonts w:hint="eastAsia" w:ascii="方正仿宋_GBK" w:hAnsi="仿宋_GB2312" w:eastAsia="方正仿宋_GBK"/>
          <w:b w:val="0"/>
          <w:bCs/>
          <w:sz w:val="32"/>
          <w:szCs w:val="32"/>
          <w:highlight w:val="none"/>
        </w:rPr>
        <w:t>景观</w:t>
      </w:r>
      <w:r>
        <w:rPr>
          <w:rFonts w:hint="eastAsia" w:ascii="方正仿宋_GBK" w:eastAsia="方正仿宋_GBK"/>
          <w:b w:val="0"/>
          <w:bCs/>
          <w:sz w:val="32"/>
          <w:szCs w:val="32"/>
          <w:highlight w:val="none"/>
        </w:rPr>
        <w:t>灯具老化、支架螺丝锈蚀松动、灯具脱落悬挂、线路老化、电线裸露的</w:t>
      </w:r>
      <w:r>
        <w:rPr>
          <w:rFonts w:hint="eastAsia" w:ascii="方正仿宋_GBK" w:eastAsia="方正仿宋_GBK"/>
          <w:b w:val="0"/>
          <w:bCs/>
          <w:sz w:val="32"/>
          <w:szCs w:val="32"/>
          <w:highlight w:val="none"/>
          <w:lang w:eastAsia="zh-CN"/>
        </w:rPr>
        <w:t>灯饰进行隐患整改，完成</w:t>
      </w:r>
      <w:r>
        <w:rPr>
          <w:rFonts w:hint="eastAsia" w:ascii="方正仿宋_GBK" w:eastAsia="方正仿宋_GBK"/>
          <w:b w:val="0"/>
          <w:bCs/>
          <w:sz w:val="32"/>
          <w:szCs w:val="32"/>
          <w:highlight w:val="none"/>
        </w:rPr>
        <w:t>秀湖公园次大门、水街等景观灯饰安全隐患整改</w:t>
      </w:r>
      <w:r>
        <w:rPr>
          <w:rFonts w:hint="eastAsia" w:ascii="方正仿宋_GBK" w:eastAsia="方正仿宋_GBK"/>
          <w:b w:val="0"/>
          <w:bCs/>
          <w:sz w:val="32"/>
          <w:szCs w:val="32"/>
          <w:highlight w:val="none"/>
          <w:lang w:eastAsia="zh-CN"/>
        </w:rPr>
        <w:t>工作</w:t>
      </w:r>
      <w:r>
        <w:rPr>
          <w:rFonts w:hint="eastAsia" w:ascii="方正仿宋_GBK" w:eastAsia="方正仿宋_GBK"/>
          <w:b w:val="0"/>
          <w:bCs/>
          <w:sz w:val="32"/>
          <w:szCs w:val="32"/>
          <w:highlight w:val="none"/>
          <w:lang w:val="en-US" w:eastAsia="zh-CN"/>
        </w:rPr>
        <w:t>。根据评价标准，该指标得100%权重分。</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after="0" w:line="560" w:lineRule="exact"/>
        <w:ind w:left="-10" w:leftChars="0" w:right="0" w:rightChars="0" w:firstLine="640" w:firstLineChars="0"/>
        <w:jc w:val="both"/>
        <w:textAlignment w:val="auto"/>
        <w:outlineLvl w:val="2"/>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人民群众对市政工作满意度分析</w:t>
      </w:r>
    </w:p>
    <w:p>
      <w:pPr>
        <w:pStyle w:val="7"/>
        <w:keepNext w:val="0"/>
        <w:keepLines w:val="0"/>
        <w:pageBreakBefore w:val="0"/>
        <w:widowControl w:val="0"/>
        <w:tabs>
          <w:tab w:val="left" w:pos="7140"/>
        </w:tabs>
        <w:kinsoku/>
        <w:wordWrap/>
        <w:overflowPunct/>
        <w:topLinePunct w:val="0"/>
        <w:autoSpaceDE/>
        <w:autoSpaceDN/>
        <w:bidi w:val="0"/>
        <w:adjustRightInd/>
        <w:snapToGrid/>
        <w:spacing w:line="620" w:lineRule="exact"/>
        <w:ind w:right="-172" w:rightChars="-82" w:firstLine="627" w:firstLineChars="196"/>
        <w:textAlignment w:val="auto"/>
        <w:rPr>
          <w:rFonts w:hint="eastAsia" w:ascii="方正仿宋_GBK" w:eastAsia="方正仿宋_GBK"/>
          <w:b w:val="0"/>
          <w:bCs/>
          <w:sz w:val="32"/>
          <w:szCs w:val="32"/>
          <w:highlight w:val="none"/>
          <w:lang w:val="en-US" w:eastAsia="zh-CN"/>
        </w:rPr>
      </w:pPr>
      <w:r>
        <w:rPr>
          <w:rFonts w:hint="eastAsia" w:ascii="方正仿宋_GBK" w:eastAsia="方正仿宋_GBK"/>
          <w:b w:val="0"/>
          <w:bCs/>
          <w:sz w:val="32"/>
          <w:szCs w:val="32"/>
          <w:highlight w:val="none"/>
          <w:lang w:val="en-US" w:eastAsia="zh-CN"/>
        </w:rPr>
        <w:t>对路灯进行维修维护，改造景观灯饰，消除城市路灯“盲区”，增强城市适居性和提升民众居住幸福指数。根据评价标准，该项得100%权重分。</w:t>
      </w:r>
    </w:p>
    <w:p>
      <w:pPr>
        <w:spacing w:line="596" w:lineRule="exact"/>
        <w:ind w:firstLine="640" w:firstLineChars="200"/>
        <w:outlineLvl w:val="0"/>
        <w:rPr>
          <w:rFonts w:hint="eastAsia" w:eastAsia="FZHei-B01"/>
          <w:sz w:val="32"/>
          <w:szCs w:val="32"/>
        </w:rPr>
      </w:pPr>
      <w:bookmarkStart w:id="8" w:name="_Toc29495"/>
      <w:r>
        <w:rPr>
          <w:rFonts w:hint="eastAsia" w:eastAsia="FZHei-B01"/>
          <w:sz w:val="32"/>
          <w:szCs w:val="32"/>
          <w:lang w:eastAsia="zh-CN"/>
        </w:rPr>
        <w:t>四、</w:t>
      </w:r>
      <w:r>
        <w:rPr>
          <w:rFonts w:hint="eastAsia" w:eastAsia="FZHei-B01"/>
          <w:sz w:val="32"/>
          <w:szCs w:val="32"/>
        </w:rPr>
        <w:t>主要经验及做法</w:t>
      </w:r>
      <w:bookmarkEnd w:id="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1、制定项目绩效管理制度明确项目绩效目标编制及审批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流程，规范绩效指标设置。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2、强化预算绩效双监控，从项目期中已实现的产出成果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bCs/>
          <w:sz w:val="32"/>
          <w:szCs w:val="32"/>
        </w:rPr>
      </w:pPr>
      <w:r>
        <w:rPr>
          <w:rFonts w:hint="eastAsia" w:ascii="仿宋_GB2312" w:hAnsi="仿宋" w:eastAsia="仿宋_GB2312" w:cs="仿宋"/>
          <w:bCs/>
          <w:kern w:val="2"/>
          <w:sz w:val="32"/>
          <w:szCs w:val="32"/>
          <w:lang w:val="en-US" w:eastAsia="zh-CN" w:bidi="ar-SA"/>
        </w:rPr>
        <w:t>进一步扩大对城乡结合部、支巷、通道等区域照明设施的查漏补缺，在温泉路、兴旺一路、璧渝路等路段安装路灯151盏，彻底消除城市路灯“盲区”，给广大市民提供了温馨、明亮的夜间出行环境。绿色照明新建及改造工程。构建绿色健康的城市照明环境，持续实施绿色照明新建改造，引导城市照明向“高效、节能、环保、健康”方向发展。实施路灯配套建设。在祝嘉支路、铜山路、钨山路等路段安装路灯1235盏，为市民夜间出行</w:t>
      </w:r>
      <w:r>
        <w:rPr>
          <w:rFonts w:hint="eastAsia" w:ascii="方正仿宋_GBK" w:hAnsi="方正仿宋_GBK" w:eastAsia="方正仿宋_GBK" w:cs="方正仿宋_GBK"/>
          <w:bCs/>
          <w:sz w:val="32"/>
          <w:szCs w:val="32"/>
          <w:lang w:val="en-US" w:eastAsia="zh-CN"/>
        </w:rPr>
        <w:t>提供安全保障。</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cs="仿宋"/>
          <w:bCs/>
          <w:kern w:val="2"/>
          <w:sz w:val="32"/>
          <w:szCs w:val="32"/>
          <w:lang w:val="en-US" w:eastAsia="zh-CN" w:bidi="ar-SA"/>
        </w:rPr>
      </w:pPr>
      <w:r>
        <w:rPr>
          <w:rFonts w:hint="eastAsia" w:ascii="方正仿宋_GBK" w:hAnsi="方正仿宋_GBK" w:eastAsia="方正仿宋_GBK" w:cs="方正仿宋_GBK"/>
          <w:b w:val="0"/>
          <w:bCs/>
          <w:sz w:val="32"/>
          <w:szCs w:val="32"/>
        </w:rPr>
        <w:t>进一步提升城市档次和形象，</w:t>
      </w:r>
      <w:r>
        <w:rPr>
          <w:rFonts w:hint="eastAsia" w:ascii="方正仿宋_GBK" w:hAnsi="方正仿宋_GBK" w:eastAsia="方正仿宋_GBK" w:cs="方正仿宋_GBK"/>
          <w:b w:val="0"/>
          <w:bCs/>
          <w:sz w:val="32"/>
          <w:szCs w:val="32"/>
          <w:lang w:eastAsia="zh-CN"/>
        </w:rPr>
        <w:t>提升城市品质。</w:t>
      </w:r>
      <w:r>
        <w:rPr>
          <w:rFonts w:hint="eastAsia" w:ascii="方正仿宋_GBK" w:hAnsi="方正仿宋_GBK" w:eastAsia="方正仿宋_GBK" w:cs="方正仿宋_GBK"/>
          <w:b w:val="0"/>
          <w:bCs/>
          <w:sz w:val="32"/>
          <w:szCs w:val="32"/>
        </w:rPr>
        <w:t>着力打造休闲舒适的宜居环境</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Cs/>
          <w:sz w:val="32"/>
          <w:szCs w:val="32"/>
        </w:rPr>
        <w:t>明景靓城市夜景</w:t>
      </w:r>
      <w:r>
        <w:rPr>
          <w:rFonts w:hint="eastAsia" w:ascii="方正仿宋_GBK" w:hAnsi="方正仿宋_GBK" w:eastAsia="方正仿宋_GBK" w:cs="方正仿宋_GBK"/>
          <w:b w:val="0"/>
          <w:bCs/>
          <w:sz w:val="32"/>
          <w:szCs w:val="32"/>
        </w:rPr>
        <w:t>完成古道湾公园、龙子堡公园、黄桷坡公园13座休闲亭</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黛山大道</w:t>
      </w:r>
      <w:r>
        <w:rPr>
          <w:rFonts w:hint="eastAsia" w:ascii="方正仿宋_GBK" w:hAnsi="方正仿宋_GBK" w:eastAsia="方正仿宋_GBK" w:cs="方正仿宋_GBK"/>
          <w:b w:val="0"/>
          <w:bCs/>
          <w:sz w:val="32"/>
          <w:szCs w:val="32"/>
          <w:lang w:eastAsia="zh-CN"/>
        </w:rPr>
        <w:t>桥</w:t>
      </w:r>
      <w:r>
        <w:rPr>
          <w:rFonts w:hint="eastAsia" w:ascii="方正仿宋_GBK" w:hAnsi="方正仿宋_GBK" w:eastAsia="方正仿宋_GBK" w:cs="方正仿宋_GBK"/>
          <w:b w:val="0"/>
          <w:bCs/>
          <w:sz w:val="32"/>
          <w:szCs w:val="32"/>
        </w:rPr>
        <w:t>、虎峰大道</w:t>
      </w:r>
      <w:r>
        <w:rPr>
          <w:rFonts w:hint="eastAsia" w:ascii="方正仿宋_GBK" w:hAnsi="方正仿宋_GBK" w:eastAsia="方正仿宋_GBK" w:cs="方正仿宋_GBK"/>
          <w:b w:val="0"/>
          <w:bCs/>
          <w:sz w:val="32"/>
          <w:szCs w:val="32"/>
          <w:lang w:eastAsia="zh-CN"/>
        </w:rPr>
        <w:t>桥等</w:t>
      </w:r>
      <w:r>
        <w:rPr>
          <w:rFonts w:hint="eastAsia" w:ascii="方正仿宋_GBK" w:hAnsi="方正仿宋_GBK" w:eastAsia="方正仿宋_GBK" w:cs="方正仿宋_GBK"/>
          <w:b w:val="0"/>
          <w:bCs/>
          <w:sz w:val="32"/>
          <w:szCs w:val="32"/>
        </w:rPr>
        <w:t>5座桥梁景观照明建设</w:t>
      </w:r>
      <w:r>
        <w:rPr>
          <w:rFonts w:hint="eastAsia" w:ascii="方正仿宋_GBK" w:hAnsi="方正仿宋_GBK" w:eastAsia="方正仿宋_GBK" w:cs="方正仿宋_GBK"/>
          <w:b w:val="0"/>
          <w:bCs/>
          <w:sz w:val="32"/>
          <w:szCs w:val="32"/>
          <w:lang w:eastAsia="zh-CN"/>
        </w:rPr>
        <w:t>工作</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Cs/>
          <w:sz w:val="32"/>
          <w:szCs w:val="32"/>
        </w:rPr>
        <w:t>对建设时间长、灯饰效果差、灯具式样陈旧的</w:t>
      </w:r>
      <w:r>
        <w:rPr>
          <w:rFonts w:hint="eastAsia" w:ascii="方正仿宋_GBK" w:hAnsi="方正仿宋_GBK" w:eastAsia="方正仿宋_GBK" w:cs="方正仿宋_GBK"/>
          <w:bCs/>
          <w:sz w:val="32"/>
          <w:szCs w:val="32"/>
          <w:lang w:eastAsia="zh-CN"/>
        </w:rPr>
        <w:t>灯饰实施升级改造，完成</w:t>
      </w:r>
      <w:r>
        <w:rPr>
          <w:rFonts w:hint="eastAsia" w:ascii="方正仿宋_GBK" w:hAnsi="方正仿宋_GBK" w:eastAsia="方正仿宋_GBK" w:cs="方正仿宋_GBK"/>
          <w:bCs/>
          <w:sz w:val="32"/>
          <w:szCs w:val="32"/>
        </w:rPr>
        <w:t>秀湖公园钟楼、鼓楼、龙隐阁3栋仿古建筑景观照明灯饰改造</w:t>
      </w:r>
      <w:r>
        <w:rPr>
          <w:rFonts w:hint="eastAsia" w:ascii="方正仿宋_GBK" w:hAnsi="方正仿宋_GBK" w:eastAsia="方正仿宋_GBK" w:cs="方正仿宋_GBK"/>
          <w:bCs/>
          <w:sz w:val="32"/>
          <w:szCs w:val="32"/>
          <w:lang w:eastAsia="zh-CN"/>
        </w:rPr>
        <w:t>工作。完成</w:t>
      </w:r>
      <w:r>
        <w:rPr>
          <w:rFonts w:hint="eastAsia" w:ascii="方正仿宋_GBK" w:eastAsia="方正仿宋_GBK"/>
          <w:b w:val="0"/>
          <w:sz w:val="32"/>
          <w:szCs w:val="32"/>
        </w:rPr>
        <w:t>秀湖公园次大门、水街等景观灯饰安全隐患整改</w:t>
      </w:r>
      <w:r>
        <w:rPr>
          <w:rFonts w:hint="eastAsia" w:ascii="方正仿宋_GBK" w:eastAsia="方正仿宋_GBK"/>
          <w:b w:val="0"/>
          <w:sz w:val="32"/>
          <w:szCs w:val="32"/>
          <w:lang w:eastAsia="zh-CN"/>
        </w:rPr>
        <w:t>工作</w:t>
      </w:r>
      <w:r>
        <w:rPr>
          <w:rFonts w:hint="eastAsia" w:ascii="方正仿宋_GBK" w:eastAsia="方正仿宋_GBK"/>
          <w:b w:val="0"/>
          <w:sz w:val="32"/>
          <w:szCs w:val="32"/>
        </w:rPr>
        <w:t>。</w:t>
      </w:r>
    </w:p>
    <w:p>
      <w:pPr>
        <w:spacing w:line="596" w:lineRule="exact"/>
        <w:ind w:firstLine="640" w:firstLineChars="200"/>
        <w:outlineLvl w:val="0"/>
        <w:rPr>
          <w:rFonts w:hint="eastAsia" w:eastAsia="FZHei-B01"/>
          <w:sz w:val="32"/>
          <w:szCs w:val="32"/>
        </w:rPr>
      </w:pPr>
      <w:bookmarkStart w:id="9" w:name="_Toc243"/>
      <w:r>
        <w:rPr>
          <w:rFonts w:hint="eastAsia" w:eastAsia="FZHei-B01"/>
          <w:sz w:val="32"/>
          <w:szCs w:val="32"/>
        </w:rPr>
        <w:t>五、存在的问题和建议</w:t>
      </w:r>
      <w:bookmarkEnd w:id="9"/>
    </w:p>
    <w:p>
      <w:pPr>
        <w:spacing w:line="596" w:lineRule="exact"/>
        <w:ind w:firstLine="640" w:firstLineChars="200"/>
        <w:outlineLvl w:val="1"/>
        <w:rPr>
          <w:rFonts w:hint="eastAsia" w:eastAsia="方正仿宋_GBK"/>
          <w:sz w:val="32"/>
          <w:szCs w:val="32"/>
          <w:lang w:eastAsia="zh-CN"/>
        </w:rPr>
      </w:pPr>
      <w:bookmarkStart w:id="10" w:name="_Toc19623"/>
      <w:bookmarkStart w:id="11" w:name="_Toc17714"/>
      <w:r>
        <w:rPr>
          <w:rFonts w:hint="eastAsia" w:eastAsia="方正仿宋_GBK"/>
          <w:sz w:val="32"/>
          <w:szCs w:val="32"/>
          <w:lang w:eastAsia="zh-CN"/>
        </w:rPr>
        <w:t>（一）存在的问题</w:t>
      </w:r>
      <w:bookmarkEnd w:id="10"/>
      <w:bookmarkEnd w:id="11"/>
      <w:bookmarkStart w:id="16" w:name="_GoBack"/>
      <w:bookmarkEnd w:id="16"/>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sz w:val="32"/>
          <w:szCs w:val="32"/>
          <w:lang w:val="en-US" w:eastAsia="zh-CN"/>
        </w:rPr>
      </w:pPr>
      <w:bookmarkStart w:id="12" w:name="_Toc16456"/>
      <w:bookmarkStart w:id="13" w:name="_Toc4640"/>
      <w:r>
        <w:rPr>
          <w:rFonts w:hint="eastAsia" w:ascii="方正仿宋_GBK" w:hAnsi="方正仿宋_GBK" w:eastAsia="方正仿宋_GBK" w:cs="方正仿宋_GBK"/>
          <w:bCs/>
          <w:sz w:val="32"/>
          <w:szCs w:val="32"/>
          <w:lang w:val="en-US" w:eastAsia="zh-CN"/>
        </w:rPr>
        <w:t>城市品质、形象提高率未达到预期标准。</w:t>
      </w:r>
      <w:bookmarkEnd w:id="12"/>
      <w:bookmarkEnd w:id="13"/>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单位在维护整改景观灯饰、市政设施时，部分地方的老旧景观灯饰</w:t>
      </w:r>
      <w:r>
        <w:rPr>
          <w:rFonts w:hint="eastAsia" w:ascii="方正仿宋_GBK" w:hAnsi="方正仿宋_GBK" w:eastAsia="方正仿宋_GBK" w:cs="方正仿宋_GBK"/>
          <w:bCs/>
          <w:sz w:val="32"/>
          <w:szCs w:val="32"/>
          <w:lang w:val="en-US" w:eastAsia="zh-CN"/>
        </w:rPr>
        <w:t>、陈旧锈蚀的各类杆体、标识标牌、箱体、景观石未全面整改完成。</w:t>
      </w:r>
    </w:p>
    <w:p>
      <w:pPr>
        <w:spacing w:line="596" w:lineRule="exact"/>
        <w:ind w:firstLine="640" w:firstLineChars="200"/>
        <w:outlineLvl w:val="1"/>
        <w:rPr>
          <w:rFonts w:hint="eastAsia" w:eastAsia="方正仿宋_GBK"/>
          <w:sz w:val="32"/>
          <w:szCs w:val="32"/>
          <w:lang w:eastAsia="zh-CN"/>
        </w:rPr>
      </w:pPr>
      <w:bookmarkStart w:id="14" w:name="_Toc29697"/>
      <w:bookmarkStart w:id="15" w:name="_Toc10918"/>
      <w:r>
        <w:rPr>
          <w:rFonts w:hint="eastAsia" w:eastAsia="方正仿宋_GBK"/>
          <w:sz w:val="32"/>
          <w:szCs w:val="32"/>
          <w:lang w:eastAsia="zh-CN"/>
        </w:rPr>
        <w:t>（二）建议</w:t>
      </w:r>
      <w:bookmarkEnd w:id="14"/>
      <w:bookmarkEnd w:id="15"/>
    </w:p>
    <w:p>
      <w:pPr>
        <w:keepNext w:val="0"/>
        <w:keepLines w:val="0"/>
        <w:pageBreakBefore w:val="0"/>
        <w:widowControl/>
        <w:suppressLineNumbers w:val="0"/>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yellow"/>
          <w:shd w:val="clear" w:color="auto" w:fill="FFFFFF"/>
          <w:lang w:val="en-US" w:eastAsia="zh-CN"/>
        </w:rPr>
      </w:pPr>
      <w:r>
        <w:rPr>
          <w:rFonts w:hint="eastAsia" w:ascii="方正仿宋_GBK" w:hAnsi="方正仿宋_GBK" w:eastAsia="方正仿宋_GBK" w:cs="方正仿宋_GBK"/>
          <w:bCs/>
          <w:sz w:val="32"/>
          <w:szCs w:val="32"/>
          <w:highlight w:val="none"/>
        </w:rPr>
        <w:t>加大</w:t>
      </w:r>
      <w:r>
        <w:rPr>
          <w:rFonts w:hint="eastAsia" w:ascii="方正仿宋_GBK" w:hAnsi="方正仿宋_GBK" w:eastAsia="方正仿宋_GBK" w:cs="方正仿宋_GBK"/>
          <w:bCs/>
          <w:sz w:val="32"/>
          <w:szCs w:val="32"/>
        </w:rPr>
        <w:t>巡查力度，加强城市路灯灯饰日常维护，进一步提升精细化维护管理水平，完善新增公园、主次干道等路灯、控制箱体、专变以及损坏、缺失号牌等照明设施编号管理工作</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对新增及陈旧锈蚀的各类杆体、标识标牌、箱体、景观石等城市功能部件进行涂装改色翻新。</w:t>
      </w:r>
    </w:p>
    <w:p>
      <w:pPr>
        <w:spacing w:line="596" w:lineRule="exact"/>
        <w:ind w:firstLine="640" w:firstLineChars="200"/>
        <w:jc w:val="lef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FZHei-B01">
    <w:altName w:val="宋体"/>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D0A37"/>
    <w:multiLevelType w:val="singleLevel"/>
    <w:tmpl w:val="806D0A37"/>
    <w:lvl w:ilvl="0" w:tentative="0">
      <w:start w:val="1"/>
      <w:numFmt w:val="decimal"/>
      <w:suff w:val="nothing"/>
      <w:lvlText w:val="%1、"/>
      <w:lvlJc w:val="left"/>
      <w:pPr>
        <w:ind w:left="-10"/>
      </w:pPr>
    </w:lvl>
  </w:abstractNum>
  <w:abstractNum w:abstractNumId="1">
    <w:nsid w:val="3E789264"/>
    <w:multiLevelType w:val="singleLevel"/>
    <w:tmpl w:val="3E78926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3863E70"/>
    <w:rsid w:val="06EC66E0"/>
    <w:rsid w:val="081D7AE0"/>
    <w:rsid w:val="089332B7"/>
    <w:rsid w:val="09FA11E0"/>
    <w:rsid w:val="0B0844A1"/>
    <w:rsid w:val="0B924F3C"/>
    <w:rsid w:val="0BB66C1D"/>
    <w:rsid w:val="0C1C7A68"/>
    <w:rsid w:val="0CC003F3"/>
    <w:rsid w:val="0CE47124"/>
    <w:rsid w:val="10AE398C"/>
    <w:rsid w:val="11E92A7D"/>
    <w:rsid w:val="13041393"/>
    <w:rsid w:val="13C14191"/>
    <w:rsid w:val="152664F4"/>
    <w:rsid w:val="16683FED"/>
    <w:rsid w:val="17B40B54"/>
    <w:rsid w:val="17C73B8D"/>
    <w:rsid w:val="19033B41"/>
    <w:rsid w:val="190E2B30"/>
    <w:rsid w:val="1B9C545C"/>
    <w:rsid w:val="1C073948"/>
    <w:rsid w:val="1D953CF2"/>
    <w:rsid w:val="1EBB288A"/>
    <w:rsid w:val="1F897A12"/>
    <w:rsid w:val="22644610"/>
    <w:rsid w:val="22EA36DF"/>
    <w:rsid w:val="24855D52"/>
    <w:rsid w:val="26A67592"/>
    <w:rsid w:val="277061AF"/>
    <w:rsid w:val="27EB5D07"/>
    <w:rsid w:val="281C69CE"/>
    <w:rsid w:val="284D3120"/>
    <w:rsid w:val="2A144355"/>
    <w:rsid w:val="2F7D1996"/>
    <w:rsid w:val="2F7F3BE1"/>
    <w:rsid w:val="2FDD1B7F"/>
    <w:rsid w:val="31C37EBA"/>
    <w:rsid w:val="324A3FB8"/>
    <w:rsid w:val="324F79A0"/>
    <w:rsid w:val="32891103"/>
    <w:rsid w:val="32DB1E15"/>
    <w:rsid w:val="34DB15D1"/>
    <w:rsid w:val="35531555"/>
    <w:rsid w:val="35DF4A23"/>
    <w:rsid w:val="3772660A"/>
    <w:rsid w:val="37CE1367"/>
    <w:rsid w:val="38606463"/>
    <w:rsid w:val="39D62CD1"/>
    <w:rsid w:val="3AD46C94"/>
    <w:rsid w:val="3C0269D0"/>
    <w:rsid w:val="3CB669F0"/>
    <w:rsid w:val="3CC64D02"/>
    <w:rsid w:val="3D764477"/>
    <w:rsid w:val="3E2671E9"/>
    <w:rsid w:val="3F2521B4"/>
    <w:rsid w:val="42792B14"/>
    <w:rsid w:val="44EF31F9"/>
    <w:rsid w:val="46EA7EDB"/>
    <w:rsid w:val="487D6BBD"/>
    <w:rsid w:val="48A57EC2"/>
    <w:rsid w:val="48F84495"/>
    <w:rsid w:val="4A72164F"/>
    <w:rsid w:val="4AE63E96"/>
    <w:rsid w:val="4B416C8E"/>
    <w:rsid w:val="4BC863A1"/>
    <w:rsid w:val="4C717508"/>
    <w:rsid w:val="4C7D6B0F"/>
    <w:rsid w:val="4D8D0E92"/>
    <w:rsid w:val="4DB210B7"/>
    <w:rsid w:val="4E465EC0"/>
    <w:rsid w:val="50B60EBE"/>
    <w:rsid w:val="51196B7F"/>
    <w:rsid w:val="511B3686"/>
    <w:rsid w:val="51DB1DFE"/>
    <w:rsid w:val="528154FB"/>
    <w:rsid w:val="543F7992"/>
    <w:rsid w:val="56120C9B"/>
    <w:rsid w:val="56E20D30"/>
    <w:rsid w:val="57EC1669"/>
    <w:rsid w:val="59387870"/>
    <w:rsid w:val="59F12F67"/>
    <w:rsid w:val="5A7D0C9E"/>
    <w:rsid w:val="5C401F83"/>
    <w:rsid w:val="5FA33780"/>
    <w:rsid w:val="61DA0784"/>
    <w:rsid w:val="62BB0009"/>
    <w:rsid w:val="646F6B02"/>
    <w:rsid w:val="64B625E5"/>
    <w:rsid w:val="65FC7E82"/>
    <w:rsid w:val="6A150CDB"/>
    <w:rsid w:val="6AA30543"/>
    <w:rsid w:val="6E514E37"/>
    <w:rsid w:val="6E8421A4"/>
    <w:rsid w:val="6F9C0BD2"/>
    <w:rsid w:val="733A72D5"/>
    <w:rsid w:val="74CE7AAB"/>
    <w:rsid w:val="74F311C2"/>
    <w:rsid w:val="76C33D5F"/>
    <w:rsid w:val="76F65C09"/>
    <w:rsid w:val="77063A92"/>
    <w:rsid w:val="78173E5E"/>
    <w:rsid w:val="7A341A8C"/>
    <w:rsid w:val="7AA250E0"/>
    <w:rsid w:val="7AB34C3E"/>
    <w:rsid w:val="7B9F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560"/>
      </w:tabs>
      <w:spacing w:before="340" w:after="340" w:line="579" w:lineRule="auto"/>
      <w:outlineLvl w:val="0"/>
    </w:pPr>
    <w:rPr>
      <w:rFonts w:ascii="Times New Roman" w:hAnsi="Times New Roman" w:eastAsia="宋体"/>
      <w:b/>
      <w:bCs/>
      <w:kern w:val="44"/>
      <w:sz w:val="44"/>
      <w:szCs w:val="44"/>
    </w:rPr>
  </w:style>
  <w:style w:type="paragraph" w:styleId="4">
    <w:name w:val="heading 2"/>
    <w:basedOn w:val="1"/>
    <w:next w:val="5"/>
    <w:unhideWhenUsed/>
    <w:qFormat/>
    <w:uiPriority w:val="9"/>
    <w:pPr>
      <w:keepNext/>
      <w:keepLines/>
      <w:spacing w:before="260" w:after="260" w:line="360" w:lineRule="auto"/>
      <w:jc w:val="center"/>
      <w:outlineLvl w:val="1"/>
    </w:pPr>
    <w:rPr>
      <w:rFonts w:ascii="Arial" w:hAnsi="Arial" w:eastAsiaTheme="minorEastAsia"/>
      <w:b/>
      <w:bCs/>
      <w:sz w:val="32"/>
      <w:szCs w:val="32"/>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qFormat/>
    <w:uiPriority w:val="1"/>
    <w:pPr>
      <w:ind w:left="108"/>
    </w:pPr>
    <w:rPr>
      <w:rFonts w:ascii="宋体" w:hAnsi="宋体" w:cs="宋体"/>
      <w:sz w:val="28"/>
      <w:szCs w:val="28"/>
      <w:lang w:val="zh-CN" w:bidi="zh-CN"/>
    </w:rPr>
  </w:style>
  <w:style w:type="paragraph" w:styleId="7">
    <w:name w:val="Body Text Indent"/>
    <w:basedOn w:val="1"/>
    <w:unhideWhenUsed/>
    <w:qFormat/>
    <w:uiPriority w:val="99"/>
    <w:pPr>
      <w:spacing w:line="500" w:lineRule="exact"/>
      <w:ind w:firstLine="301" w:firstLineChars="100"/>
    </w:pPr>
    <w:rPr>
      <w:b/>
      <w:bCs/>
      <w:sz w:val="2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眉 Char"/>
    <w:basedOn w:val="13"/>
    <w:link w:val="9"/>
    <w:qFormat/>
    <w:uiPriority w:val="99"/>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Body Text First Indent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4082</Words>
  <Characters>4343</Characters>
  <Lines>1</Lines>
  <Paragraphs>1</Paragraphs>
  <TotalTime>4</TotalTime>
  <ScaleCrop>false</ScaleCrop>
  <LinksUpToDate>false</LinksUpToDate>
  <CharactersWithSpaces>4380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dell</cp:lastModifiedBy>
  <cp:lastPrinted>2020-04-20T08:58:00Z</cp:lastPrinted>
  <dcterms:modified xsi:type="dcterms:W3CDTF">2022-03-30T02:59:41Z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ICV">
    <vt:lpwstr>B1F7E4DD39334781A08366B91305DFFE</vt:lpwstr>
  </property>
</Properties>
</file>