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0C" w:rsidRPr="009C180C" w:rsidRDefault="009C180C" w:rsidP="009C180C">
      <w:pPr>
        <w:spacing w:line="640" w:lineRule="exact"/>
        <w:jc w:val="left"/>
        <w:rPr>
          <w:rFonts w:ascii="方正仿宋_GBK" w:eastAsia="方正仿宋_GBK" w:hint="eastAsia"/>
          <w:sz w:val="32"/>
          <w:szCs w:val="32"/>
        </w:rPr>
      </w:pPr>
      <w:r>
        <w:rPr>
          <w:rFonts w:ascii="方正仿宋_GBK" w:eastAsia="方正仿宋_GBK" w:hint="eastAsia"/>
          <w:sz w:val="32"/>
          <w:szCs w:val="32"/>
        </w:rPr>
        <w:t>附件3：</w:t>
      </w:r>
    </w:p>
    <w:p w:rsidR="002E1C92" w:rsidRPr="00F832D3" w:rsidRDefault="002B29AF" w:rsidP="00F832D3">
      <w:pPr>
        <w:spacing w:line="640" w:lineRule="exact"/>
        <w:jc w:val="center"/>
        <w:rPr>
          <w:rFonts w:ascii="方正小标宋_GBK" w:eastAsia="方正小标宋_GBK"/>
          <w:sz w:val="44"/>
          <w:szCs w:val="44"/>
        </w:rPr>
      </w:pPr>
      <w:r w:rsidRPr="00F832D3">
        <w:rPr>
          <w:rFonts w:ascii="方正小标宋_GBK" w:eastAsia="方正小标宋_GBK" w:hint="eastAsia"/>
          <w:sz w:val="44"/>
          <w:szCs w:val="44"/>
        </w:rPr>
        <w:t>重庆市璧山区城市管理综合行政执法支队</w:t>
      </w:r>
    </w:p>
    <w:p w:rsidR="002E1C92" w:rsidRPr="00F832D3" w:rsidRDefault="002B29AF" w:rsidP="00F832D3">
      <w:pPr>
        <w:spacing w:line="640" w:lineRule="exact"/>
        <w:jc w:val="center"/>
        <w:rPr>
          <w:rFonts w:ascii="方正小标宋_GBK" w:eastAsia="方正小标宋_GBK"/>
          <w:sz w:val="44"/>
          <w:szCs w:val="44"/>
        </w:rPr>
      </w:pPr>
      <w:r w:rsidRPr="00F832D3">
        <w:rPr>
          <w:rFonts w:ascii="方正小标宋_GBK" w:eastAsia="方正小标宋_GBK" w:hint="eastAsia"/>
          <w:sz w:val="44"/>
          <w:szCs w:val="44"/>
        </w:rPr>
        <w:t>2021年度整体支出绩效自评报告</w:t>
      </w:r>
    </w:p>
    <w:p w:rsidR="00F832D3" w:rsidRDefault="00F832D3">
      <w:pPr>
        <w:pStyle w:val="a8"/>
        <w:spacing w:line="596" w:lineRule="exact"/>
        <w:ind w:firstLineChars="0" w:firstLine="0"/>
        <w:jc w:val="center"/>
        <w:rPr>
          <w:rFonts w:eastAsia="方正小标宋_GBK"/>
          <w:sz w:val="44"/>
          <w:szCs w:val="32"/>
        </w:rPr>
      </w:pPr>
    </w:p>
    <w:p w:rsidR="002E1C92" w:rsidRPr="00DE169A" w:rsidRDefault="002B29AF" w:rsidP="0024558F">
      <w:pPr>
        <w:spacing w:line="578" w:lineRule="exact"/>
        <w:ind w:firstLineChars="200" w:firstLine="640"/>
        <w:rPr>
          <w:rFonts w:ascii="方正仿宋_GBK" w:eastAsia="方正仿宋_GBK"/>
          <w:sz w:val="32"/>
          <w:szCs w:val="32"/>
        </w:rPr>
      </w:pPr>
      <w:r w:rsidRPr="00DE169A">
        <w:rPr>
          <w:rFonts w:ascii="方正仿宋_GBK" w:eastAsia="方正仿宋_GBK" w:hAnsi="方正仿宋_GBK" w:cs="方正仿宋_GBK" w:hint="eastAsia"/>
          <w:sz w:val="32"/>
          <w:szCs w:val="32"/>
        </w:rPr>
        <w:t>为加强财政资金的管理，提高财政资金的使用效益。根据《重庆市璧山区财政局关于</w:t>
      </w:r>
      <w:r w:rsidR="00B050FE">
        <w:rPr>
          <w:rFonts w:ascii="方正仿宋_GBK" w:eastAsia="方正仿宋_GBK" w:hAnsi="方正仿宋_GBK" w:cs="方正仿宋_GBK" w:hint="eastAsia"/>
          <w:sz w:val="32"/>
          <w:szCs w:val="32"/>
        </w:rPr>
        <w:t>开展2021年度绩效自评工作的通知</w:t>
      </w:r>
      <w:r w:rsidRPr="00DE169A">
        <w:rPr>
          <w:rFonts w:ascii="方正仿宋_GBK" w:eastAsia="方正仿宋_GBK" w:hAnsi="方正仿宋_GBK" w:cs="方正仿宋_GBK" w:hint="eastAsia"/>
          <w:sz w:val="32"/>
          <w:szCs w:val="32"/>
        </w:rPr>
        <w:t>》（璧财绩〔2022〕</w:t>
      </w:r>
      <w:r w:rsidR="00B050FE">
        <w:rPr>
          <w:rFonts w:ascii="方正仿宋_GBK" w:eastAsia="方正仿宋_GBK" w:hAnsi="方正仿宋_GBK" w:cs="方正仿宋_GBK" w:hint="eastAsia"/>
          <w:sz w:val="32"/>
          <w:szCs w:val="32"/>
        </w:rPr>
        <w:t>2</w:t>
      </w:r>
      <w:r w:rsidRPr="00DE169A">
        <w:rPr>
          <w:rFonts w:ascii="方正仿宋_GBK" w:eastAsia="方正仿宋_GBK" w:hAnsi="方正仿宋_GBK" w:cs="方正仿宋_GBK" w:hint="eastAsia"/>
          <w:sz w:val="32"/>
          <w:szCs w:val="32"/>
        </w:rPr>
        <w:t>号）文件要求，形成2021年度部门整体支出绩效自评报告如下：</w:t>
      </w:r>
    </w:p>
    <w:p w:rsidR="002E1C92" w:rsidRPr="00DE169A" w:rsidRDefault="002B29AF" w:rsidP="0024558F">
      <w:pPr>
        <w:pStyle w:val="1"/>
        <w:spacing w:line="578" w:lineRule="exact"/>
        <w:rPr>
          <w:rFonts w:ascii="方正黑体_GBK"/>
        </w:rPr>
      </w:pPr>
      <w:bookmarkStart w:id="0" w:name="_Toc99031600"/>
      <w:r w:rsidRPr="00DE169A">
        <w:rPr>
          <w:rFonts w:ascii="方正黑体_GBK" w:hint="eastAsia"/>
        </w:rPr>
        <w:t>一、基本情况</w:t>
      </w:r>
      <w:bookmarkEnd w:id="0"/>
    </w:p>
    <w:p w:rsidR="002E1C92" w:rsidRPr="00DE169A" w:rsidRDefault="002B29AF" w:rsidP="00DE169A">
      <w:pPr>
        <w:pStyle w:val="2"/>
        <w:tabs>
          <w:tab w:val="left" w:pos="4220"/>
        </w:tabs>
        <w:spacing w:line="578" w:lineRule="exact"/>
        <w:rPr>
          <w:rFonts w:ascii="方正仿宋_GBK"/>
        </w:rPr>
      </w:pPr>
      <w:bookmarkStart w:id="1" w:name="_Toc99031601"/>
      <w:r w:rsidRPr="00DE169A">
        <w:rPr>
          <w:rFonts w:ascii="方正仿宋_GBK" w:hint="eastAsia"/>
        </w:rPr>
        <w:t>（一）部门基本情况</w:t>
      </w:r>
      <w:bookmarkEnd w:id="1"/>
      <w:r w:rsidR="00DE169A" w:rsidRPr="00DE169A">
        <w:rPr>
          <w:rFonts w:ascii="方正仿宋_GBK" w:hint="eastAsia"/>
        </w:rPr>
        <w:tab/>
      </w:r>
    </w:p>
    <w:p w:rsidR="00733D90" w:rsidRPr="00DE169A" w:rsidRDefault="00733D90" w:rsidP="0024558F">
      <w:pPr>
        <w:spacing w:line="578" w:lineRule="exact"/>
        <w:ind w:firstLineChars="200" w:firstLine="640"/>
        <w:rPr>
          <w:rFonts w:ascii="方正仿宋_GBK" w:eastAsia="方正仿宋_GBK" w:hAnsi="仿宋_GB2312" w:cs="仿宋_GB2312"/>
          <w:sz w:val="32"/>
        </w:rPr>
      </w:pPr>
      <w:bookmarkStart w:id="2" w:name="_Toc99031602"/>
      <w:r w:rsidRPr="00DE169A">
        <w:rPr>
          <w:rFonts w:ascii="方正仿宋_GBK" w:eastAsia="方正仿宋_GBK" w:hAnsi="仿宋_GB2312" w:cs="仿宋_GB2312" w:hint="eastAsia"/>
          <w:sz w:val="32"/>
        </w:rPr>
        <w:t>1.单位构成</w:t>
      </w:r>
    </w:p>
    <w:p w:rsidR="00733D90" w:rsidRPr="00DE169A" w:rsidRDefault="00733D90" w:rsidP="0024558F">
      <w:pPr>
        <w:spacing w:line="578" w:lineRule="exact"/>
        <w:ind w:firstLineChars="200" w:firstLine="640"/>
        <w:rPr>
          <w:rFonts w:ascii="方正仿宋_GBK" w:eastAsia="方正仿宋_GBK" w:hAnsi="仿宋_GB2312" w:cs="仿宋_GB2312"/>
          <w:sz w:val="32"/>
        </w:rPr>
      </w:pPr>
      <w:r w:rsidRPr="00DE169A">
        <w:rPr>
          <w:rFonts w:ascii="方正仿宋_GBK" w:eastAsia="方正仿宋_GBK" w:hAnsi="仿宋_GB2312" w:cs="仿宋_GB2312" w:hint="eastAsia"/>
          <w:sz w:val="32"/>
        </w:rPr>
        <w:t>重庆市璧山区城市管理综合行政执法支队为独立编制的副处级</w:t>
      </w:r>
      <w:r w:rsidR="000D255F" w:rsidRPr="00DE169A">
        <w:rPr>
          <w:rFonts w:ascii="方正仿宋_GBK" w:eastAsia="方正仿宋_GBK" w:hAnsi="仿宋_GB2312" w:cs="仿宋_GB2312" w:hint="eastAsia"/>
          <w:sz w:val="32"/>
        </w:rPr>
        <w:t>参公</w:t>
      </w:r>
      <w:r w:rsidRPr="00DE169A">
        <w:rPr>
          <w:rFonts w:ascii="方正仿宋_GBK" w:eastAsia="方正仿宋_GBK" w:hAnsi="仿宋_GB2312" w:cs="仿宋_GB2312" w:hint="eastAsia"/>
          <w:sz w:val="32"/>
        </w:rPr>
        <w:t>事业单位，下设办公室、广告科、法制科，执法一至七大队，编制77人，在职人员68人，退休人员10人，协勤394人。</w:t>
      </w:r>
    </w:p>
    <w:p w:rsidR="00F832D3" w:rsidRPr="00DE169A" w:rsidRDefault="00733D90" w:rsidP="0024558F">
      <w:pPr>
        <w:spacing w:line="578" w:lineRule="exact"/>
        <w:ind w:firstLineChars="200" w:firstLine="640"/>
        <w:rPr>
          <w:rFonts w:ascii="方正仿宋_GBK" w:eastAsia="方正仿宋_GBK" w:hAnsi="仿宋_GB2312" w:cs="仿宋_GB2312"/>
          <w:sz w:val="32"/>
        </w:rPr>
      </w:pPr>
      <w:r w:rsidRPr="00DE169A">
        <w:rPr>
          <w:rFonts w:ascii="方正仿宋_GBK" w:eastAsia="方正仿宋_GBK" w:hAnsi="仿宋_GB2312" w:cs="仿宋_GB2312" w:hint="eastAsia"/>
          <w:sz w:val="32"/>
        </w:rPr>
        <w:t>2</w:t>
      </w:r>
      <w:r w:rsidR="00F832D3" w:rsidRPr="00DE169A">
        <w:rPr>
          <w:rFonts w:ascii="方正仿宋_GBK" w:eastAsia="方正仿宋_GBK" w:hAnsi="仿宋_GB2312" w:cs="仿宋_GB2312" w:hint="eastAsia"/>
          <w:sz w:val="32"/>
        </w:rPr>
        <w:t>.职能职责</w:t>
      </w:r>
    </w:p>
    <w:p w:rsidR="00F832D3" w:rsidRPr="00DE169A" w:rsidRDefault="00F832D3" w:rsidP="0024558F">
      <w:pPr>
        <w:pStyle w:val="a8"/>
        <w:tabs>
          <w:tab w:val="center" w:pos="4153"/>
          <w:tab w:val="left" w:pos="7275"/>
        </w:tabs>
        <w:spacing w:line="578" w:lineRule="exact"/>
        <w:ind w:firstLine="640"/>
        <w:jc w:val="left"/>
        <w:rPr>
          <w:rFonts w:ascii="方正仿宋_GBK" w:eastAsia="方正仿宋_GBK" w:hAnsi="仿宋_GB2312" w:cs="仿宋_GB2312"/>
          <w:sz w:val="32"/>
        </w:rPr>
      </w:pPr>
      <w:r w:rsidRPr="00DE169A">
        <w:rPr>
          <w:rFonts w:ascii="方正仿宋_GBK" w:eastAsia="方正仿宋_GBK" w:hint="eastAsia"/>
          <w:sz w:val="32"/>
          <w:szCs w:val="32"/>
        </w:rPr>
        <w:t>重庆市璧山区城市管理综合行政执法支队的职能职责是</w:t>
      </w:r>
      <w:r w:rsidRPr="00DE169A">
        <w:rPr>
          <w:rFonts w:ascii="方正仿宋_GBK" w:eastAsia="方正仿宋_GBK" w:hAnsi="仿宋_GB2312" w:cs="仿宋_GB2312" w:hint="eastAsia"/>
          <w:sz w:val="32"/>
        </w:rPr>
        <w:t>：贯彻执行有关城市管理行政执法的法律、法规、规章和方针政策，依法接受委托集中行使区级城市管理综合行政执法范围内的行政处罚权及相应的行政强制措施。承担市政公用、市容环卫、园林绿化，环境保护管理方面的露天烧烤污染、城市焚烧沥青塑料</w:t>
      </w:r>
      <w:r w:rsidRPr="00DE169A">
        <w:rPr>
          <w:rFonts w:ascii="方正仿宋_GBK" w:eastAsia="方正仿宋_GBK" w:hAnsi="仿宋_GB2312" w:cs="仿宋_GB2312" w:hint="eastAsia"/>
          <w:sz w:val="32"/>
        </w:rPr>
        <w:lastRenderedPageBreak/>
        <w:t>垃圾等烟尘和恶臭污染、露天焚烧秸秆落叶等烟尘污染，工商管理方面的户外公共场所无照经营、违规设置户外广告，交通管理方面的侵占城市道路，水务管理方面的向城市河道倾倒废弃物和垃圾，食品药品监管方面的户外公共场所食品销售和餐饮摊点无证经营，规划城镇建设用地范围内城市违法建筑的行政处罚及相应的行政强制职能。负责城市管理综合行政执法重大复杂违法违规案件查处。负责城市管理综合行政执法队伍纠察工作，承办城市管理综合行政执法专项整治行动和重大执法活动。组织推进城市管理综合行政执法信息化建设。承办区委、区政府及区城市管理局交办的其他事项。</w:t>
      </w:r>
    </w:p>
    <w:p w:rsidR="002E1C92" w:rsidRPr="00DE169A" w:rsidRDefault="002B29AF" w:rsidP="0024558F">
      <w:pPr>
        <w:pStyle w:val="2"/>
        <w:spacing w:line="578" w:lineRule="exact"/>
        <w:rPr>
          <w:rFonts w:ascii="方正仿宋_GBK"/>
        </w:rPr>
      </w:pPr>
      <w:r w:rsidRPr="00DE169A">
        <w:rPr>
          <w:rFonts w:ascii="方正仿宋_GBK" w:hint="eastAsia"/>
        </w:rPr>
        <w:t>（二）预算及支出情况</w:t>
      </w:r>
      <w:bookmarkEnd w:id="2"/>
    </w:p>
    <w:p w:rsidR="002E1C92" w:rsidRPr="00DE169A" w:rsidRDefault="002B29AF" w:rsidP="0024558F">
      <w:pPr>
        <w:spacing w:line="578" w:lineRule="exact"/>
        <w:ind w:firstLineChars="200" w:firstLine="640"/>
        <w:rPr>
          <w:rFonts w:ascii="方正仿宋_GBK" w:eastAsia="方正仿宋_GBK" w:hAnsi="方正仿宋_GBK" w:cs="方正仿宋_GBK"/>
          <w:sz w:val="32"/>
          <w:szCs w:val="32"/>
        </w:rPr>
      </w:pPr>
      <w:r w:rsidRPr="00DE169A">
        <w:rPr>
          <w:rFonts w:ascii="方正仿宋_GBK" w:eastAsia="方正仿宋_GBK" w:hAnsi="方正仿宋_GBK" w:cs="方正仿宋_GBK" w:hint="eastAsia"/>
          <w:sz w:val="32"/>
          <w:szCs w:val="32"/>
        </w:rPr>
        <w:t>1、财政资金整体支出</w:t>
      </w:r>
    </w:p>
    <w:p w:rsidR="002E1C92" w:rsidRPr="00DE169A" w:rsidRDefault="002B29AF" w:rsidP="0024558F">
      <w:pPr>
        <w:widowControl/>
        <w:spacing w:line="578" w:lineRule="exact"/>
        <w:ind w:firstLineChars="200" w:firstLine="640"/>
        <w:rPr>
          <w:rFonts w:ascii="方正仿宋_GBK" w:eastAsia="方正仿宋_GBK" w:hAnsi="宋体" w:cs="Arial"/>
          <w:kern w:val="0"/>
          <w:sz w:val="20"/>
          <w:szCs w:val="20"/>
        </w:rPr>
      </w:pPr>
      <w:r w:rsidRPr="00DE169A">
        <w:rPr>
          <w:rFonts w:ascii="方正仿宋_GBK" w:eastAsia="方正仿宋_GBK" w:hAnsi="方正仿宋_GBK" w:cs="方正仿宋_GBK" w:hint="eastAsia"/>
          <w:sz w:val="32"/>
          <w:szCs w:val="32"/>
        </w:rPr>
        <w:t>2021年财政资金年初支出预算为3677.36万元，年中调整预算为3869.75万元，上年结转0万元，调整后支出预算为3869.75万元；年末支出决算为3869.75万元，年末结转和结余为0万元。</w:t>
      </w:r>
    </w:p>
    <w:p w:rsidR="002E1C92" w:rsidRPr="00DE169A" w:rsidRDefault="002B29AF" w:rsidP="0024558F">
      <w:pPr>
        <w:spacing w:line="578" w:lineRule="exact"/>
        <w:ind w:firstLineChars="200" w:firstLine="640"/>
        <w:rPr>
          <w:rFonts w:ascii="方正仿宋_GBK" w:eastAsia="方正仿宋_GBK" w:hAnsi="方正仿宋_GBK" w:cs="方正仿宋_GBK"/>
          <w:sz w:val="32"/>
          <w:szCs w:val="32"/>
        </w:rPr>
      </w:pPr>
      <w:r w:rsidRPr="00DE169A">
        <w:rPr>
          <w:rFonts w:ascii="方正仿宋_GBK" w:eastAsia="方正仿宋_GBK" w:hAnsi="方正仿宋_GBK" w:cs="方正仿宋_GBK" w:hint="eastAsia"/>
          <w:sz w:val="32"/>
          <w:szCs w:val="32"/>
        </w:rPr>
        <w:t>2、部门“三公”经费支出</w:t>
      </w:r>
    </w:p>
    <w:p w:rsidR="002E1C92" w:rsidRPr="00DE169A" w:rsidRDefault="002B29AF" w:rsidP="0024558F">
      <w:pPr>
        <w:widowControl/>
        <w:spacing w:line="578" w:lineRule="exact"/>
        <w:ind w:firstLineChars="200" w:firstLine="640"/>
        <w:rPr>
          <w:rFonts w:ascii="方正仿宋_GBK" w:eastAsia="方正仿宋_GBK" w:hAnsi="宋体" w:cs="Arial"/>
          <w:kern w:val="0"/>
          <w:sz w:val="20"/>
          <w:szCs w:val="20"/>
        </w:rPr>
      </w:pPr>
      <w:r w:rsidRPr="00DE169A">
        <w:rPr>
          <w:rFonts w:ascii="方正仿宋_GBK" w:eastAsia="方正仿宋_GBK" w:hAnsi="方正仿宋_GBK" w:cs="方正仿宋_GBK" w:hint="eastAsia"/>
          <w:sz w:val="32"/>
          <w:szCs w:val="32"/>
        </w:rPr>
        <w:t xml:space="preserve">2021年“三公”经费支出总额33.72万元，其中：公务车运行维护费33.55万元、国内公务接待0.17万元。年初预算支出45万，比预算减少11.28万元，主要原因是公务接待费减少。公务用车未新购置、保有量为7辆、无因公出国（境）团组数及人数，国内公务接待1批次及19人数。  </w:t>
      </w:r>
    </w:p>
    <w:p w:rsidR="002E1C92" w:rsidRPr="00DE169A" w:rsidRDefault="002B29AF" w:rsidP="0024558F">
      <w:pPr>
        <w:pStyle w:val="1"/>
        <w:spacing w:line="578" w:lineRule="exact"/>
        <w:rPr>
          <w:rFonts w:ascii="方正黑体_GBK"/>
        </w:rPr>
      </w:pPr>
      <w:bookmarkStart w:id="3" w:name="_Toc99031603"/>
      <w:r w:rsidRPr="00DE169A">
        <w:rPr>
          <w:rFonts w:ascii="方正黑体_GBK" w:hint="eastAsia"/>
        </w:rPr>
        <w:lastRenderedPageBreak/>
        <w:t>二、绩效评价基本情况</w:t>
      </w:r>
      <w:bookmarkEnd w:id="3"/>
    </w:p>
    <w:p w:rsidR="002E1C92" w:rsidRPr="00DE169A" w:rsidRDefault="002B29AF" w:rsidP="0024558F">
      <w:pPr>
        <w:pStyle w:val="2"/>
        <w:spacing w:line="578" w:lineRule="exact"/>
        <w:rPr>
          <w:rFonts w:ascii="方正仿宋_GBK"/>
        </w:rPr>
      </w:pPr>
      <w:bookmarkStart w:id="4" w:name="_Toc99031604"/>
      <w:r w:rsidRPr="00DE169A">
        <w:rPr>
          <w:rFonts w:ascii="方正仿宋_GBK" w:hint="eastAsia"/>
        </w:rPr>
        <w:t>（一）绩效评价目的</w:t>
      </w:r>
      <w:bookmarkEnd w:id="4"/>
    </w:p>
    <w:p w:rsidR="002E1C92" w:rsidRPr="00DE169A" w:rsidRDefault="002B29AF" w:rsidP="0024558F">
      <w:pPr>
        <w:spacing w:line="578" w:lineRule="exact"/>
        <w:ind w:firstLineChars="200" w:firstLine="640"/>
        <w:rPr>
          <w:rFonts w:ascii="方正仿宋_GBK" w:eastAsia="方正仿宋_GBK"/>
        </w:rPr>
      </w:pPr>
      <w:r w:rsidRPr="00DE169A">
        <w:rPr>
          <w:rFonts w:ascii="方正仿宋_GBK" w:eastAsia="方正仿宋_GBK" w:hint="eastAsia"/>
          <w:sz w:val="32"/>
          <w:szCs w:val="32"/>
        </w:rPr>
        <w:t>为加强预算执行分析，规范财务管理，强化财政资金跟 踪问效和绩效管理，建立对下属预算单位的监督、指导机制， 及时发现问题并采取有效措施解决，组织开展部门2021年整体支出绩效自评。</w:t>
      </w:r>
    </w:p>
    <w:p w:rsidR="002E1C92" w:rsidRPr="00DE169A" w:rsidRDefault="002B29AF" w:rsidP="0024558F">
      <w:pPr>
        <w:pStyle w:val="2"/>
        <w:spacing w:line="578" w:lineRule="exact"/>
        <w:rPr>
          <w:rFonts w:ascii="方正仿宋_GBK"/>
        </w:rPr>
      </w:pPr>
      <w:bookmarkStart w:id="5" w:name="_Toc99031605"/>
      <w:r w:rsidRPr="00DE169A">
        <w:rPr>
          <w:rFonts w:ascii="方正仿宋_GBK" w:hint="eastAsia"/>
        </w:rPr>
        <w:t>（二）绩效评价原则</w:t>
      </w:r>
      <w:bookmarkEnd w:id="5"/>
    </w:p>
    <w:p w:rsidR="002E1C92" w:rsidRPr="00DE169A" w:rsidRDefault="002B29AF" w:rsidP="0024558F">
      <w:pPr>
        <w:spacing w:line="578" w:lineRule="exact"/>
        <w:ind w:firstLineChars="200" w:firstLine="640"/>
        <w:rPr>
          <w:rFonts w:ascii="方正仿宋_GBK" w:eastAsia="方正仿宋_GBK"/>
          <w:bCs/>
          <w:sz w:val="32"/>
          <w:szCs w:val="32"/>
        </w:rPr>
      </w:pPr>
      <w:r w:rsidRPr="00DE169A">
        <w:rPr>
          <w:rFonts w:ascii="方正仿宋_GBK" w:eastAsia="方正仿宋_GBK" w:hint="eastAsia"/>
          <w:bCs/>
          <w:sz w:val="32"/>
          <w:szCs w:val="32"/>
        </w:rPr>
        <w:t>绩效评价原则包括科学规范原则、公开公正原则、分级分类原则、绩效相关原则。</w:t>
      </w:r>
    </w:p>
    <w:p w:rsidR="002E1C92" w:rsidRPr="00DE169A" w:rsidRDefault="002B29AF" w:rsidP="0024558F">
      <w:pPr>
        <w:pStyle w:val="2"/>
        <w:spacing w:line="578" w:lineRule="exact"/>
        <w:rPr>
          <w:rFonts w:ascii="方正仿宋_GBK"/>
        </w:rPr>
      </w:pPr>
      <w:bookmarkStart w:id="6" w:name="_Toc99031606"/>
      <w:r w:rsidRPr="00DE169A">
        <w:rPr>
          <w:rFonts w:ascii="方正仿宋_GBK" w:hint="eastAsia"/>
        </w:rPr>
        <w:t>（三）绩效评价工作过程</w:t>
      </w:r>
      <w:bookmarkEnd w:id="6"/>
    </w:p>
    <w:p w:rsidR="002E1C92" w:rsidRPr="00DE169A" w:rsidRDefault="002B29AF" w:rsidP="0024558F">
      <w:pPr>
        <w:spacing w:line="578" w:lineRule="exact"/>
        <w:ind w:firstLineChars="200" w:firstLine="640"/>
        <w:outlineLvl w:val="2"/>
        <w:rPr>
          <w:rFonts w:ascii="方正仿宋_GBK" w:eastAsia="方正仿宋_GBK" w:hAnsi="方正仿宋_GBK" w:cs="方正仿宋_GBK"/>
          <w:sz w:val="32"/>
          <w:szCs w:val="32"/>
        </w:rPr>
      </w:pPr>
      <w:r w:rsidRPr="00DE169A">
        <w:rPr>
          <w:rFonts w:ascii="方正仿宋_GBK" w:eastAsia="方正仿宋_GBK" w:hAnsi="方正仿宋_GBK" w:cs="方正仿宋_GBK" w:hint="eastAsia"/>
          <w:sz w:val="32"/>
          <w:szCs w:val="32"/>
        </w:rPr>
        <w:t>1、前期准备</w:t>
      </w:r>
    </w:p>
    <w:p w:rsidR="002E1C92" w:rsidRPr="00DE169A" w:rsidRDefault="002B29AF" w:rsidP="0024558F">
      <w:pPr>
        <w:spacing w:line="578" w:lineRule="exact"/>
        <w:ind w:firstLineChars="200" w:firstLine="640"/>
        <w:rPr>
          <w:rFonts w:ascii="方正仿宋_GBK" w:eastAsia="方正仿宋_GBK" w:cs="方正仿宋_GBK"/>
          <w:sz w:val="32"/>
          <w:szCs w:val="32"/>
        </w:rPr>
      </w:pPr>
      <w:r w:rsidRPr="00DE169A">
        <w:rPr>
          <w:rFonts w:ascii="方正仿宋_GBK" w:eastAsia="方正仿宋_GBK" w:cs="方正仿宋_GBK" w:hint="eastAsia"/>
          <w:sz w:val="32"/>
          <w:szCs w:val="32"/>
        </w:rPr>
        <w:t>根据</w:t>
      </w:r>
      <w:r w:rsidR="00B050FE" w:rsidRPr="00DE169A">
        <w:rPr>
          <w:rFonts w:ascii="方正仿宋_GBK" w:eastAsia="方正仿宋_GBK" w:hAnsi="方正仿宋_GBK" w:cs="方正仿宋_GBK" w:hint="eastAsia"/>
          <w:sz w:val="32"/>
          <w:szCs w:val="32"/>
        </w:rPr>
        <w:t>《重庆市璧山区财政局关于</w:t>
      </w:r>
      <w:r w:rsidR="00B050FE">
        <w:rPr>
          <w:rFonts w:ascii="方正仿宋_GBK" w:eastAsia="方正仿宋_GBK" w:hAnsi="方正仿宋_GBK" w:cs="方正仿宋_GBK" w:hint="eastAsia"/>
          <w:sz w:val="32"/>
          <w:szCs w:val="32"/>
        </w:rPr>
        <w:t>开展2021年度绩效自评工作的通知</w:t>
      </w:r>
      <w:r w:rsidR="00B050FE" w:rsidRPr="00DE169A">
        <w:rPr>
          <w:rFonts w:ascii="方正仿宋_GBK" w:eastAsia="方正仿宋_GBK" w:hAnsi="方正仿宋_GBK" w:cs="方正仿宋_GBK" w:hint="eastAsia"/>
          <w:sz w:val="32"/>
          <w:szCs w:val="32"/>
        </w:rPr>
        <w:t>》（璧财绩〔2022〕</w:t>
      </w:r>
      <w:r w:rsidR="00B050FE">
        <w:rPr>
          <w:rFonts w:ascii="方正仿宋_GBK" w:eastAsia="方正仿宋_GBK" w:hAnsi="方正仿宋_GBK" w:cs="方正仿宋_GBK" w:hint="eastAsia"/>
          <w:sz w:val="32"/>
          <w:szCs w:val="32"/>
        </w:rPr>
        <w:t>2</w:t>
      </w:r>
      <w:r w:rsidR="00B050FE" w:rsidRPr="00DE169A">
        <w:rPr>
          <w:rFonts w:ascii="方正仿宋_GBK" w:eastAsia="方正仿宋_GBK" w:hAnsi="方正仿宋_GBK" w:cs="方正仿宋_GBK" w:hint="eastAsia"/>
          <w:sz w:val="32"/>
          <w:szCs w:val="32"/>
        </w:rPr>
        <w:t>号）</w:t>
      </w:r>
      <w:r w:rsidRPr="00DE169A">
        <w:rPr>
          <w:rFonts w:ascii="方正仿宋_GBK" w:eastAsia="方正仿宋_GBK" w:cs="方正仿宋_GBK" w:hint="eastAsia"/>
          <w:sz w:val="32"/>
          <w:szCs w:val="32"/>
        </w:rPr>
        <w:t>文件要求，我单位高度重视绩效评价，组成由单位领导、财务人员、各业务科室负责人和项目负责人组成的自评小组，制定自评方案，明确自评程序和方法，通知要求资金使用科室上报资金使用情况、项目实施情况及计划绩效目标完成情况。</w:t>
      </w:r>
    </w:p>
    <w:p w:rsidR="002E1C92" w:rsidRPr="00DE169A" w:rsidRDefault="002B29AF" w:rsidP="0024558F">
      <w:pPr>
        <w:spacing w:line="578" w:lineRule="exact"/>
        <w:ind w:firstLineChars="200" w:firstLine="640"/>
        <w:outlineLvl w:val="2"/>
        <w:rPr>
          <w:rFonts w:ascii="方正仿宋_GBK" w:eastAsia="方正仿宋_GBK" w:hAnsi="方正仿宋_GBK" w:cs="方正仿宋_GBK"/>
          <w:sz w:val="32"/>
          <w:szCs w:val="32"/>
        </w:rPr>
      </w:pPr>
      <w:r w:rsidRPr="00DE169A">
        <w:rPr>
          <w:rFonts w:ascii="方正仿宋_GBK" w:eastAsia="方正仿宋_GBK" w:hAnsi="方正仿宋_GBK" w:cs="方正仿宋_GBK" w:hint="eastAsia"/>
          <w:sz w:val="32"/>
          <w:szCs w:val="32"/>
        </w:rPr>
        <w:t>2、组织实施</w:t>
      </w:r>
    </w:p>
    <w:p w:rsidR="002E1C92" w:rsidRPr="00DE169A" w:rsidRDefault="002B29AF" w:rsidP="0024558F">
      <w:pPr>
        <w:spacing w:line="578" w:lineRule="exact"/>
        <w:ind w:firstLineChars="200" w:firstLine="640"/>
        <w:rPr>
          <w:rFonts w:ascii="方正仿宋_GBK" w:eastAsia="方正仿宋_GBK" w:cs="方正仿宋_GBK"/>
          <w:sz w:val="32"/>
          <w:szCs w:val="32"/>
        </w:rPr>
      </w:pPr>
      <w:r w:rsidRPr="00DE169A">
        <w:rPr>
          <w:rFonts w:ascii="方正仿宋_GBK" w:eastAsia="方正仿宋_GBK" w:cs="方正仿宋_GBK" w:hint="eastAsia"/>
          <w:sz w:val="32"/>
          <w:szCs w:val="32"/>
        </w:rPr>
        <w:t>本次绩效评价工作分为两个阶段：</w:t>
      </w:r>
    </w:p>
    <w:p w:rsidR="002E1C92" w:rsidRPr="00DE169A" w:rsidRDefault="002B29AF" w:rsidP="0024558F">
      <w:pPr>
        <w:spacing w:line="578" w:lineRule="exact"/>
        <w:ind w:firstLineChars="200" w:firstLine="640"/>
        <w:rPr>
          <w:rFonts w:ascii="方正仿宋_GBK" w:eastAsia="方正仿宋_GBK" w:cs="方正仿宋_GBK"/>
          <w:sz w:val="32"/>
          <w:szCs w:val="32"/>
        </w:rPr>
      </w:pPr>
      <w:r w:rsidRPr="00DE169A">
        <w:rPr>
          <w:rFonts w:ascii="方正仿宋_GBK" w:eastAsia="方正仿宋_GBK" w:cs="方正仿宋_GBK" w:hint="eastAsia"/>
          <w:sz w:val="32"/>
          <w:szCs w:val="32"/>
        </w:rPr>
        <w:t>第一个阶段为评价准备阶段，自评工作组梳理和研读了国家层面、市级层面、区级层面与本次评价部门整体有关的政策文件，获得评价资料。</w:t>
      </w:r>
    </w:p>
    <w:p w:rsidR="002E1C92" w:rsidRPr="00DE169A" w:rsidRDefault="002B29AF" w:rsidP="0024558F">
      <w:pPr>
        <w:spacing w:line="578" w:lineRule="exact"/>
        <w:ind w:firstLineChars="200" w:firstLine="640"/>
        <w:rPr>
          <w:rFonts w:ascii="方正仿宋_GBK" w:eastAsia="方正仿宋_GBK" w:cs="方正仿宋_GBK"/>
          <w:sz w:val="32"/>
          <w:szCs w:val="32"/>
        </w:rPr>
      </w:pPr>
      <w:r w:rsidRPr="00DE169A">
        <w:rPr>
          <w:rFonts w:ascii="方正仿宋_GBK" w:eastAsia="方正仿宋_GBK" w:cs="方正仿宋_GBK" w:hint="eastAsia"/>
          <w:sz w:val="32"/>
          <w:szCs w:val="32"/>
        </w:rPr>
        <w:lastRenderedPageBreak/>
        <w:t>第二个阶段为实施评价阶段，自评工作组在2022年2月23日至3月10日开展评价实施。取得评价部门整体实施的进度和资金筹集支出情况等资料，通过研读搭建指标体系，填写《重庆市璧山区</w:t>
      </w:r>
      <w:r w:rsidRPr="00DE169A">
        <w:rPr>
          <w:rFonts w:ascii="方正仿宋_GBK" w:eastAsia="方正仿宋_GBK" w:hAnsi="方正仿宋_GBK" w:cs="方正仿宋_GBK" w:hint="eastAsia"/>
          <w:sz w:val="32"/>
          <w:szCs w:val="32"/>
        </w:rPr>
        <w:t>城市管理综合行政执法支队</w:t>
      </w:r>
      <w:r w:rsidRPr="00DE169A">
        <w:rPr>
          <w:rFonts w:ascii="方正仿宋_GBK" w:eastAsia="方正仿宋_GBK" w:cs="方正仿宋_GBK" w:hint="eastAsia"/>
          <w:sz w:val="32"/>
          <w:szCs w:val="32"/>
        </w:rPr>
        <w:t>2021年度部门整体支出绩效自评表》并撰写自评报告。</w:t>
      </w:r>
    </w:p>
    <w:p w:rsidR="002E1C92" w:rsidRPr="00DE169A" w:rsidRDefault="002B29AF" w:rsidP="0024558F">
      <w:pPr>
        <w:spacing w:line="578" w:lineRule="exact"/>
        <w:ind w:firstLineChars="200" w:firstLine="640"/>
        <w:outlineLvl w:val="2"/>
        <w:rPr>
          <w:rFonts w:ascii="方正仿宋_GBK" w:eastAsia="方正仿宋_GBK" w:hAnsi="方正仿宋_GBK" w:cs="方正仿宋_GBK"/>
          <w:sz w:val="32"/>
          <w:szCs w:val="32"/>
        </w:rPr>
      </w:pPr>
      <w:r w:rsidRPr="00DE169A">
        <w:rPr>
          <w:rFonts w:ascii="方正仿宋_GBK" w:eastAsia="方正仿宋_GBK" w:hAnsi="方正仿宋_GBK" w:cs="方正仿宋_GBK" w:hint="eastAsia"/>
          <w:sz w:val="32"/>
          <w:szCs w:val="32"/>
        </w:rPr>
        <w:t>3、分析评价</w:t>
      </w:r>
    </w:p>
    <w:p w:rsidR="002E1C92" w:rsidRPr="00DE169A" w:rsidRDefault="002B29AF" w:rsidP="0024558F">
      <w:pPr>
        <w:spacing w:line="578" w:lineRule="exact"/>
        <w:ind w:firstLineChars="200" w:firstLine="640"/>
        <w:rPr>
          <w:rFonts w:ascii="方正仿宋_GBK" w:eastAsia="方正仿宋_GBK"/>
        </w:rPr>
      </w:pPr>
      <w:r w:rsidRPr="00DE169A">
        <w:rPr>
          <w:rFonts w:ascii="方正仿宋_GBK" w:eastAsia="方正仿宋_GBK" w:cs="方正仿宋_GBK" w:hint="eastAsia"/>
          <w:sz w:val="32"/>
          <w:szCs w:val="32"/>
        </w:rPr>
        <w:t>2022年3月11日至3月18日，自评工作组根据《重庆市璧山区</w:t>
      </w:r>
      <w:r w:rsidRPr="00DE169A">
        <w:rPr>
          <w:rFonts w:ascii="方正仿宋_GBK" w:eastAsia="方正仿宋_GBK" w:hAnsi="方正仿宋_GBK" w:cs="方正仿宋_GBK" w:hint="eastAsia"/>
          <w:sz w:val="32"/>
          <w:szCs w:val="32"/>
        </w:rPr>
        <w:t>城市管理综合行政执法支队</w:t>
      </w:r>
      <w:r w:rsidRPr="00DE169A">
        <w:rPr>
          <w:rFonts w:ascii="方正仿宋_GBK" w:eastAsia="方正仿宋_GBK" w:cs="方正仿宋_GBK" w:hint="eastAsia"/>
          <w:sz w:val="32"/>
          <w:szCs w:val="32"/>
        </w:rPr>
        <w:t>2021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rsidR="002E1C92" w:rsidRPr="00DE169A" w:rsidRDefault="002B29AF" w:rsidP="0024558F">
      <w:pPr>
        <w:pStyle w:val="1"/>
        <w:spacing w:line="578" w:lineRule="exact"/>
        <w:rPr>
          <w:rFonts w:ascii="方正黑体_GBK"/>
        </w:rPr>
      </w:pPr>
      <w:bookmarkStart w:id="7" w:name="_Toc99031607"/>
      <w:r w:rsidRPr="00DE169A">
        <w:rPr>
          <w:rFonts w:ascii="方正黑体_GBK" w:hint="eastAsia"/>
        </w:rPr>
        <w:t>三、绩效评价情况及结论</w:t>
      </w:r>
      <w:bookmarkEnd w:id="7"/>
    </w:p>
    <w:p w:rsidR="002E1C92" w:rsidRPr="00DE169A" w:rsidRDefault="002B29AF" w:rsidP="0024558F">
      <w:pPr>
        <w:spacing w:line="578" w:lineRule="exact"/>
        <w:ind w:firstLineChars="200" w:firstLine="640"/>
        <w:rPr>
          <w:rFonts w:ascii="方正仿宋_GBK" w:eastAsia="方正仿宋_GBK"/>
        </w:rPr>
      </w:pPr>
      <w:r w:rsidRPr="00DE169A">
        <w:rPr>
          <w:rFonts w:ascii="方正仿宋_GBK" w:eastAsia="方正仿宋_GBK" w:cs="方正仿宋_GBK" w:hint="eastAsia"/>
          <w:sz w:val="32"/>
          <w:szCs w:val="32"/>
        </w:rPr>
        <w:t>根据《重庆市璧山区</w:t>
      </w:r>
      <w:r w:rsidRPr="00DE169A">
        <w:rPr>
          <w:rFonts w:ascii="方正仿宋_GBK" w:eastAsia="方正仿宋_GBK" w:hAnsi="方正仿宋_GBK" w:cs="方正仿宋_GBK" w:hint="eastAsia"/>
          <w:sz w:val="32"/>
          <w:szCs w:val="32"/>
        </w:rPr>
        <w:t>城市管理综合行政执法支队</w:t>
      </w:r>
      <w:r w:rsidRPr="00DE169A">
        <w:rPr>
          <w:rFonts w:ascii="方正仿宋_GBK" w:eastAsia="方正仿宋_GBK" w:cs="方正仿宋_GBK" w:hint="eastAsia"/>
          <w:sz w:val="32"/>
          <w:szCs w:val="32"/>
        </w:rPr>
        <w:t>2021年度部门整体支出绩效自评表》中的指标体系分析情况，重庆市璧山区</w:t>
      </w:r>
      <w:r w:rsidRPr="00DE169A">
        <w:rPr>
          <w:rFonts w:ascii="方正仿宋_GBK" w:eastAsia="方正仿宋_GBK" w:hAnsi="方正仿宋_GBK" w:cs="方正仿宋_GBK" w:hint="eastAsia"/>
          <w:sz w:val="32"/>
          <w:szCs w:val="32"/>
        </w:rPr>
        <w:t>城市管理综合行政执法支队</w:t>
      </w:r>
      <w:r w:rsidRPr="00DE169A">
        <w:rPr>
          <w:rFonts w:ascii="方正仿宋_GBK" w:eastAsia="方正仿宋_GBK" w:cs="方正仿宋_GBK" w:hint="eastAsia"/>
          <w:sz w:val="32"/>
          <w:szCs w:val="32"/>
        </w:rPr>
        <w:t>2021年度部门整体支出绩效自评总得分99分，等级为“优”。具体得分情况如表1所示。</w:t>
      </w:r>
    </w:p>
    <w:p w:rsidR="002E1C92" w:rsidRPr="00DE169A" w:rsidRDefault="002B29AF" w:rsidP="00DE169A">
      <w:pPr>
        <w:widowControl/>
        <w:shd w:val="clear" w:color="auto" w:fill="FFFFFF"/>
        <w:adjustRightInd w:val="0"/>
        <w:snapToGrid w:val="0"/>
        <w:spacing w:line="578" w:lineRule="exact"/>
        <w:ind w:firstLineChars="200" w:firstLine="560"/>
        <w:jc w:val="center"/>
        <w:rPr>
          <w:rFonts w:ascii="方正仿宋_GBK" w:eastAsia="方正仿宋_GBK"/>
        </w:rPr>
      </w:pPr>
      <w:r w:rsidRPr="00DE169A">
        <w:rPr>
          <w:rFonts w:ascii="方正仿宋_GBK" w:eastAsia="方正仿宋_GBK" w:hAnsi="方正仿宋_GBK" w:cs="方正仿宋_GBK" w:hint="eastAsia"/>
          <w:kern w:val="0"/>
          <w:sz w:val="28"/>
          <w:szCs w:val="28"/>
          <w:shd w:val="clear" w:color="auto" w:fill="FFFFFF"/>
        </w:rPr>
        <w:t>表 1：指标得分情况</w:t>
      </w:r>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68"/>
        <w:gridCol w:w="1677"/>
        <w:gridCol w:w="1676"/>
        <w:gridCol w:w="1678"/>
      </w:tblGrid>
      <w:tr w:rsidR="002E1C92" w:rsidRPr="00DE169A">
        <w:trPr>
          <w:trHeight w:val="584"/>
          <w:jc w:val="center"/>
        </w:trPr>
        <w:tc>
          <w:tcPr>
            <w:tcW w:w="3268" w:type="dxa"/>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方正仿宋_GBK" w:cs="方正仿宋_GBK" w:hint="eastAsia"/>
                <w:kern w:val="0"/>
                <w:sz w:val="24"/>
                <w:szCs w:val="21"/>
                <w:shd w:val="clear" w:color="auto" w:fill="FFFFFF"/>
              </w:rPr>
              <w:t>指标名称</w:t>
            </w:r>
          </w:p>
        </w:tc>
        <w:tc>
          <w:tcPr>
            <w:tcW w:w="1677" w:type="dxa"/>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方正仿宋_GBK" w:cs="方正仿宋_GBK" w:hint="eastAsia"/>
                <w:kern w:val="0"/>
                <w:sz w:val="24"/>
                <w:szCs w:val="21"/>
                <w:shd w:val="clear" w:color="auto" w:fill="FFFFFF"/>
              </w:rPr>
              <w:t>权重</w:t>
            </w:r>
          </w:p>
        </w:tc>
        <w:tc>
          <w:tcPr>
            <w:tcW w:w="1676" w:type="dxa"/>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方正仿宋_GBK" w:cs="方正仿宋_GBK" w:hint="eastAsia"/>
                <w:kern w:val="0"/>
                <w:sz w:val="24"/>
                <w:szCs w:val="21"/>
                <w:shd w:val="clear" w:color="auto" w:fill="FFFFFF"/>
              </w:rPr>
              <w:t>得分</w:t>
            </w:r>
          </w:p>
        </w:tc>
        <w:tc>
          <w:tcPr>
            <w:tcW w:w="1678" w:type="dxa"/>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方正仿宋_GBK" w:cs="方正仿宋_GBK" w:hint="eastAsia"/>
                <w:kern w:val="0"/>
                <w:sz w:val="24"/>
                <w:szCs w:val="21"/>
                <w:shd w:val="clear" w:color="auto" w:fill="FFFFFF"/>
              </w:rPr>
              <w:t>得分率</w:t>
            </w:r>
          </w:p>
        </w:tc>
      </w:tr>
      <w:tr w:rsidR="002E1C92" w:rsidRPr="00DE169A">
        <w:trPr>
          <w:trHeight w:val="584"/>
          <w:jc w:val="center"/>
        </w:trPr>
        <w:tc>
          <w:tcPr>
            <w:tcW w:w="3268" w:type="dxa"/>
            <w:vAlign w:val="center"/>
          </w:tcPr>
          <w:p w:rsidR="002E1C92" w:rsidRPr="009575C8" w:rsidRDefault="002B29AF" w:rsidP="00DE169A">
            <w:pPr>
              <w:widowControl/>
              <w:spacing w:line="578" w:lineRule="exact"/>
              <w:jc w:val="center"/>
              <w:textAlignment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约谈工地负责人次数</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5</w:t>
            </w:r>
          </w:p>
        </w:tc>
        <w:tc>
          <w:tcPr>
            <w:tcW w:w="1676" w:type="dxa"/>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5</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r w:rsidR="002E1C92" w:rsidRPr="00DE169A">
        <w:trPr>
          <w:trHeight w:val="584"/>
          <w:jc w:val="center"/>
        </w:trPr>
        <w:tc>
          <w:tcPr>
            <w:tcW w:w="3268" w:type="dxa"/>
            <w:tcBorders>
              <w:bottom w:val="single" w:sz="4" w:space="0" w:color="auto"/>
            </w:tcBorders>
            <w:vAlign w:val="center"/>
          </w:tcPr>
          <w:p w:rsidR="002E1C92" w:rsidRPr="009575C8" w:rsidRDefault="002B29AF" w:rsidP="00DE169A">
            <w:pPr>
              <w:widowControl/>
              <w:spacing w:line="578" w:lineRule="exact"/>
              <w:jc w:val="center"/>
              <w:textAlignment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累计完成停车位施划</w:t>
            </w:r>
          </w:p>
        </w:tc>
        <w:tc>
          <w:tcPr>
            <w:tcW w:w="1677"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5</w:t>
            </w:r>
          </w:p>
        </w:tc>
        <w:tc>
          <w:tcPr>
            <w:tcW w:w="1676" w:type="dxa"/>
            <w:tcBorders>
              <w:bottom w:val="single" w:sz="4" w:space="0" w:color="auto"/>
            </w:tcBorders>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5</w:t>
            </w:r>
          </w:p>
        </w:tc>
        <w:tc>
          <w:tcPr>
            <w:tcW w:w="1678"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r w:rsidR="002E1C92" w:rsidRPr="00DE169A">
        <w:trPr>
          <w:trHeight w:val="584"/>
          <w:jc w:val="center"/>
        </w:trPr>
        <w:tc>
          <w:tcPr>
            <w:tcW w:w="3268" w:type="dxa"/>
            <w:tcBorders>
              <w:top w:val="single" w:sz="4" w:space="0" w:color="auto"/>
              <w:left w:val="single" w:sz="4" w:space="0" w:color="auto"/>
              <w:bottom w:val="single" w:sz="4" w:space="0" w:color="auto"/>
              <w:right w:val="single" w:sz="4" w:space="0" w:color="auto"/>
            </w:tcBorders>
            <w:vAlign w:val="center"/>
          </w:tcPr>
          <w:p w:rsidR="002E1C92" w:rsidRPr="009575C8" w:rsidRDefault="002B29AF" w:rsidP="00DE169A">
            <w:pPr>
              <w:widowControl/>
              <w:spacing w:line="578" w:lineRule="exact"/>
              <w:jc w:val="center"/>
              <w:textAlignment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lastRenderedPageBreak/>
              <w:t>每月重点整治任务</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5</w:t>
            </w:r>
          </w:p>
        </w:tc>
        <w:tc>
          <w:tcPr>
            <w:tcW w:w="1676" w:type="dxa"/>
            <w:tcBorders>
              <w:top w:val="single" w:sz="4" w:space="0" w:color="auto"/>
              <w:bottom w:val="single" w:sz="4" w:space="0" w:color="auto"/>
              <w:right w:val="single" w:sz="4" w:space="0" w:color="auto"/>
            </w:tcBorders>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5</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r w:rsidR="002E1C92" w:rsidRPr="00DE169A">
        <w:trPr>
          <w:trHeight w:val="584"/>
          <w:jc w:val="center"/>
        </w:trPr>
        <w:tc>
          <w:tcPr>
            <w:tcW w:w="3268" w:type="dxa"/>
            <w:tcBorders>
              <w:top w:val="single" w:sz="4" w:space="0" w:color="auto"/>
            </w:tcBorders>
            <w:vAlign w:val="center"/>
          </w:tcPr>
          <w:p w:rsidR="002E1C92" w:rsidRPr="009575C8" w:rsidRDefault="002B29AF" w:rsidP="00DE169A">
            <w:pPr>
              <w:widowControl/>
              <w:spacing w:line="578" w:lineRule="exact"/>
              <w:jc w:val="center"/>
              <w:textAlignment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清理卫星图斑问题数量</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5</w:t>
            </w:r>
          </w:p>
        </w:tc>
        <w:tc>
          <w:tcPr>
            <w:tcW w:w="1676" w:type="dxa"/>
            <w:tcBorders>
              <w:top w:val="single" w:sz="4" w:space="0" w:color="auto"/>
            </w:tcBorders>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5</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r w:rsidR="002E1C92" w:rsidRPr="00DE169A">
        <w:trPr>
          <w:trHeight w:val="595"/>
          <w:jc w:val="center"/>
        </w:trPr>
        <w:tc>
          <w:tcPr>
            <w:tcW w:w="3268" w:type="dxa"/>
            <w:vAlign w:val="center"/>
          </w:tcPr>
          <w:p w:rsidR="002E1C92" w:rsidRPr="009575C8" w:rsidRDefault="002B29AF" w:rsidP="00DE169A">
            <w:pPr>
              <w:widowControl/>
              <w:spacing w:line="578" w:lineRule="exact"/>
              <w:jc w:val="center"/>
              <w:textAlignment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全年累计出动执法人员人次</w:t>
            </w:r>
          </w:p>
        </w:tc>
        <w:tc>
          <w:tcPr>
            <w:tcW w:w="1677"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10</w:t>
            </w:r>
          </w:p>
        </w:tc>
        <w:tc>
          <w:tcPr>
            <w:tcW w:w="1676" w:type="dxa"/>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10</w:t>
            </w:r>
          </w:p>
        </w:tc>
        <w:tc>
          <w:tcPr>
            <w:tcW w:w="1678"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r w:rsidR="002E1C92" w:rsidRPr="00DE169A">
        <w:trPr>
          <w:trHeight w:val="595"/>
          <w:jc w:val="center"/>
        </w:trPr>
        <w:tc>
          <w:tcPr>
            <w:tcW w:w="3268" w:type="dxa"/>
            <w:vAlign w:val="center"/>
          </w:tcPr>
          <w:p w:rsidR="002E1C92" w:rsidRPr="009575C8" w:rsidRDefault="002B29AF" w:rsidP="00DE169A">
            <w:pPr>
              <w:widowControl/>
              <w:spacing w:line="578" w:lineRule="exact"/>
              <w:jc w:val="center"/>
              <w:textAlignment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执法办案效率提升率</w:t>
            </w:r>
          </w:p>
        </w:tc>
        <w:tc>
          <w:tcPr>
            <w:tcW w:w="1677"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15</w:t>
            </w:r>
          </w:p>
        </w:tc>
        <w:tc>
          <w:tcPr>
            <w:tcW w:w="1676" w:type="dxa"/>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14</w:t>
            </w:r>
          </w:p>
        </w:tc>
        <w:tc>
          <w:tcPr>
            <w:tcW w:w="1678"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90%</w:t>
            </w:r>
          </w:p>
        </w:tc>
      </w:tr>
      <w:tr w:rsidR="002E1C92" w:rsidRPr="00DE169A">
        <w:trPr>
          <w:trHeight w:val="595"/>
          <w:jc w:val="center"/>
        </w:trPr>
        <w:tc>
          <w:tcPr>
            <w:tcW w:w="3268" w:type="dxa"/>
            <w:tcBorders>
              <w:bottom w:val="single" w:sz="4" w:space="0" w:color="auto"/>
            </w:tcBorders>
            <w:vAlign w:val="center"/>
          </w:tcPr>
          <w:p w:rsidR="002E1C92" w:rsidRPr="009575C8" w:rsidRDefault="002B29AF" w:rsidP="00DE169A">
            <w:pPr>
              <w:widowControl/>
              <w:spacing w:line="578" w:lineRule="exact"/>
              <w:jc w:val="center"/>
              <w:textAlignment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全年落实率</w:t>
            </w:r>
          </w:p>
        </w:tc>
        <w:tc>
          <w:tcPr>
            <w:tcW w:w="1677"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15</w:t>
            </w:r>
          </w:p>
        </w:tc>
        <w:tc>
          <w:tcPr>
            <w:tcW w:w="1676" w:type="dxa"/>
            <w:tcBorders>
              <w:bottom w:val="single" w:sz="4" w:space="0" w:color="auto"/>
            </w:tcBorders>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15</w:t>
            </w:r>
          </w:p>
        </w:tc>
        <w:tc>
          <w:tcPr>
            <w:tcW w:w="1678"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r w:rsidR="002E1C92" w:rsidRPr="00DE169A">
        <w:trPr>
          <w:trHeight w:val="595"/>
          <w:jc w:val="center"/>
        </w:trPr>
        <w:tc>
          <w:tcPr>
            <w:tcW w:w="3268" w:type="dxa"/>
            <w:tcBorders>
              <w:top w:val="single" w:sz="4" w:space="0" w:color="auto"/>
              <w:left w:val="single" w:sz="4" w:space="0" w:color="auto"/>
              <w:bottom w:val="single" w:sz="4" w:space="0" w:color="auto"/>
              <w:right w:val="single" w:sz="4" w:space="0" w:color="auto"/>
            </w:tcBorders>
            <w:vAlign w:val="center"/>
          </w:tcPr>
          <w:p w:rsidR="002E1C92" w:rsidRPr="009575C8" w:rsidRDefault="002B29AF" w:rsidP="00DE169A">
            <w:pPr>
              <w:widowControl/>
              <w:spacing w:line="578" w:lineRule="exact"/>
              <w:jc w:val="center"/>
              <w:textAlignment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城市市容市貌</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15</w:t>
            </w:r>
          </w:p>
        </w:tc>
        <w:tc>
          <w:tcPr>
            <w:tcW w:w="1676" w:type="dxa"/>
            <w:tcBorders>
              <w:top w:val="single" w:sz="4" w:space="0" w:color="auto"/>
              <w:left w:val="single" w:sz="4" w:space="0" w:color="auto"/>
              <w:bottom w:val="single" w:sz="4" w:space="0" w:color="auto"/>
              <w:right w:val="single" w:sz="4" w:space="0" w:color="auto"/>
            </w:tcBorders>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15</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r w:rsidR="002E1C92" w:rsidRPr="00DE169A">
        <w:trPr>
          <w:trHeight w:val="595"/>
          <w:jc w:val="center"/>
        </w:trPr>
        <w:tc>
          <w:tcPr>
            <w:tcW w:w="3268" w:type="dxa"/>
            <w:tcBorders>
              <w:top w:val="single" w:sz="4" w:space="0" w:color="auto"/>
            </w:tcBorders>
            <w:vAlign w:val="center"/>
          </w:tcPr>
          <w:p w:rsidR="002E1C92" w:rsidRPr="009575C8" w:rsidRDefault="002B29AF" w:rsidP="00DE169A">
            <w:pPr>
              <w:widowControl/>
              <w:spacing w:line="578" w:lineRule="exact"/>
              <w:jc w:val="center"/>
              <w:textAlignment w:val="center"/>
              <w:rPr>
                <w:rFonts w:ascii="方正仿宋_GBK" w:eastAsia="方正仿宋_GBK" w:hAnsi="仿宋" w:cs="仿宋"/>
                <w:color w:val="000000"/>
                <w:kern w:val="0"/>
                <w:sz w:val="24"/>
                <w:szCs w:val="21"/>
              </w:rPr>
            </w:pPr>
            <w:r w:rsidRPr="009575C8">
              <w:rPr>
                <w:rFonts w:ascii="方正仿宋_GBK" w:eastAsia="方正仿宋_GBK" w:hint="eastAsia"/>
                <w:sz w:val="24"/>
                <w:szCs w:val="21"/>
              </w:rPr>
              <w:t>维护社会稳定</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15</w:t>
            </w:r>
          </w:p>
        </w:tc>
        <w:tc>
          <w:tcPr>
            <w:tcW w:w="1676" w:type="dxa"/>
            <w:tcBorders>
              <w:top w:val="single" w:sz="4" w:space="0" w:color="auto"/>
            </w:tcBorders>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15</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r w:rsidR="002E1C92" w:rsidRPr="00DE169A">
        <w:trPr>
          <w:trHeight w:val="595"/>
          <w:jc w:val="center"/>
        </w:trPr>
        <w:tc>
          <w:tcPr>
            <w:tcW w:w="3268" w:type="dxa"/>
            <w:vAlign w:val="center"/>
          </w:tcPr>
          <w:p w:rsidR="002E1C92" w:rsidRPr="009575C8" w:rsidRDefault="002B29AF" w:rsidP="00DE169A">
            <w:pPr>
              <w:widowControl/>
              <w:spacing w:line="578" w:lineRule="exact"/>
              <w:jc w:val="center"/>
              <w:textAlignment w:val="center"/>
              <w:rPr>
                <w:rFonts w:ascii="方正仿宋_GBK" w:eastAsia="方正仿宋_GBK" w:hAnsi="仿宋" w:cs="仿宋"/>
                <w:color w:val="000000"/>
                <w:kern w:val="0"/>
                <w:sz w:val="24"/>
                <w:szCs w:val="21"/>
              </w:rPr>
            </w:pPr>
            <w:r w:rsidRPr="009575C8">
              <w:rPr>
                <w:rFonts w:ascii="方正仿宋_GBK" w:eastAsia="方正仿宋_GBK" w:hint="eastAsia"/>
                <w:sz w:val="24"/>
                <w:szCs w:val="21"/>
              </w:rPr>
              <w:t>群众对于执法满意度</w:t>
            </w:r>
          </w:p>
        </w:tc>
        <w:tc>
          <w:tcPr>
            <w:tcW w:w="1677"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color w:val="000000"/>
                <w:sz w:val="24"/>
                <w:szCs w:val="21"/>
              </w:rPr>
              <w:t>10</w:t>
            </w:r>
          </w:p>
        </w:tc>
        <w:tc>
          <w:tcPr>
            <w:tcW w:w="1676" w:type="dxa"/>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int="eastAsia"/>
                <w:sz w:val="24"/>
                <w:szCs w:val="21"/>
              </w:rPr>
              <w:t>10</w:t>
            </w:r>
          </w:p>
        </w:tc>
        <w:tc>
          <w:tcPr>
            <w:tcW w:w="1678" w:type="dxa"/>
            <w:tcBorders>
              <w:top w:val="nil"/>
              <w:left w:val="single" w:sz="4" w:space="0" w:color="auto"/>
              <w:bottom w:val="single" w:sz="4" w:space="0" w:color="auto"/>
              <w:right w:val="single" w:sz="4" w:space="0" w:color="auto"/>
            </w:tcBorders>
            <w:shd w:val="clear" w:color="auto" w:fill="auto"/>
            <w:vAlign w:val="center"/>
          </w:tcPr>
          <w:p w:rsidR="002E1C92" w:rsidRPr="009575C8" w:rsidRDefault="002B29AF" w:rsidP="00DE169A">
            <w:pPr>
              <w:widowControl/>
              <w:shd w:val="clear" w:color="auto" w:fill="FFFFFF"/>
              <w:adjustRightInd w:val="0"/>
              <w:snapToGrid w:val="0"/>
              <w:spacing w:line="578" w:lineRule="exact"/>
              <w:jc w:val="center"/>
              <w:rPr>
                <w:rFonts w:ascii="方正仿宋_GBK" w:eastAsia="方正仿宋_GBK" w:hAnsi="方正仿宋_GBK" w:cs="方正仿宋_GBK"/>
                <w:kern w:val="0"/>
                <w:sz w:val="24"/>
                <w:szCs w:val="21"/>
                <w:shd w:val="clear" w:color="auto" w:fill="FFFFFF"/>
              </w:rPr>
            </w:pPr>
            <w:r w:rsidRPr="009575C8">
              <w:rPr>
                <w:rFonts w:ascii="方正仿宋_GBK" w:eastAsia="方正仿宋_GBK" w:hAnsi="仿宋" w:hint="eastAsia"/>
                <w:sz w:val="24"/>
                <w:szCs w:val="21"/>
              </w:rPr>
              <w:t>100%</w:t>
            </w:r>
          </w:p>
        </w:tc>
      </w:tr>
    </w:tbl>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约谈工地负责人次数</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rPr>
      </w:pPr>
      <w:r w:rsidRPr="00DE169A">
        <w:rPr>
          <w:rFonts w:ascii="方正仿宋_GBK" w:eastAsia="方正仿宋_GBK" w:hint="eastAsia"/>
          <w:sz w:val="32"/>
          <w:szCs w:val="32"/>
        </w:rPr>
        <w:t>为了全力配合整治渣土运输秩序，从源头控制，约谈工地负责人，先后10余次组织对50余家工地负责人进行约谈，宣传有关政策，对工地提出相关要求，并做出整改承诺。根据</w:t>
      </w:r>
      <w:r w:rsidRPr="00DE169A">
        <w:rPr>
          <w:rFonts w:ascii="方正仿宋_GBK" w:eastAsia="方正仿宋_GBK" w:hAnsi="方正仿宋_GBK" w:cs="方正仿宋_GBK" w:hint="eastAsia"/>
          <w:kern w:val="0"/>
          <w:sz w:val="32"/>
          <w:szCs w:val="32"/>
          <w:shd w:val="clear" w:color="auto" w:fill="FFFFFF"/>
        </w:rPr>
        <w:t>评价标准，该指标得100%权重分。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累计完成停车位施划</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sz w:val="32"/>
          <w:szCs w:val="32"/>
        </w:rPr>
      </w:pPr>
      <w:r w:rsidRPr="00DE169A">
        <w:rPr>
          <w:rFonts w:ascii="方正仿宋_GBK" w:eastAsia="方正仿宋_GBK" w:hint="eastAsia"/>
          <w:sz w:val="32"/>
          <w:szCs w:val="32"/>
        </w:rPr>
        <w:t>为了整治停车秩序，完善了人行道设施，合理增设了停车位，在城区合理区域施划人行道非机动车停车位方便市民停车，累计完成停车位施划4217.47平方米。根据评价标准，该指标得100%权重分。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每月重点整治任务</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sz w:val="32"/>
          <w:szCs w:val="32"/>
        </w:rPr>
      </w:pPr>
      <w:r w:rsidRPr="00DE169A">
        <w:rPr>
          <w:rFonts w:ascii="方正仿宋_GBK" w:eastAsia="方正仿宋_GBK" w:hint="eastAsia"/>
          <w:sz w:val="32"/>
          <w:szCs w:val="32"/>
        </w:rPr>
        <w:t>为了持续开展市容秩序整治，进一步完善内部督导问责制度，每月明确10处重点整治任务，月末对完成情况进行考评，对未</w:t>
      </w:r>
      <w:r w:rsidRPr="00DE169A">
        <w:rPr>
          <w:rFonts w:ascii="方正仿宋_GBK" w:eastAsia="方正仿宋_GBK" w:hint="eastAsia"/>
          <w:sz w:val="32"/>
          <w:szCs w:val="32"/>
        </w:rPr>
        <w:lastRenderedPageBreak/>
        <w:t>完成的相关责任人进行问责和整改，促进工作落实。根据评价标准，该指标得100%权重分。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清理卫星图斑问题数量</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sz w:val="32"/>
          <w:szCs w:val="32"/>
        </w:rPr>
      </w:pPr>
      <w:r w:rsidRPr="00DE169A">
        <w:rPr>
          <w:rFonts w:ascii="方正仿宋_GBK" w:eastAsia="方正仿宋_GBK" w:hint="eastAsia"/>
          <w:sz w:val="32"/>
          <w:szCs w:val="32"/>
        </w:rPr>
        <w:t>为了持续开展违法建筑整治，卫星图斑问题进行了清理，一共清理了14件，其中有合法手续7件，立案查处7件。根据评价标准，该指标得100%权重分。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全年累计出动执法人员人次</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sz w:val="32"/>
          <w:szCs w:val="32"/>
        </w:rPr>
      </w:pPr>
      <w:r w:rsidRPr="00DE169A">
        <w:rPr>
          <w:rFonts w:ascii="方正仿宋_GBK" w:eastAsia="方正仿宋_GBK" w:hint="eastAsia"/>
          <w:sz w:val="32"/>
          <w:szCs w:val="32"/>
        </w:rPr>
        <w:t>为了更好的维护城区的渣土运输秩序、停车秩序、市容秩序等，璧山区城市管理综合行政执法支队全年累计出动执法人员76415人次</w:t>
      </w:r>
      <w:r w:rsidR="00F832D3" w:rsidRPr="00DE169A">
        <w:rPr>
          <w:rFonts w:ascii="方正仿宋_GBK" w:eastAsia="方正仿宋_GBK" w:hint="eastAsia"/>
          <w:sz w:val="32"/>
          <w:szCs w:val="32"/>
        </w:rPr>
        <w:t>,</w:t>
      </w:r>
      <w:r w:rsidRPr="00DE169A">
        <w:rPr>
          <w:rFonts w:ascii="方正仿宋_GBK" w:eastAsia="方正仿宋_GBK" w:hint="eastAsia"/>
          <w:sz w:val="32"/>
          <w:szCs w:val="32"/>
        </w:rPr>
        <w:t>根据评价标准，该指标得100%权重分。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执法办案效率提升率</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rPr>
      </w:pPr>
      <w:r w:rsidRPr="00DE169A">
        <w:rPr>
          <w:rFonts w:ascii="方正仿宋_GBK" w:eastAsia="方正仿宋_GBK" w:hAnsi="方正仿宋_GBK" w:cs="方正仿宋_GBK" w:hint="eastAsia"/>
          <w:kern w:val="0"/>
          <w:sz w:val="32"/>
          <w:szCs w:val="32"/>
          <w:shd w:val="clear" w:color="auto" w:fill="FFFFFF"/>
        </w:rPr>
        <w:t>通过对执法人员经费的落实、执法环境改善、执法设备的更新等项目的实施，使璧山区城管执法支队执法办案效率有所提升，但未达到预期值15%。根据评价标准，该指标得90%权重分。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全年落实率</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rPr>
      </w:pPr>
      <w:r w:rsidRPr="00DE169A">
        <w:rPr>
          <w:rFonts w:ascii="方正仿宋_GBK" w:eastAsia="方正仿宋_GBK" w:hint="eastAsia"/>
          <w:sz w:val="32"/>
          <w:szCs w:val="32"/>
        </w:rPr>
        <w:t>重庆市璧山区城市管理综合行政执法支队</w:t>
      </w:r>
      <w:r w:rsidRPr="00DE169A">
        <w:rPr>
          <w:rFonts w:ascii="方正仿宋_GBK" w:eastAsia="方正仿宋_GBK" w:hAnsi="方正仿宋_GBK" w:cs="方正仿宋_GBK" w:hint="eastAsia"/>
          <w:kern w:val="0"/>
          <w:sz w:val="32"/>
          <w:szCs w:val="32"/>
          <w:shd w:val="clear" w:color="auto" w:fill="FFFFFF"/>
        </w:rPr>
        <w:t>全年一共有9个项目，每一个项目的自评分数都在90分以上，项目评价等级都为“优”。根据评价标准，该指标得100%权重分。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城市市容市貌</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rPr>
      </w:pPr>
      <w:r w:rsidRPr="00DE169A">
        <w:rPr>
          <w:rFonts w:ascii="方正仿宋_GBK" w:eastAsia="方正仿宋_GBK" w:hAnsi="方正仿宋_GBK" w:cs="方正仿宋_GBK" w:hint="eastAsia"/>
          <w:kern w:val="0"/>
          <w:sz w:val="32"/>
          <w:szCs w:val="32"/>
          <w:shd w:val="clear" w:color="auto" w:fill="FFFFFF"/>
        </w:rPr>
        <w:t>通过加强城管执法能力，完善执法设备，加强对群众的法律宣传，整治城区环境，提升城市市容市貌质量。根据评价标准，该指标得100%权重分。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lastRenderedPageBreak/>
        <w:t>维护社会稳定</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rPr>
      </w:pPr>
      <w:r w:rsidRPr="00DE169A">
        <w:rPr>
          <w:rFonts w:ascii="方正仿宋_GBK" w:eastAsia="方正仿宋_GBK" w:hint="eastAsia"/>
          <w:sz w:val="32"/>
          <w:szCs w:val="32"/>
        </w:rPr>
        <w:t>重庆市璧山区城市管理综合行政执法支队对内保障执法人员经费、改善执法环境、提高执法设备质量；对外做执法宣传，提高市民法律意识，维护社会的稳定。</w:t>
      </w:r>
      <w:r w:rsidRPr="00DE169A">
        <w:rPr>
          <w:rFonts w:ascii="方正仿宋_GBK" w:eastAsia="方正仿宋_GBK" w:hAnsi="方正仿宋_GBK" w:cs="方正仿宋_GBK" w:hint="eastAsia"/>
          <w:kern w:val="0"/>
          <w:sz w:val="32"/>
          <w:szCs w:val="32"/>
          <w:shd w:val="clear" w:color="auto" w:fill="FFFFFF"/>
        </w:rPr>
        <w:t>根据评价标准，该指标得100%权重分。</w:t>
      </w:r>
    </w:p>
    <w:p w:rsidR="002E1C92" w:rsidRPr="00DE169A" w:rsidRDefault="002B29AF" w:rsidP="00DE169A">
      <w:pPr>
        <w:widowControl/>
        <w:numPr>
          <w:ilvl w:val="0"/>
          <w:numId w:val="1"/>
        </w:numPr>
        <w:shd w:val="clear" w:color="auto" w:fill="FFFFFF"/>
        <w:adjustRightInd w:val="0"/>
        <w:snapToGrid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rPr>
        <w:t>群众对于执法满意度</w:t>
      </w:r>
      <w:r w:rsidRPr="00DE169A">
        <w:rPr>
          <w:rFonts w:ascii="方正仿宋_GBK" w:eastAsia="方正仿宋_GBK" w:hAnsi="方正仿宋_GBK" w:cs="方正仿宋_GBK" w:hint="eastAsia"/>
          <w:kern w:val="0"/>
          <w:sz w:val="32"/>
          <w:szCs w:val="32"/>
          <w:shd w:val="clear" w:color="auto" w:fill="FFFFFF"/>
        </w:rPr>
        <w:t>分析</w:t>
      </w:r>
    </w:p>
    <w:p w:rsidR="002E1C92" w:rsidRPr="00DE169A" w:rsidRDefault="002B29AF" w:rsidP="00DE169A">
      <w:pPr>
        <w:widowControl/>
        <w:shd w:val="clear" w:color="auto" w:fill="FFFFFF"/>
        <w:adjustRightInd w:val="0"/>
        <w:snapToGrid w:val="0"/>
        <w:spacing w:line="578" w:lineRule="exact"/>
        <w:ind w:firstLineChars="200" w:firstLine="640"/>
        <w:rPr>
          <w:rFonts w:ascii="方正仿宋_GBK" w:eastAsia="方正仿宋_GBK"/>
        </w:rPr>
      </w:pPr>
      <w:r w:rsidRPr="00DE169A">
        <w:rPr>
          <w:rFonts w:ascii="方正仿宋_GBK" w:eastAsia="方正仿宋_GBK" w:hint="eastAsia"/>
          <w:sz w:val="32"/>
          <w:szCs w:val="32"/>
        </w:rPr>
        <w:t>通过对区域内群众对于执法情况满意度调查，发现问题，解决问题，改善执法质量，提高群众居住幸福度。对区域内的群众满意度调查为98%，高于预期值90%。</w:t>
      </w:r>
      <w:r w:rsidRPr="00DE169A">
        <w:rPr>
          <w:rFonts w:ascii="方正仿宋_GBK" w:eastAsia="方正仿宋_GBK" w:hAnsi="方正仿宋_GBK" w:cs="方正仿宋_GBK" w:hint="eastAsia"/>
          <w:kern w:val="0"/>
          <w:sz w:val="32"/>
          <w:szCs w:val="32"/>
          <w:shd w:val="clear" w:color="auto" w:fill="FFFFFF"/>
        </w:rPr>
        <w:t>根据评价标准，该指标得100%权重分。</w:t>
      </w:r>
    </w:p>
    <w:p w:rsidR="002E1C92" w:rsidRPr="00DE169A" w:rsidRDefault="002B29AF" w:rsidP="00DE169A">
      <w:pPr>
        <w:pStyle w:val="1"/>
        <w:spacing w:line="578" w:lineRule="exact"/>
        <w:rPr>
          <w:rFonts w:ascii="方正黑体_GBK"/>
        </w:rPr>
      </w:pPr>
      <w:bookmarkStart w:id="8" w:name="_Toc99031608"/>
      <w:r w:rsidRPr="00DE169A">
        <w:rPr>
          <w:rFonts w:ascii="方正黑体_GBK" w:hint="eastAsia"/>
        </w:rPr>
        <w:t>四、主要经验及做法</w:t>
      </w:r>
      <w:bookmarkEnd w:id="8"/>
    </w:p>
    <w:p w:rsidR="002E1C92" w:rsidRPr="00DE169A" w:rsidRDefault="002B29AF" w:rsidP="00DE169A">
      <w:pPr>
        <w:pStyle w:val="a5"/>
        <w:widowControl/>
        <w:shd w:val="clear" w:color="auto" w:fill="FFFFFF"/>
        <w:spacing w:beforeAutospacing="0" w:afterAutospacing="0" w:line="578" w:lineRule="exact"/>
        <w:ind w:leftChars="304" w:left="638"/>
        <w:jc w:val="both"/>
        <w:rPr>
          <w:rFonts w:ascii="方正仿宋_GBK" w:eastAsia="方正仿宋_GBK" w:hAnsi="仿宋" w:cs="仿宋"/>
          <w:bCs/>
          <w:kern w:val="2"/>
          <w:sz w:val="32"/>
          <w:szCs w:val="32"/>
        </w:rPr>
      </w:pPr>
      <w:r w:rsidRPr="00DE169A">
        <w:rPr>
          <w:rFonts w:ascii="方正仿宋_GBK" w:eastAsia="方正仿宋_GBK" w:hAnsi="仿宋" w:cs="仿宋" w:hint="eastAsia"/>
          <w:bCs/>
          <w:kern w:val="2"/>
          <w:sz w:val="32"/>
          <w:szCs w:val="32"/>
        </w:rPr>
        <w:t>1、制定项目绩效管理制度明确项目绩效目标编制及审批</w:t>
      </w:r>
    </w:p>
    <w:p w:rsidR="002E1C92" w:rsidRPr="00DE169A" w:rsidRDefault="002B29AF" w:rsidP="00DE169A">
      <w:pPr>
        <w:pStyle w:val="a5"/>
        <w:widowControl/>
        <w:shd w:val="clear" w:color="auto" w:fill="FFFFFF"/>
        <w:spacing w:beforeAutospacing="0" w:afterAutospacing="0" w:line="578" w:lineRule="exact"/>
        <w:jc w:val="both"/>
        <w:rPr>
          <w:rFonts w:ascii="方正仿宋_GBK" w:eastAsia="方正仿宋_GBK" w:hAnsi="仿宋" w:cs="仿宋"/>
          <w:bCs/>
          <w:kern w:val="2"/>
          <w:sz w:val="32"/>
          <w:szCs w:val="32"/>
        </w:rPr>
      </w:pPr>
      <w:r w:rsidRPr="00DE169A">
        <w:rPr>
          <w:rFonts w:ascii="方正仿宋_GBK" w:eastAsia="方正仿宋_GBK" w:hAnsi="仿宋" w:cs="仿宋" w:hint="eastAsia"/>
          <w:bCs/>
          <w:kern w:val="2"/>
          <w:sz w:val="32"/>
          <w:szCs w:val="32"/>
        </w:rPr>
        <w:t>流程，规范绩效指标设置。</w:t>
      </w:r>
    </w:p>
    <w:p w:rsidR="002E1C92" w:rsidRPr="00DE169A" w:rsidRDefault="002B29AF" w:rsidP="00DE169A">
      <w:pPr>
        <w:pStyle w:val="a5"/>
        <w:widowControl/>
        <w:shd w:val="clear" w:color="auto" w:fill="FFFFFF"/>
        <w:spacing w:beforeAutospacing="0" w:afterAutospacing="0" w:line="578" w:lineRule="exact"/>
        <w:ind w:firstLineChars="200" w:firstLine="640"/>
        <w:jc w:val="both"/>
        <w:rPr>
          <w:rFonts w:ascii="方正仿宋_GBK" w:eastAsia="方正仿宋_GBK" w:hAnsi="仿宋" w:cs="仿宋"/>
          <w:bCs/>
          <w:kern w:val="2"/>
          <w:sz w:val="32"/>
          <w:szCs w:val="32"/>
        </w:rPr>
      </w:pPr>
      <w:r w:rsidRPr="00DE169A">
        <w:rPr>
          <w:rFonts w:ascii="方正仿宋_GBK" w:eastAsia="方正仿宋_GBK" w:hAnsi="仿宋" w:cs="仿宋" w:hint="eastAsia"/>
          <w:bCs/>
          <w:kern w:val="2"/>
          <w:sz w:val="32"/>
          <w:szCs w:val="32"/>
        </w:rPr>
        <w:t>2、强化预算绩效双监控，从项目期中已实现的产出成果</w:t>
      </w:r>
    </w:p>
    <w:p w:rsidR="002E1C92" w:rsidRPr="00DE169A" w:rsidRDefault="002B29AF" w:rsidP="00DE169A">
      <w:pPr>
        <w:pStyle w:val="a5"/>
        <w:widowControl/>
        <w:shd w:val="clear" w:color="auto" w:fill="FFFFFF"/>
        <w:spacing w:beforeAutospacing="0" w:afterAutospacing="0" w:line="578" w:lineRule="exact"/>
        <w:jc w:val="both"/>
        <w:rPr>
          <w:rFonts w:ascii="方正仿宋_GBK" w:eastAsia="方正仿宋_GBK" w:hAnsi="仿宋" w:cs="仿宋"/>
          <w:bCs/>
          <w:kern w:val="2"/>
          <w:sz w:val="32"/>
          <w:szCs w:val="32"/>
        </w:rPr>
      </w:pPr>
      <w:r w:rsidRPr="00DE169A">
        <w:rPr>
          <w:rFonts w:ascii="方正仿宋_GBK" w:eastAsia="方正仿宋_GBK" w:hAnsi="仿宋" w:cs="仿宋" w:hint="eastAsia"/>
          <w:bCs/>
          <w:kern w:val="2"/>
          <w:sz w:val="32"/>
          <w:szCs w:val="32"/>
        </w:rPr>
        <w:t>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rsidR="002E1C92" w:rsidRPr="00DE169A" w:rsidRDefault="002B29AF" w:rsidP="00DE169A">
      <w:pPr>
        <w:adjustRightInd w:val="0"/>
        <w:snapToGrid w:val="0"/>
        <w:spacing w:line="578" w:lineRule="exact"/>
        <w:ind w:firstLineChars="200" w:firstLine="640"/>
        <w:rPr>
          <w:rFonts w:ascii="方正仿宋_GBK" w:eastAsia="方正仿宋_GBK" w:hAnsi="仿宋_GB2312" w:cs="仿宋_GB2312"/>
          <w:sz w:val="32"/>
        </w:rPr>
      </w:pPr>
      <w:r w:rsidRPr="00DE169A">
        <w:rPr>
          <w:rFonts w:ascii="方正仿宋_GBK" w:eastAsia="方正仿宋_GBK" w:hAnsi="仿宋" w:cs="仿宋" w:hint="eastAsia"/>
          <w:bCs/>
          <w:sz w:val="32"/>
          <w:szCs w:val="32"/>
        </w:rPr>
        <w:t>3、</w:t>
      </w:r>
      <w:r w:rsidRPr="00DE169A">
        <w:rPr>
          <w:rFonts w:ascii="方正仿宋_GBK" w:eastAsia="方正仿宋_GBK" w:hAnsi="方正仿宋_GBK" w:cs="方正仿宋_GBK" w:hint="eastAsia"/>
          <w:kern w:val="0"/>
          <w:sz w:val="32"/>
          <w:szCs w:val="32"/>
          <w:shd w:val="clear" w:color="auto" w:fill="FFFFFF"/>
        </w:rPr>
        <w:t>通过对执法人员经费的落实、执法环境改善、执法设备的更新等，提高人员的执法能力，</w:t>
      </w:r>
      <w:r w:rsidRPr="00DE169A">
        <w:rPr>
          <w:rFonts w:ascii="方正仿宋_GBK" w:eastAsia="方正仿宋_GBK" w:hint="eastAsia"/>
          <w:sz w:val="32"/>
          <w:szCs w:val="32"/>
        </w:rPr>
        <w:t>管理好璧山城区的市容市貌，承担起市政公用、市容环卫、园林绿化、风景名胜、环境保护管</w:t>
      </w:r>
      <w:r w:rsidRPr="00DE169A">
        <w:rPr>
          <w:rFonts w:ascii="方正仿宋_GBK" w:eastAsia="方正仿宋_GBK" w:hint="eastAsia"/>
          <w:sz w:val="32"/>
          <w:szCs w:val="32"/>
        </w:rPr>
        <w:lastRenderedPageBreak/>
        <w:t>理方面的露天烧烤、焚烧、违规设置户外广告、侵占城市道路、向城市河道倾倒垃圾、违规搭建、违法占绿等责任；依靠城市执法培训宣传、广告管护等大力宣传法律知识，提高市民法律意识，共同维护城市市容市貌。</w:t>
      </w:r>
    </w:p>
    <w:p w:rsidR="002E1C92" w:rsidRPr="00DE169A" w:rsidRDefault="002B29AF" w:rsidP="00DE169A">
      <w:pPr>
        <w:pStyle w:val="1"/>
        <w:spacing w:line="578" w:lineRule="exact"/>
        <w:rPr>
          <w:rFonts w:ascii="方正黑体_GBK"/>
        </w:rPr>
      </w:pPr>
      <w:bookmarkStart w:id="9" w:name="_Toc99031609"/>
      <w:r w:rsidRPr="00DE169A">
        <w:rPr>
          <w:rFonts w:ascii="方正黑体_GBK" w:hint="eastAsia"/>
        </w:rPr>
        <w:t>五、存在的问题和建议</w:t>
      </w:r>
      <w:bookmarkEnd w:id="9"/>
    </w:p>
    <w:p w:rsidR="002E1C92" w:rsidRPr="00DE169A" w:rsidRDefault="002B29AF" w:rsidP="00DE169A">
      <w:pPr>
        <w:pStyle w:val="2"/>
        <w:spacing w:line="578" w:lineRule="exact"/>
        <w:rPr>
          <w:rFonts w:ascii="方正仿宋_GBK"/>
        </w:rPr>
      </w:pPr>
      <w:bookmarkStart w:id="10" w:name="_Toc17714"/>
      <w:bookmarkStart w:id="11" w:name="_Toc99031610"/>
      <w:r w:rsidRPr="00DE169A">
        <w:rPr>
          <w:rFonts w:ascii="方正仿宋_GBK" w:hint="eastAsia"/>
        </w:rPr>
        <w:t>（一）存在的问题</w:t>
      </w:r>
      <w:bookmarkEnd w:id="10"/>
      <w:bookmarkEnd w:id="11"/>
    </w:p>
    <w:p w:rsidR="002E1C92" w:rsidRPr="00DE169A" w:rsidRDefault="002B29AF" w:rsidP="00DE169A">
      <w:pPr>
        <w:widowControl/>
        <w:autoSpaceDE w:val="0"/>
        <w:autoSpaceDN w:val="0"/>
        <w:spacing w:line="578" w:lineRule="exact"/>
        <w:ind w:firstLineChars="200" w:firstLine="640"/>
        <w:outlineLvl w:val="2"/>
        <w:rPr>
          <w:rFonts w:ascii="方正仿宋_GBK" w:eastAsia="方正仿宋_GBK" w:hAnsi="方正仿宋_GBK" w:cs="方正仿宋_GBK"/>
          <w:kern w:val="0"/>
          <w:sz w:val="32"/>
          <w:szCs w:val="32"/>
          <w:shd w:val="clear" w:color="auto" w:fill="FFFFFF"/>
        </w:rPr>
      </w:pPr>
      <w:bookmarkStart w:id="12" w:name="_Toc16456"/>
      <w:bookmarkStart w:id="13" w:name="_Toc4640"/>
      <w:r w:rsidRPr="00DE169A">
        <w:rPr>
          <w:rFonts w:ascii="方正仿宋_GBK" w:eastAsia="方正仿宋_GBK" w:hAnsi="方正仿宋_GBK" w:cs="方正仿宋_GBK" w:hint="eastAsia"/>
          <w:kern w:val="0"/>
          <w:sz w:val="32"/>
          <w:szCs w:val="32"/>
          <w:shd w:val="clear" w:color="auto" w:fill="FFFFFF"/>
        </w:rPr>
        <w:t>1、预算发生调整，预算执行与年初预算不匹配。</w:t>
      </w:r>
      <w:bookmarkEnd w:id="12"/>
      <w:bookmarkEnd w:id="13"/>
    </w:p>
    <w:p w:rsidR="002E1C92" w:rsidRPr="00DE169A" w:rsidRDefault="002B29AF" w:rsidP="00DE169A">
      <w:pPr>
        <w:widowControl/>
        <w:autoSpaceDE w:val="0"/>
        <w:autoSpaceDN w:val="0"/>
        <w:spacing w:line="578" w:lineRule="exact"/>
        <w:ind w:firstLineChars="200" w:firstLine="640"/>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shd w:val="clear" w:color="auto" w:fill="FFFFFF"/>
        </w:rPr>
        <w:t>单位在预算执行过程中，发生了预算调整,调整比例较高，反映出年初预算编制不够准确，可能导致财政资金分配不合理。</w:t>
      </w:r>
    </w:p>
    <w:p w:rsidR="002E1C92" w:rsidRPr="00DE169A" w:rsidRDefault="002B29AF" w:rsidP="00DE169A">
      <w:pPr>
        <w:widowControl/>
        <w:autoSpaceDE w:val="0"/>
        <w:autoSpaceDN w:val="0"/>
        <w:spacing w:line="578" w:lineRule="exact"/>
        <w:ind w:firstLineChars="200" w:firstLine="640"/>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shd w:val="clear" w:color="auto" w:fill="FFFFFF"/>
        </w:rPr>
        <w:t>2、执法办案效率有待提高。</w:t>
      </w:r>
    </w:p>
    <w:p w:rsidR="002E1C92" w:rsidRPr="00DE169A" w:rsidRDefault="002B29AF" w:rsidP="00DE169A">
      <w:pPr>
        <w:widowControl/>
        <w:autoSpaceDE w:val="0"/>
        <w:autoSpaceDN w:val="0"/>
        <w:spacing w:line="578" w:lineRule="exact"/>
        <w:ind w:firstLineChars="200" w:firstLine="640"/>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shd w:val="clear" w:color="auto" w:fill="FFFFFF"/>
        </w:rPr>
        <w:t xml:space="preserve">单位在执法办案过程中执法培训等法律宣传工作力度有待加强，执法条件、环境仍需要不断地完善，执法办案效率有所提升，但提升率未达到预期值， </w:t>
      </w:r>
    </w:p>
    <w:p w:rsidR="002E1C92" w:rsidRPr="00DE169A" w:rsidRDefault="002B29AF" w:rsidP="00DE169A">
      <w:pPr>
        <w:pStyle w:val="2"/>
        <w:spacing w:line="578" w:lineRule="exact"/>
        <w:rPr>
          <w:rFonts w:ascii="方正仿宋_GBK"/>
        </w:rPr>
      </w:pPr>
      <w:bookmarkStart w:id="14" w:name="_Toc99031611"/>
      <w:bookmarkStart w:id="15" w:name="_Toc10918"/>
      <w:r w:rsidRPr="00DE169A">
        <w:rPr>
          <w:rFonts w:ascii="方正仿宋_GBK" w:hint="eastAsia"/>
        </w:rPr>
        <w:t>（二）建议</w:t>
      </w:r>
      <w:bookmarkEnd w:id="14"/>
      <w:bookmarkEnd w:id="15"/>
    </w:p>
    <w:p w:rsidR="002E1C92" w:rsidRPr="00DE169A" w:rsidRDefault="002B29AF" w:rsidP="00DE169A">
      <w:pPr>
        <w:widowControl/>
        <w:autoSpaceDE w:val="0"/>
        <w:autoSpaceDN w:val="0"/>
        <w:spacing w:line="578" w:lineRule="exact"/>
        <w:ind w:firstLineChars="200" w:firstLine="640"/>
        <w:rPr>
          <w:rFonts w:ascii="方正仿宋_GBK" w:eastAsia="方正仿宋_GBK" w:hAnsi="方正仿宋_GBK" w:cs="方正仿宋_GBK"/>
          <w:kern w:val="0"/>
          <w:sz w:val="32"/>
          <w:szCs w:val="32"/>
          <w:shd w:val="clear" w:color="auto" w:fill="FFFFFF"/>
        </w:rPr>
      </w:pPr>
      <w:r w:rsidRPr="00DE169A">
        <w:rPr>
          <w:rFonts w:ascii="方正仿宋_GBK" w:eastAsia="方正仿宋_GBK" w:hAnsi="方正仿宋_GBK" w:cs="方正仿宋_GBK" w:hint="eastAsia"/>
          <w:kern w:val="0"/>
          <w:sz w:val="32"/>
          <w:szCs w:val="32"/>
          <w:shd w:val="clear" w:color="auto" w:fill="FFFFFF"/>
        </w:rPr>
        <w:t>1、提高年初预算编制的准确性，提高业务人员及预算编制人员工作能力，提高预算的测算能力及准确度，严格把控预算执行流程，完善审核监督管理制度。</w:t>
      </w:r>
    </w:p>
    <w:p w:rsidR="002E1C92" w:rsidRPr="00DE169A" w:rsidRDefault="002B29AF" w:rsidP="00DE169A">
      <w:pPr>
        <w:widowControl/>
        <w:autoSpaceDE w:val="0"/>
        <w:autoSpaceDN w:val="0"/>
        <w:spacing w:line="578" w:lineRule="exact"/>
        <w:ind w:firstLineChars="200" w:firstLine="640"/>
        <w:rPr>
          <w:rFonts w:ascii="方正仿宋_GBK" w:eastAsia="方正仿宋_GBK"/>
          <w:sz w:val="32"/>
          <w:szCs w:val="32"/>
        </w:rPr>
      </w:pPr>
      <w:r w:rsidRPr="00DE169A">
        <w:rPr>
          <w:rFonts w:ascii="方正仿宋_GBK" w:eastAsia="方正仿宋_GBK" w:hAnsi="方正仿宋_GBK" w:cs="方正仿宋_GBK" w:hint="eastAsia"/>
          <w:kern w:val="0"/>
          <w:sz w:val="32"/>
          <w:szCs w:val="32"/>
          <w:shd w:val="clear" w:color="auto" w:fill="FFFFFF"/>
        </w:rPr>
        <w:t>2、建议单位加强对执法所需设备、环境等的完善，提供良好的办案条件，可以采用线上广告、线下培训活动等多种方式进行普法宣传，提高居民法律意识。</w:t>
      </w:r>
    </w:p>
    <w:sectPr w:rsidR="002E1C92" w:rsidRPr="00DE169A" w:rsidSect="0024558F">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C4B" w:rsidRDefault="00CE1C4B" w:rsidP="00F832D3">
      <w:r>
        <w:separator/>
      </w:r>
    </w:p>
  </w:endnote>
  <w:endnote w:type="continuationSeparator" w:id="1">
    <w:p w:rsidR="00CE1C4B" w:rsidRDefault="00CE1C4B" w:rsidP="00F83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79921"/>
      <w:docPartObj>
        <w:docPartGallery w:val="Page Numbers (Bottom of Page)"/>
        <w:docPartUnique/>
      </w:docPartObj>
    </w:sdtPr>
    <w:sdtEndPr>
      <w:rPr>
        <w:rFonts w:asciiTheme="minorEastAsia" w:eastAsiaTheme="minorEastAsia" w:hAnsiTheme="minorEastAsia"/>
        <w:sz w:val="28"/>
        <w:szCs w:val="28"/>
      </w:rPr>
    </w:sdtEndPr>
    <w:sdtContent>
      <w:p w:rsidR="0024558F" w:rsidRPr="0024558F" w:rsidRDefault="00D407A6">
        <w:pPr>
          <w:pStyle w:val="a3"/>
          <w:jc w:val="center"/>
          <w:rPr>
            <w:rFonts w:asciiTheme="minorEastAsia" w:eastAsiaTheme="minorEastAsia" w:hAnsiTheme="minorEastAsia"/>
            <w:sz w:val="28"/>
            <w:szCs w:val="28"/>
          </w:rPr>
        </w:pPr>
        <w:r w:rsidRPr="0024558F">
          <w:rPr>
            <w:rFonts w:asciiTheme="minorEastAsia" w:eastAsiaTheme="minorEastAsia" w:hAnsiTheme="minorEastAsia"/>
            <w:sz w:val="28"/>
            <w:szCs w:val="28"/>
          </w:rPr>
          <w:fldChar w:fldCharType="begin"/>
        </w:r>
        <w:r w:rsidR="0024558F" w:rsidRPr="0024558F">
          <w:rPr>
            <w:rFonts w:asciiTheme="minorEastAsia" w:eastAsiaTheme="minorEastAsia" w:hAnsiTheme="minorEastAsia"/>
            <w:sz w:val="28"/>
            <w:szCs w:val="28"/>
          </w:rPr>
          <w:instrText xml:space="preserve"> PAGE   \* MERGEFORMAT </w:instrText>
        </w:r>
        <w:r w:rsidRPr="0024558F">
          <w:rPr>
            <w:rFonts w:asciiTheme="minorEastAsia" w:eastAsiaTheme="minorEastAsia" w:hAnsiTheme="minorEastAsia"/>
            <w:sz w:val="28"/>
            <w:szCs w:val="28"/>
          </w:rPr>
          <w:fldChar w:fldCharType="separate"/>
        </w:r>
        <w:r w:rsidR="009C180C" w:rsidRPr="009C180C">
          <w:rPr>
            <w:rFonts w:asciiTheme="minorEastAsia" w:eastAsiaTheme="minorEastAsia" w:hAnsiTheme="minorEastAsia"/>
            <w:noProof/>
            <w:sz w:val="28"/>
            <w:szCs w:val="28"/>
            <w:lang w:val="zh-CN"/>
          </w:rPr>
          <w:t>-</w:t>
        </w:r>
        <w:r w:rsidR="009C180C">
          <w:rPr>
            <w:rFonts w:asciiTheme="minorEastAsia" w:eastAsiaTheme="minorEastAsia" w:hAnsiTheme="minorEastAsia"/>
            <w:noProof/>
            <w:sz w:val="28"/>
            <w:szCs w:val="28"/>
          </w:rPr>
          <w:t xml:space="preserve"> 1 -</w:t>
        </w:r>
        <w:r w:rsidRPr="0024558F">
          <w:rPr>
            <w:rFonts w:asciiTheme="minorEastAsia" w:eastAsiaTheme="minorEastAsia" w:hAnsiTheme="minorEastAsia"/>
            <w:sz w:val="28"/>
            <w:szCs w:val="28"/>
          </w:rPr>
          <w:fldChar w:fldCharType="end"/>
        </w:r>
      </w:p>
    </w:sdtContent>
  </w:sdt>
  <w:p w:rsidR="0024558F" w:rsidRPr="0024558F" w:rsidRDefault="0024558F">
    <w:pPr>
      <w:pStyle w:val="a3"/>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C4B" w:rsidRDefault="00CE1C4B" w:rsidP="00F832D3">
      <w:r>
        <w:separator/>
      </w:r>
    </w:p>
  </w:footnote>
  <w:footnote w:type="continuationSeparator" w:id="1">
    <w:p w:rsidR="00CE1C4B" w:rsidRDefault="00CE1C4B" w:rsidP="00F83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D0A37"/>
    <w:multiLevelType w:val="singleLevel"/>
    <w:tmpl w:val="806D0A3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865"/>
    <w:rsid w:val="000364E2"/>
    <w:rsid w:val="00043A15"/>
    <w:rsid w:val="000575E2"/>
    <w:rsid w:val="00063B15"/>
    <w:rsid w:val="00094620"/>
    <w:rsid w:val="0009607E"/>
    <w:rsid w:val="000B0982"/>
    <w:rsid w:val="000B5DB9"/>
    <w:rsid w:val="000C0972"/>
    <w:rsid w:val="000C1684"/>
    <w:rsid w:val="000D255F"/>
    <w:rsid w:val="00146E69"/>
    <w:rsid w:val="00171AB3"/>
    <w:rsid w:val="001825A0"/>
    <w:rsid w:val="001B463A"/>
    <w:rsid w:val="001C3D64"/>
    <w:rsid w:val="001C53B5"/>
    <w:rsid w:val="001C641A"/>
    <w:rsid w:val="001C6822"/>
    <w:rsid w:val="001D130E"/>
    <w:rsid w:val="001D5216"/>
    <w:rsid w:val="001E256D"/>
    <w:rsid w:val="001E2D5B"/>
    <w:rsid w:val="0020145E"/>
    <w:rsid w:val="002129B4"/>
    <w:rsid w:val="00216B5D"/>
    <w:rsid w:val="00241370"/>
    <w:rsid w:val="0024558F"/>
    <w:rsid w:val="00247BB1"/>
    <w:rsid w:val="002571F7"/>
    <w:rsid w:val="002641A6"/>
    <w:rsid w:val="002834C5"/>
    <w:rsid w:val="00293914"/>
    <w:rsid w:val="002B29AF"/>
    <w:rsid w:val="002C141E"/>
    <w:rsid w:val="002E1BC4"/>
    <w:rsid w:val="002E1C92"/>
    <w:rsid w:val="002F6627"/>
    <w:rsid w:val="00304656"/>
    <w:rsid w:val="00333D24"/>
    <w:rsid w:val="003532F1"/>
    <w:rsid w:val="00357647"/>
    <w:rsid w:val="00365C0E"/>
    <w:rsid w:val="00381982"/>
    <w:rsid w:val="00381F5B"/>
    <w:rsid w:val="00384864"/>
    <w:rsid w:val="00392D64"/>
    <w:rsid w:val="003B01B9"/>
    <w:rsid w:val="003E4915"/>
    <w:rsid w:val="003E75C4"/>
    <w:rsid w:val="00401B11"/>
    <w:rsid w:val="00422429"/>
    <w:rsid w:val="0043034C"/>
    <w:rsid w:val="00443E03"/>
    <w:rsid w:val="004861A9"/>
    <w:rsid w:val="00487348"/>
    <w:rsid w:val="00497B55"/>
    <w:rsid w:val="004A5F86"/>
    <w:rsid w:val="004C051C"/>
    <w:rsid w:val="004F189B"/>
    <w:rsid w:val="005033E6"/>
    <w:rsid w:val="00516F77"/>
    <w:rsid w:val="00547BAD"/>
    <w:rsid w:val="00550210"/>
    <w:rsid w:val="005516E1"/>
    <w:rsid w:val="00563118"/>
    <w:rsid w:val="005A221A"/>
    <w:rsid w:val="005B5ED1"/>
    <w:rsid w:val="00606BA5"/>
    <w:rsid w:val="006417E5"/>
    <w:rsid w:val="0064309B"/>
    <w:rsid w:val="00644011"/>
    <w:rsid w:val="00671BB5"/>
    <w:rsid w:val="00672B9B"/>
    <w:rsid w:val="0067422C"/>
    <w:rsid w:val="006772C6"/>
    <w:rsid w:val="006C4C47"/>
    <w:rsid w:val="006C586F"/>
    <w:rsid w:val="006C7720"/>
    <w:rsid w:val="006C793C"/>
    <w:rsid w:val="006D100A"/>
    <w:rsid w:val="006E6E29"/>
    <w:rsid w:val="00704B56"/>
    <w:rsid w:val="00725E01"/>
    <w:rsid w:val="00732DA5"/>
    <w:rsid w:val="00733D90"/>
    <w:rsid w:val="007454CD"/>
    <w:rsid w:val="00770339"/>
    <w:rsid w:val="0077453E"/>
    <w:rsid w:val="0078651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8D3D72"/>
    <w:rsid w:val="009108DF"/>
    <w:rsid w:val="009201CD"/>
    <w:rsid w:val="00920BED"/>
    <w:rsid w:val="009575C8"/>
    <w:rsid w:val="00974291"/>
    <w:rsid w:val="009A23DE"/>
    <w:rsid w:val="009C180C"/>
    <w:rsid w:val="00A05C0B"/>
    <w:rsid w:val="00A1196F"/>
    <w:rsid w:val="00A27343"/>
    <w:rsid w:val="00A3725D"/>
    <w:rsid w:val="00A45BE4"/>
    <w:rsid w:val="00AD0DAD"/>
    <w:rsid w:val="00AD4212"/>
    <w:rsid w:val="00AF31E0"/>
    <w:rsid w:val="00B050FE"/>
    <w:rsid w:val="00B07031"/>
    <w:rsid w:val="00B17BC3"/>
    <w:rsid w:val="00B34D05"/>
    <w:rsid w:val="00B50F19"/>
    <w:rsid w:val="00B85927"/>
    <w:rsid w:val="00BB01F5"/>
    <w:rsid w:val="00BB7825"/>
    <w:rsid w:val="00BC3295"/>
    <w:rsid w:val="00BD1848"/>
    <w:rsid w:val="00BF5B3C"/>
    <w:rsid w:val="00BF6FF2"/>
    <w:rsid w:val="00C31CE4"/>
    <w:rsid w:val="00C77086"/>
    <w:rsid w:val="00C858DD"/>
    <w:rsid w:val="00C944D1"/>
    <w:rsid w:val="00CC12F2"/>
    <w:rsid w:val="00CD33CE"/>
    <w:rsid w:val="00CE1C4B"/>
    <w:rsid w:val="00CE702A"/>
    <w:rsid w:val="00CF26C3"/>
    <w:rsid w:val="00CF6F81"/>
    <w:rsid w:val="00D407A6"/>
    <w:rsid w:val="00D610B4"/>
    <w:rsid w:val="00D86135"/>
    <w:rsid w:val="00DB30E1"/>
    <w:rsid w:val="00DC2283"/>
    <w:rsid w:val="00DE169A"/>
    <w:rsid w:val="00E05A32"/>
    <w:rsid w:val="00E225F8"/>
    <w:rsid w:val="00E25A0F"/>
    <w:rsid w:val="00E42BE7"/>
    <w:rsid w:val="00E4628C"/>
    <w:rsid w:val="00E55405"/>
    <w:rsid w:val="00E72086"/>
    <w:rsid w:val="00E91393"/>
    <w:rsid w:val="00E92ECB"/>
    <w:rsid w:val="00E96C7A"/>
    <w:rsid w:val="00EB0A75"/>
    <w:rsid w:val="00EB21DB"/>
    <w:rsid w:val="00EE0310"/>
    <w:rsid w:val="00EF2A45"/>
    <w:rsid w:val="00F2374E"/>
    <w:rsid w:val="00F3012D"/>
    <w:rsid w:val="00F51DA8"/>
    <w:rsid w:val="00F70C2E"/>
    <w:rsid w:val="00F70E0C"/>
    <w:rsid w:val="00F82017"/>
    <w:rsid w:val="00F832D3"/>
    <w:rsid w:val="00F860BA"/>
    <w:rsid w:val="00F9262E"/>
    <w:rsid w:val="00F93438"/>
    <w:rsid w:val="00FA41F0"/>
    <w:rsid w:val="00FB7502"/>
    <w:rsid w:val="00FC5BCC"/>
    <w:rsid w:val="00FD0041"/>
    <w:rsid w:val="00FE38F2"/>
    <w:rsid w:val="03863E70"/>
    <w:rsid w:val="06EC66E0"/>
    <w:rsid w:val="081D7AE0"/>
    <w:rsid w:val="089332B7"/>
    <w:rsid w:val="09FA11E0"/>
    <w:rsid w:val="0B924F3C"/>
    <w:rsid w:val="0C1C7A68"/>
    <w:rsid w:val="0CE47124"/>
    <w:rsid w:val="10356132"/>
    <w:rsid w:val="11E92A7D"/>
    <w:rsid w:val="13041393"/>
    <w:rsid w:val="13C14191"/>
    <w:rsid w:val="16683FED"/>
    <w:rsid w:val="17B40B54"/>
    <w:rsid w:val="17C73B8D"/>
    <w:rsid w:val="19033B41"/>
    <w:rsid w:val="190E2B30"/>
    <w:rsid w:val="1B78601E"/>
    <w:rsid w:val="1B9C545C"/>
    <w:rsid w:val="1C073948"/>
    <w:rsid w:val="1D953CF2"/>
    <w:rsid w:val="1EBB288A"/>
    <w:rsid w:val="1F897A12"/>
    <w:rsid w:val="22644610"/>
    <w:rsid w:val="22EA36DF"/>
    <w:rsid w:val="24855D52"/>
    <w:rsid w:val="26A67592"/>
    <w:rsid w:val="277061AF"/>
    <w:rsid w:val="27EB5D07"/>
    <w:rsid w:val="281C69CE"/>
    <w:rsid w:val="284D3120"/>
    <w:rsid w:val="2A144355"/>
    <w:rsid w:val="2FDD1B7F"/>
    <w:rsid w:val="31C37EBA"/>
    <w:rsid w:val="324A3FB8"/>
    <w:rsid w:val="324F79A0"/>
    <w:rsid w:val="32891103"/>
    <w:rsid w:val="32DB1E15"/>
    <w:rsid w:val="34DB15D1"/>
    <w:rsid w:val="35531555"/>
    <w:rsid w:val="35DF4A23"/>
    <w:rsid w:val="3772660A"/>
    <w:rsid w:val="37CE1367"/>
    <w:rsid w:val="38606463"/>
    <w:rsid w:val="39D62CD1"/>
    <w:rsid w:val="3AD46C94"/>
    <w:rsid w:val="3C0269D0"/>
    <w:rsid w:val="3CB669F0"/>
    <w:rsid w:val="3CC64D02"/>
    <w:rsid w:val="3D764477"/>
    <w:rsid w:val="3E2671E9"/>
    <w:rsid w:val="3EEE1864"/>
    <w:rsid w:val="3F2521B4"/>
    <w:rsid w:val="46EA7EDB"/>
    <w:rsid w:val="487D6BBD"/>
    <w:rsid w:val="48A57EC2"/>
    <w:rsid w:val="48F84495"/>
    <w:rsid w:val="4A72164F"/>
    <w:rsid w:val="4AE63E96"/>
    <w:rsid w:val="4B416C8E"/>
    <w:rsid w:val="4BC863A1"/>
    <w:rsid w:val="4C717508"/>
    <w:rsid w:val="4C7D6B0F"/>
    <w:rsid w:val="4D8D0E92"/>
    <w:rsid w:val="4DB210B7"/>
    <w:rsid w:val="4E465EC0"/>
    <w:rsid w:val="50B60EBE"/>
    <w:rsid w:val="51196B7F"/>
    <w:rsid w:val="511B3686"/>
    <w:rsid w:val="51DB1DFE"/>
    <w:rsid w:val="528154FB"/>
    <w:rsid w:val="56120C9B"/>
    <w:rsid w:val="56E20D30"/>
    <w:rsid w:val="57EC1669"/>
    <w:rsid w:val="59387870"/>
    <w:rsid w:val="59F12F67"/>
    <w:rsid w:val="5A7D0C9E"/>
    <w:rsid w:val="5C401F83"/>
    <w:rsid w:val="61DA0784"/>
    <w:rsid w:val="62BB0009"/>
    <w:rsid w:val="646F6B02"/>
    <w:rsid w:val="64B625E5"/>
    <w:rsid w:val="65FC7E82"/>
    <w:rsid w:val="6A150CDB"/>
    <w:rsid w:val="6AA30543"/>
    <w:rsid w:val="6D700B71"/>
    <w:rsid w:val="6E514E37"/>
    <w:rsid w:val="6E8421A4"/>
    <w:rsid w:val="6F9C0BD2"/>
    <w:rsid w:val="733A72D5"/>
    <w:rsid w:val="74CE7AAB"/>
    <w:rsid w:val="74F311C2"/>
    <w:rsid w:val="76C33D5F"/>
    <w:rsid w:val="76F65C09"/>
    <w:rsid w:val="77063A92"/>
    <w:rsid w:val="7749421D"/>
    <w:rsid w:val="78173E5E"/>
    <w:rsid w:val="7A341A8C"/>
    <w:rsid w:val="7AA250E0"/>
    <w:rsid w:val="7AB34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2E1C92"/>
    <w:pPr>
      <w:widowControl w:val="0"/>
      <w:jc w:val="both"/>
    </w:pPr>
    <w:rPr>
      <w:kern w:val="2"/>
      <w:sz w:val="21"/>
      <w:szCs w:val="24"/>
    </w:rPr>
  </w:style>
  <w:style w:type="paragraph" w:styleId="1">
    <w:name w:val="heading 1"/>
    <w:basedOn w:val="a"/>
    <w:next w:val="a"/>
    <w:link w:val="1Char"/>
    <w:uiPriority w:val="9"/>
    <w:qFormat/>
    <w:rsid w:val="002E1C92"/>
    <w:pPr>
      <w:spacing w:line="596" w:lineRule="exact"/>
      <w:ind w:firstLineChars="200" w:firstLine="640"/>
      <w:outlineLvl w:val="0"/>
    </w:pPr>
    <w:rPr>
      <w:rFonts w:eastAsia="方正黑体_GBK"/>
      <w:sz w:val="32"/>
      <w:szCs w:val="32"/>
    </w:rPr>
  </w:style>
  <w:style w:type="paragraph" w:styleId="2">
    <w:name w:val="heading 2"/>
    <w:basedOn w:val="a"/>
    <w:next w:val="a"/>
    <w:link w:val="2Char"/>
    <w:uiPriority w:val="9"/>
    <w:unhideWhenUsed/>
    <w:qFormat/>
    <w:rsid w:val="002E1C92"/>
    <w:pPr>
      <w:spacing w:line="596" w:lineRule="exact"/>
      <w:ind w:firstLineChars="200" w:firstLine="640"/>
      <w:outlineLvl w:val="1"/>
    </w:pPr>
    <w:rPr>
      <w:rFonts w:eastAsia="方正仿宋_GBK"/>
      <w:sz w:val="32"/>
      <w:szCs w:val="32"/>
    </w:rPr>
  </w:style>
  <w:style w:type="paragraph" w:styleId="6">
    <w:name w:val="heading 6"/>
    <w:basedOn w:val="a"/>
    <w:next w:val="a"/>
    <w:uiPriority w:val="9"/>
    <w:qFormat/>
    <w:rsid w:val="002E1C92"/>
    <w:pPr>
      <w:keepNext/>
      <w:keepLines/>
      <w:spacing w:before="240" w:after="64" w:line="320" w:lineRule="auto"/>
      <w:outlineLvl w:val="5"/>
    </w:pPr>
    <w:rPr>
      <w:rFonts w:ascii="Cambria" w:hAnsi="Cambria"/>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1C9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E1C9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E1C92"/>
  </w:style>
  <w:style w:type="paragraph" w:styleId="20">
    <w:name w:val="toc 2"/>
    <w:basedOn w:val="a"/>
    <w:next w:val="a"/>
    <w:uiPriority w:val="39"/>
    <w:unhideWhenUsed/>
    <w:qFormat/>
    <w:rsid w:val="002E1C92"/>
    <w:pPr>
      <w:ind w:leftChars="200" w:left="420"/>
    </w:pPr>
  </w:style>
  <w:style w:type="paragraph" w:styleId="a5">
    <w:name w:val="Normal (Web)"/>
    <w:basedOn w:val="a"/>
    <w:qFormat/>
    <w:rsid w:val="002E1C92"/>
    <w:pPr>
      <w:spacing w:beforeAutospacing="1" w:afterAutospacing="1"/>
      <w:jc w:val="left"/>
    </w:pPr>
    <w:rPr>
      <w:kern w:val="0"/>
      <w:sz w:val="24"/>
    </w:rPr>
  </w:style>
  <w:style w:type="character" w:styleId="a6">
    <w:name w:val="Hyperlink"/>
    <w:basedOn w:val="a0"/>
    <w:uiPriority w:val="99"/>
    <w:unhideWhenUsed/>
    <w:qFormat/>
    <w:rsid w:val="002E1C92"/>
    <w:rPr>
      <w:color w:val="0000FF" w:themeColor="hyperlink"/>
      <w:u w:val="single"/>
    </w:rPr>
  </w:style>
  <w:style w:type="paragraph" w:styleId="a7">
    <w:name w:val="No Spacing"/>
    <w:uiPriority w:val="99"/>
    <w:qFormat/>
    <w:rsid w:val="002E1C92"/>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4"/>
    <w:uiPriority w:val="99"/>
    <w:qFormat/>
    <w:rsid w:val="002E1C92"/>
    <w:rPr>
      <w:rFonts w:ascii="Times New Roman" w:eastAsia="宋体" w:hAnsi="Times New Roman" w:cs="Times New Roman"/>
      <w:sz w:val="18"/>
      <w:szCs w:val="18"/>
    </w:rPr>
  </w:style>
  <w:style w:type="character" w:customStyle="1" w:styleId="Char">
    <w:name w:val="页脚 Char"/>
    <w:basedOn w:val="a0"/>
    <w:link w:val="a3"/>
    <w:uiPriority w:val="99"/>
    <w:qFormat/>
    <w:rsid w:val="002E1C92"/>
    <w:rPr>
      <w:rFonts w:ascii="Times New Roman" w:eastAsia="宋体" w:hAnsi="Times New Roman" w:cs="Times New Roman"/>
      <w:sz w:val="18"/>
      <w:szCs w:val="18"/>
    </w:rPr>
  </w:style>
  <w:style w:type="paragraph" w:styleId="a8">
    <w:name w:val="List Paragraph"/>
    <w:basedOn w:val="a"/>
    <w:uiPriority w:val="34"/>
    <w:qFormat/>
    <w:rsid w:val="002E1C92"/>
    <w:pPr>
      <w:ind w:firstLineChars="200" w:firstLine="420"/>
    </w:pPr>
  </w:style>
  <w:style w:type="paragraph" w:customStyle="1" w:styleId="Default">
    <w:name w:val="Default"/>
    <w:qFormat/>
    <w:rsid w:val="002E1C92"/>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uiPriority w:val="9"/>
    <w:qFormat/>
    <w:rsid w:val="002E1C92"/>
    <w:rPr>
      <w:rFonts w:eastAsia="方正黑体_GBK"/>
      <w:kern w:val="2"/>
      <w:sz w:val="32"/>
      <w:szCs w:val="32"/>
    </w:rPr>
  </w:style>
  <w:style w:type="character" w:customStyle="1" w:styleId="2Char">
    <w:name w:val="标题 2 Char"/>
    <w:basedOn w:val="a0"/>
    <w:link w:val="2"/>
    <w:uiPriority w:val="9"/>
    <w:qFormat/>
    <w:rsid w:val="002E1C92"/>
    <w:rPr>
      <w:rFonts w:eastAsia="方正仿宋_GBK"/>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2CF55-F493-44E6-AFE4-7A4DA799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8</Pages>
  <Words>545</Words>
  <Characters>3108</Characters>
  <Application>Microsoft Office Word</Application>
  <DocSecurity>0</DocSecurity>
  <Lines>25</Lines>
  <Paragraphs>7</Paragraphs>
  <ScaleCrop>false</ScaleCrop>
  <Company>微软中国</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cp:lastPrinted>2020-04-20T08:58:00Z</cp:lastPrinted>
  <dcterms:created xsi:type="dcterms:W3CDTF">2022-03-23T07:29:00Z</dcterms:created>
  <dcterms:modified xsi:type="dcterms:W3CDTF">2022-10-09T08:35:00Z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B1F7E4DD39334781A08366B91305DFFE</vt:lpwstr>
  </property>
</Properties>
</file>