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spacing w:line="596" w:lineRule="exact"/>
        <w:jc w:val="center"/>
        <w:rPr>
          <w:rFonts w:eastAsia="方正小标宋_GBK"/>
          <w:sz w:val="44"/>
          <w:szCs w:val="32"/>
        </w:rPr>
      </w:pPr>
    </w:p>
    <w:p>
      <w:pPr>
        <w:pStyle w:val="2"/>
      </w:pPr>
      <w:bookmarkStart w:id="16" w:name="_GoBack"/>
      <w:bookmarkEnd w:id="16"/>
    </w:p>
    <w:p>
      <w:pPr>
        <w:spacing w:line="596" w:lineRule="exact"/>
        <w:jc w:val="center"/>
        <w:rPr>
          <w:rFonts w:eastAsia="方正小标宋_GBK"/>
          <w:sz w:val="44"/>
          <w:szCs w:val="32"/>
        </w:rPr>
      </w:pPr>
    </w:p>
    <w:p>
      <w:pPr>
        <w:pStyle w:val="16"/>
        <w:spacing w:line="596" w:lineRule="exact"/>
        <w:ind w:left="0" w:leftChars="0" w:firstLine="0" w:firstLineChars="0"/>
        <w:jc w:val="center"/>
        <w:rPr>
          <w:rFonts w:hint="eastAsia" w:eastAsia="方正小标宋_GBK"/>
          <w:w w:val="90"/>
          <w:sz w:val="44"/>
          <w:szCs w:val="44"/>
        </w:rPr>
      </w:pPr>
    </w:p>
    <w:p>
      <w:pPr>
        <w:pStyle w:val="16"/>
        <w:spacing w:line="596" w:lineRule="exact"/>
        <w:ind w:left="0" w:leftChars="0" w:firstLine="0" w:firstLineChars="0"/>
        <w:jc w:val="center"/>
        <w:rPr>
          <w:rFonts w:hint="eastAsia" w:eastAsia="方正小标宋_GBK"/>
          <w:w w:val="90"/>
          <w:sz w:val="44"/>
          <w:szCs w:val="44"/>
          <w:lang w:eastAsia="zh-CN"/>
        </w:rPr>
      </w:pPr>
      <w:r>
        <w:rPr>
          <w:rFonts w:hint="eastAsia" w:eastAsia="方正小标宋_GBK"/>
          <w:w w:val="90"/>
          <w:sz w:val="44"/>
          <w:szCs w:val="44"/>
        </w:rPr>
        <w:t>重庆市</w:t>
      </w:r>
      <w:r>
        <w:rPr>
          <w:rFonts w:hint="eastAsia" w:eastAsia="方正小标宋_GBK"/>
          <w:w w:val="90"/>
          <w:sz w:val="44"/>
          <w:szCs w:val="44"/>
          <w:lang w:eastAsia="zh-CN"/>
        </w:rPr>
        <w:t>璧山区建设工程安全质量事务中心</w:t>
      </w:r>
    </w:p>
    <w:p>
      <w:pPr>
        <w:pStyle w:val="16"/>
        <w:spacing w:line="596" w:lineRule="exact"/>
        <w:ind w:left="0" w:leftChars="0" w:firstLine="0" w:firstLineChars="0"/>
        <w:jc w:val="center"/>
        <w:rPr>
          <w:rFonts w:eastAsia="方正小标宋_GBK"/>
          <w:sz w:val="44"/>
          <w:szCs w:val="32"/>
        </w:rPr>
      </w:pPr>
      <w:r>
        <w:rPr>
          <w:rFonts w:hint="eastAsia" w:eastAsia="方正小标宋_GBK"/>
          <w:sz w:val="44"/>
          <w:szCs w:val="32"/>
        </w:rPr>
        <w:t>2021</w:t>
      </w:r>
      <w:r>
        <w:rPr>
          <w:rFonts w:eastAsia="方正小标宋_GBK"/>
          <w:sz w:val="44"/>
          <w:szCs w:val="32"/>
        </w:rPr>
        <w:t>年</w:t>
      </w:r>
      <w:r>
        <w:rPr>
          <w:rFonts w:hint="eastAsia" w:eastAsia="方正小标宋_GBK"/>
          <w:sz w:val="44"/>
          <w:szCs w:val="32"/>
        </w:rPr>
        <w:t>度</w:t>
      </w:r>
      <w:r>
        <w:rPr>
          <w:rFonts w:eastAsia="方正小标宋_GBK"/>
          <w:sz w:val="44"/>
          <w:szCs w:val="32"/>
        </w:rPr>
        <w:t>整体支出绩效</w:t>
      </w:r>
      <w:r>
        <w:rPr>
          <w:rFonts w:hint="eastAsia" w:eastAsia="方正小标宋_GBK"/>
          <w:sz w:val="44"/>
          <w:szCs w:val="32"/>
        </w:rPr>
        <w:t>自评</w:t>
      </w:r>
      <w:r>
        <w:rPr>
          <w:rFonts w:eastAsia="方正小标宋_GBK"/>
          <w:sz w:val="44"/>
          <w:szCs w:val="32"/>
        </w:rPr>
        <w:t>报告</w:t>
      </w: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pStyle w:val="16"/>
        <w:spacing w:line="596" w:lineRule="exact"/>
        <w:ind w:left="357" w:firstLine="640"/>
        <w:rPr>
          <w:rFonts w:eastAsia="方正仿宋_GBK"/>
          <w:sz w:val="32"/>
          <w:szCs w:val="32"/>
        </w:rPr>
      </w:pP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目录</w:t>
      </w:r>
    </w:p>
    <w:p>
      <w:pPr>
        <w:pStyle w:val="7"/>
        <w:tabs>
          <w:tab w:val="right" w:leader="dot" w:pos="8948"/>
        </w:tabs>
        <w:rPr>
          <w:rFonts w:ascii="方正仿宋_GBK" w:eastAsia="方正仿宋_GBK" w:hAnsiTheme="minorHAnsi" w:cstheme="minorBidi"/>
          <w:sz w:val="32"/>
          <w:szCs w:val="32"/>
        </w:rPr>
      </w:pPr>
      <w:r>
        <w:rPr>
          <w:rFonts w:hint="eastAsia" w:ascii="方正仿宋_GBK" w:eastAsia="方正仿宋_GBK"/>
          <w:sz w:val="32"/>
          <w:szCs w:val="32"/>
        </w:rPr>
        <w:fldChar w:fldCharType="begin"/>
      </w:r>
      <w:r>
        <w:rPr>
          <w:rFonts w:hint="eastAsia" w:ascii="方正仿宋_GBK" w:eastAsia="方正仿宋_GBK"/>
          <w:sz w:val="32"/>
          <w:szCs w:val="32"/>
        </w:rPr>
        <w:instrText xml:space="preserve"> TOC \o "1-2" \h \z \u </w:instrText>
      </w:r>
      <w:r>
        <w:rPr>
          <w:rFonts w:hint="eastAsia" w:ascii="方正仿宋_GBK" w:eastAsia="方正仿宋_GBK"/>
          <w:sz w:val="32"/>
          <w:szCs w:val="32"/>
        </w:rPr>
        <w:fldChar w:fldCharType="separate"/>
      </w:r>
      <w:r>
        <w:fldChar w:fldCharType="begin"/>
      </w:r>
      <w:r>
        <w:instrText xml:space="preserve"> HYPERLINK \l "_Toc99031600" </w:instrText>
      </w:r>
      <w:r>
        <w:fldChar w:fldCharType="separate"/>
      </w:r>
      <w:r>
        <w:rPr>
          <w:rStyle w:val="12"/>
          <w:rFonts w:hint="eastAsia" w:ascii="方正仿宋_GBK" w:eastAsia="方正仿宋_GBK"/>
          <w:sz w:val="32"/>
          <w:szCs w:val="32"/>
        </w:rPr>
        <w:t>一、基本情况</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_Toc99031600 \h </w:instrText>
      </w:r>
      <w:r>
        <w:rPr>
          <w:rFonts w:hint="eastAsia" w:ascii="方正仿宋_GBK" w:eastAsia="方正仿宋_GBK"/>
          <w:sz w:val="32"/>
          <w:szCs w:val="32"/>
        </w:rPr>
        <w:fldChar w:fldCharType="separate"/>
      </w:r>
      <w:r>
        <w:rPr>
          <w:rFonts w:hint="eastAsia" w:ascii="方正仿宋_GBK" w:eastAsia="方正仿宋_GBK"/>
          <w:sz w:val="32"/>
          <w:szCs w:val="32"/>
        </w:rPr>
        <w:t>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"_Toc99031601" </w:instrText>
      </w:r>
      <w:r>
        <w:fldChar w:fldCharType="separate"/>
      </w:r>
      <w:r>
        <w:rPr>
          <w:rStyle w:val="12"/>
          <w:rFonts w:hint="eastAsia" w:ascii="方正仿宋_GBK" w:eastAsia="方正仿宋_GBK"/>
          <w:sz w:val="32"/>
          <w:szCs w:val="32"/>
        </w:rPr>
        <w:t>（一）部门基本情况</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_Toc99031601 \h </w:instrText>
      </w:r>
      <w:r>
        <w:rPr>
          <w:rFonts w:hint="eastAsia" w:ascii="方正仿宋_GBK" w:eastAsia="方正仿宋_GBK"/>
          <w:sz w:val="32"/>
          <w:szCs w:val="32"/>
        </w:rPr>
        <w:fldChar w:fldCharType="separate"/>
      </w:r>
      <w:r>
        <w:rPr>
          <w:rFonts w:hint="eastAsia" w:ascii="方正仿宋_GBK" w:eastAsia="方正仿宋_GBK"/>
          <w:sz w:val="32"/>
          <w:szCs w:val="32"/>
        </w:rPr>
        <w:t>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"_Toc99031602" </w:instrText>
      </w:r>
      <w:r>
        <w:fldChar w:fldCharType="separate"/>
      </w:r>
      <w:r>
        <w:rPr>
          <w:rStyle w:val="12"/>
          <w:rFonts w:hint="eastAsia" w:ascii="方正仿宋_GBK" w:eastAsia="方正仿宋_GBK"/>
          <w:sz w:val="32"/>
          <w:szCs w:val="32"/>
        </w:rPr>
        <w:t>（二）预算及支出情况</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_Toc99031602 \h </w:instrText>
      </w:r>
      <w:r>
        <w:rPr>
          <w:rFonts w:hint="eastAsia" w:ascii="方正仿宋_GBK" w:eastAsia="方正仿宋_GBK"/>
          <w:sz w:val="32"/>
          <w:szCs w:val="32"/>
        </w:rPr>
        <w:fldChar w:fldCharType="separate"/>
      </w:r>
      <w:r>
        <w:rPr>
          <w:rFonts w:hint="eastAsia" w:ascii="方正仿宋_GBK" w:eastAsia="方正仿宋_GBK"/>
          <w:sz w:val="32"/>
          <w:szCs w:val="32"/>
        </w:rPr>
        <w:t>3</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7"/>
        <w:tabs>
          <w:tab w:val="right" w:leader="dot" w:pos="8948"/>
        </w:tabs>
        <w:rPr>
          <w:rFonts w:ascii="方正仿宋_GBK" w:eastAsia="方正仿宋_GBK" w:hAnsiTheme="minorHAnsi" w:cstheme="minorBidi"/>
          <w:sz w:val="32"/>
          <w:szCs w:val="32"/>
        </w:rPr>
      </w:pPr>
      <w:r>
        <w:fldChar w:fldCharType="begin"/>
      </w:r>
      <w:r>
        <w:instrText xml:space="preserve"> HYPERLINK \l "_Toc99031603" </w:instrText>
      </w:r>
      <w:r>
        <w:fldChar w:fldCharType="separate"/>
      </w:r>
      <w:r>
        <w:rPr>
          <w:rStyle w:val="12"/>
          <w:rFonts w:hint="eastAsia" w:ascii="方正仿宋_GBK" w:eastAsia="方正仿宋_GBK"/>
          <w:sz w:val="32"/>
          <w:szCs w:val="32"/>
        </w:rPr>
        <w:t>二、绩效评价基本情况</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_Toc99031603 \h </w:instrText>
      </w:r>
      <w:r>
        <w:rPr>
          <w:rFonts w:hint="eastAsia" w:ascii="方正仿宋_GBK" w:eastAsia="方正仿宋_GBK"/>
          <w:sz w:val="32"/>
          <w:szCs w:val="32"/>
        </w:rPr>
        <w:fldChar w:fldCharType="separate"/>
      </w:r>
      <w:r>
        <w:rPr>
          <w:rFonts w:hint="eastAsia" w:ascii="方正仿宋_GBK" w:eastAsia="方正仿宋_GBK"/>
          <w:sz w:val="32"/>
          <w:szCs w:val="32"/>
        </w:rPr>
        <w:t>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"_Toc99031604" </w:instrText>
      </w:r>
      <w:r>
        <w:fldChar w:fldCharType="separate"/>
      </w:r>
      <w:r>
        <w:rPr>
          <w:rStyle w:val="12"/>
          <w:rFonts w:hint="eastAsia" w:ascii="方正仿宋_GBK" w:eastAsia="方正仿宋_GBK"/>
          <w:sz w:val="32"/>
          <w:szCs w:val="32"/>
        </w:rPr>
        <w:t>（一）绩效评价目的</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_Toc99031604 \h </w:instrText>
      </w:r>
      <w:r>
        <w:rPr>
          <w:rFonts w:hint="eastAsia" w:ascii="方正仿宋_GBK" w:eastAsia="方正仿宋_GBK"/>
          <w:sz w:val="32"/>
          <w:szCs w:val="32"/>
        </w:rPr>
        <w:fldChar w:fldCharType="separate"/>
      </w:r>
      <w:r>
        <w:rPr>
          <w:rFonts w:hint="eastAsia" w:ascii="方正仿宋_GBK" w:eastAsia="方正仿宋_GBK"/>
          <w:sz w:val="32"/>
          <w:szCs w:val="32"/>
        </w:rPr>
        <w:t>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"_Toc99031605" </w:instrText>
      </w:r>
      <w:r>
        <w:fldChar w:fldCharType="separate"/>
      </w:r>
      <w:r>
        <w:rPr>
          <w:rStyle w:val="12"/>
          <w:rFonts w:hint="eastAsia" w:ascii="方正仿宋_GBK" w:eastAsia="方正仿宋_GBK"/>
          <w:sz w:val="32"/>
          <w:szCs w:val="32"/>
        </w:rPr>
        <w:t>（二）绩效评价原则</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_Toc99031605 \h </w:instrText>
      </w:r>
      <w:r>
        <w:rPr>
          <w:rFonts w:hint="eastAsia" w:ascii="方正仿宋_GBK" w:eastAsia="方正仿宋_GBK"/>
          <w:sz w:val="32"/>
          <w:szCs w:val="32"/>
        </w:rPr>
        <w:fldChar w:fldCharType="separate"/>
      </w:r>
      <w:r>
        <w:rPr>
          <w:rFonts w:hint="eastAsia" w:ascii="方正仿宋_GBK" w:eastAsia="方正仿宋_GBK"/>
          <w:sz w:val="32"/>
          <w:szCs w:val="32"/>
        </w:rPr>
        <w:t>4</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"_Toc99031606" </w:instrText>
      </w:r>
      <w:r>
        <w:fldChar w:fldCharType="separate"/>
      </w:r>
      <w:r>
        <w:rPr>
          <w:rStyle w:val="12"/>
          <w:rFonts w:hint="eastAsia" w:ascii="方正仿宋_GBK" w:eastAsia="方正仿宋_GBK"/>
          <w:sz w:val="32"/>
          <w:szCs w:val="32"/>
        </w:rPr>
        <w:t>（三）绩效评价工作过程</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_Toc99031606 \h </w:instrText>
      </w:r>
      <w:r>
        <w:rPr>
          <w:rFonts w:hint="eastAsia" w:ascii="方正仿宋_GBK" w:eastAsia="方正仿宋_GBK"/>
          <w:sz w:val="32"/>
          <w:szCs w:val="32"/>
        </w:rPr>
        <w:fldChar w:fldCharType="separate"/>
      </w:r>
      <w:r>
        <w:rPr>
          <w:rFonts w:hint="eastAsia" w:ascii="方正仿宋_GBK" w:eastAsia="方正仿宋_GBK"/>
          <w:sz w:val="32"/>
          <w:szCs w:val="32"/>
        </w:rPr>
        <w:t>5</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7"/>
        <w:tabs>
          <w:tab w:val="right" w:leader="dot" w:pos="8948"/>
        </w:tabs>
        <w:rPr>
          <w:rFonts w:ascii="方正仿宋_GBK" w:eastAsia="方正仿宋_GBK" w:hAnsiTheme="minorHAnsi" w:cstheme="minorBidi"/>
          <w:sz w:val="32"/>
          <w:szCs w:val="32"/>
        </w:rPr>
      </w:pPr>
      <w:r>
        <w:fldChar w:fldCharType="begin"/>
      </w:r>
      <w:r>
        <w:instrText xml:space="preserve"> HYPERLINK \l "_Toc99031607" </w:instrText>
      </w:r>
      <w:r>
        <w:fldChar w:fldCharType="separate"/>
      </w:r>
      <w:r>
        <w:rPr>
          <w:rStyle w:val="12"/>
          <w:rFonts w:hint="eastAsia" w:ascii="方正仿宋_GBK" w:eastAsia="方正仿宋_GBK"/>
          <w:sz w:val="32"/>
          <w:szCs w:val="32"/>
        </w:rPr>
        <w:t>三、绩效评价情况及结论</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_Toc99031607 \h </w:instrText>
      </w:r>
      <w:r>
        <w:rPr>
          <w:rFonts w:hint="eastAsia" w:ascii="方正仿宋_GBK" w:eastAsia="方正仿宋_GBK"/>
          <w:sz w:val="32"/>
          <w:szCs w:val="32"/>
        </w:rPr>
        <w:fldChar w:fldCharType="separate"/>
      </w:r>
      <w:r>
        <w:rPr>
          <w:rFonts w:hint="eastAsia" w:ascii="方正仿宋_GBK" w:eastAsia="方正仿宋_GBK"/>
          <w:sz w:val="32"/>
          <w:szCs w:val="32"/>
        </w:rPr>
        <w:t>6</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7"/>
        <w:tabs>
          <w:tab w:val="right" w:leader="dot" w:pos="8948"/>
        </w:tabs>
        <w:rPr>
          <w:rFonts w:ascii="方正仿宋_GBK" w:eastAsia="方正仿宋_GBK" w:hAnsiTheme="minorHAnsi" w:cstheme="minorBidi"/>
          <w:sz w:val="32"/>
          <w:szCs w:val="32"/>
        </w:rPr>
      </w:pPr>
      <w:r>
        <w:fldChar w:fldCharType="begin"/>
      </w:r>
      <w:r>
        <w:instrText xml:space="preserve"> HYPERLINK \l "_Toc99031608" </w:instrText>
      </w:r>
      <w:r>
        <w:fldChar w:fldCharType="separate"/>
      </w:r>
      <w:r>
        <w:rPr>
          <w:rStyle w:val="12"/>
          <w:rFonts w:hint="eastAsia" w:ascii="方正仿宋_GBK" w:eastAsia="方正仿宋_GBK"/>
          <w:sz w:val="32"/>
          <w:szCs w:val="32"/>
        </w:rPr>
        <w:t>四、主要经验及做法</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_Toc99031608 \h </w:instrText>
      </w:r>
      <w:r>
        <w:rPr>
          <w:rFonts w:hint="eastAsia" w:ascii="方正仿宋_GBK" w:eastAsia="方正仿宋_GBK"/>
          <w:sz w:val="32"/>
          <w:szCs w:val="32"/>
        </w:rPr>
        <w:fldChar w:fldCharType="separate"/>
      </w:r>
      <w:r>
        <w:rPr>
          <w:rFonts w:hint="eastAsia"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7"/>
        <w:tabs>
          <w:tab w:val="right" w:leader="dot" w:pos="8948"/>
        </w:tabs>
        <w:rPr>
          <w:rFonts w:ascii="方正仿宋_GBK" w:eastAsia="方正仿宋_GBK" w:hAnsiTheme="minorHAnsi" w:cstheme="minorBidi"/>
          <w:sz w:val="32"/>
          <w:szCs w:val="32"/>
        </w:rPr>
      </w:pPr>
      <w:r>
        <w:fldChar w:fldCharType="begin"/>
      </w:r>
      <w:r>
        <w:instrText xml:space="preserve"> HYPERLINK \l "_Toc99031609" </w:instrText>
      </w:r>
      <w:r>
        <w:fldChar w:fldCharType="separate"/>
      </w:r>
      <w:r>
        <w:rPr>
          <w:rStyle w:val="12"/>
          <w:rFonts w:hint="eastAsia" w:ascii="方正仿宋_GBK" w:eastAsia="方正仿宋_GBK"/>
          <w:sz w:val="32"/>
          <w:szCs w:val="32"/>
        </w:rPr>
        <w:t>五、存在的问题和建议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_Toc99031609 \h </w:instrText>
      </w:r>
      <w:r>
        <w:rPr>
          <w:rFonts w:hint="eastAsia" w:ascii="方正仿宋_GBK" w:eastAsia="方正仿宋_GBK"/>
          <w:sz w:val="32"/>
          <w:szCs w:val="32"/>
        </w:rPr>
        <w:fldChar w:fldCharType="separate"/>
      </w:r>
      <w:r>
        <w:rPr>
          <w:rFonts w:hint="eastAsia"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"_Toc99031610" </w:instrText>
      </w:r>
      <w:r>
        <w:fldChar w:fldCharType="separate"/>
      </w:r>
      <w:r>
        <w:rPr>
          <w:rStyle w:val="12"/>
          <w:rFonts w:hint="eastAsia" w:ascii="方正仿宋_GBK" w:eastAsia="方正仿宋_GBK"/>
          <w:sz w:val="32"/>
          <w:szCs w:val="32"/>
        </w:rPr>
        <w:t>（一）存在的问题</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_Toc99031610 \h </w:instrText>
      </w:r>
      <w:r>
        <w:rPr>
          <w:rFonts w:hint="eastAsia" w:ascii="方正仿宋_GBK" w:eastAsia="方正仿宋_GBK"/>
          <w:sz w:val="32"/>
          <w:szCs w:val="32"/>
        </w:rPr>
        <w:fldChar w:fldCharType="separate"/>
      </w:r>
      <w:r>
        <w:rPr>
          <w:rFonts w:hint="eastAsia" w:ascii="方正仿宋_GBK" w:eastAsia="方正仿宋_GBK"/>
          <w:sz w:val="32"/>
          <w:szCs w:val="32"/>
        </w:rPr>
        <w:t>9</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8"/>
        <w:tabs>
          <w:tab w:val="right" w:leader="dot" w:pos="8948"/>
        </w:tabs>
        <w:rPr>
          <w:rFonts w:ascii="方正仿宋_GBK" w:eastAsia="方正仿宋_GBK" w:hAnsiTheme="minorHAnsi" w:cstheme="minorBidi"/>
          <w:sz w:val="32"/>
          <w:szCs w:val="32"/>
        </w:rPr>
      </w:pPr>
      <w:r>
        <w:fldChar w:fldCharType="begin"/>
      </w:r>
      <w:r>
        <w:instrText xml:space="preserve"> HYPERLINK \l "_Toc99031611" </w:instrText>
      </w:r>
      <w:r>
        <w:fldChar w:fldCharType="separate"/>
      </w:r>
      <w:r>
        <w:rPr>
          <w:rStyle w:val="12"/>
          <w:rFonts w:hint="eastAsia" w:ascii="方正仿宋_GBK" w:eastAsia="方正仿宋_GBK"/>
          <w:sz w:val="32"/>
          <w:szCs w:val="32"/>
        </w:rPr>
        <w:t>（二）建议</w:t>
      </w:r>
      <w:r>
        <w:rPr>
          <w:rFonts w:hint="eastAsia" w:ascii="方正仿宋_GBK" w:eastAsia="方正仿宋_GBK"/>
          <w:sz w:val="32"/>
          <w:szCs w:val="32"/>
        </w:rPr>
        <w:tab/>
      </w:r>
      <w:r>
        <w:rPr>
          <w:rFonts w:hint="eastAsia" w:ascii="方正仿宋_GBK" w:eastAsia="方正仿宋_GBK"/>
          <w:sz w:val="32"/>
          <w:szCs w:val="32"/>
        </w:rPr>
        <w:fldChar w:fldCharType="begin"/>
      </w:r>
      <w:r>
        <w:rPr>
          <w:rFonts w:hint="eastAsia" w:ascii="方正仿宋_GBK" w:eastAsia="方正仿宋_GBK"/>
          <w:sz w:val="32"/>
          <w:szCs w:val="32"/>
        </w:rPr>
        <w:instrText xml:space="preserve"> PAGEREF _Toc99031611 \h </w:instrText>
      </w:r>
      <w:r>
        <w:rPr>
          <w:rFonts w:hint="eastAsia" w:ascii="方正仿宋_GBK" w:eastAsia="方正仿宋_GBK"/>
          <w:sz w:val="32"/>
          <w:szCs w:val="32"/>
        </w:rPr>
        <w:fldChar w:fldCharType="separate"/>
      </w:r>
      <w:r>
        <w:rPr>
          <w:rFonts w:hint="eastAsia" w:ascii="方正仿宋_GBK" w:eastAsia="方正仿宋_GBK"/>
          <w:sz w:val="32"/>
          <w:szCs w:val="32"/>
        </w:rPr>
        <w:t>10</w:t>
      </w:r>
      <w:r>
        <w:rPr>
          <w:rFonts w:hint="eastAsia" w:ascii="方正仿宋_GBK" w:eastAsia="方正仿宋_GBK"/>
          <w:sz w:val="32"/>
          <w:szCs w:val="32"/>
        </w:rPr>
        <w:fldChar w:fldCharType="end"/>
      </w:r>
      <w:r>
        <w:rPr>
          <w:rFonts w:hint="eastAsia" w:ascii="方正仿宋_GBK" w:eastAsia="方正仿宋_GBK"/>
          <w:sz w:val="32"/>
          <w:szCs w:val="32"/>
        </w:rPr>
        <w:fldChar w:fldCharType="end"/>
      </w:r>
    </w:p>
    <w:p>
      <w:pPr>
        <w:pStyle w:val="16"/>
        <w:spacing w:line="596" w:lineRule="exact"/>
        <w:ind w:firstLine="0" w:firstLineChars="0"/>
        <w:rPr>
          <w:rFonts w:eastAsia="方正仿宋_GBK"/>
          <w:sz w:val="32"/>
          <w:szCs w:val="32"/>
        </w:rPr>
      </w:pPr>
      <w:r>
        <w:rPr>
          <w:rFonts w:hint="eastAsia" w:ascii="方正仿宋_GBK" w:eastAsia="方正仿宋_GBK"/>
          <w:sz w:val="32"/>
          <w:szCs w:val="32"/>
        </w:rPr>
        <w:fldChar w:fldCharType="end"/>
      </w:r>
    </w:p>
    <w:p>
      <w:pPr>
        <w:rPr>
          <w:rFonts w:eastAsia="方正黑体_GBK"/>
          <w:sz w:val="32"/>
          <w:szCs w:val="32"/>
        </w:rPr>
      </w:pPr>
      <w:r>
        <w:rPr>
          <w:rFonts w:eastAsia="方正黑体_GBK"/>
          <w:sz w:val="32"/>
          <w:szCs w:val="32"/>
        </w:rPr>
        <w:br w:type="page"/>
      </w:r>
    </w:p>
    <w:p>
      <w:pPr>
        <w:spacing w:line="560"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为加强财政资金的管理，提高财政资金的使用效益。根据《重庆市财政局关于加快推进预算绩效管理工作的通知》（渝财绩〔2022〕1号）、</w:t>
      </w:r>
      <w:r>
        <w:rPr>
          <w:rFonts w:hint="eastAsia" w:ascii="方正仿宋_GBK" w:hAnsi="方正仿宋_GBK" w:eastAsia="方正仿宋_GBK" w:cs="方正仿宋_GBK"/>
          <w:color w:val="auto"/>
          <w:sz w:val="32"/>
          <w:szCs w:val="32"/>
        </w:rPr>
        <w:t>《重庆市璧山区财政局关于</w:t>
      </w:r>
      <w:r>
        <w:rPr>
          <w:rFonts w:hint="eastAsia" w:ascii="方正仿宋_GBK" w:hAnsi="方正仿宋_GBK" w:eastAsia="方正仿宋_GBK" w:cs="方正仿宋_GBK"/>
          <w:color w:val="auto"/>
          <w:sz w:val="32"/>
          <w:szCs w:val="32"/>
          <w:lang w:eastAsia="zh-CN"/>
        </w:rPr>
        <w:t>开展</w:t>
      </w:r>
      <w:r>
        <w:rPr>
          <w:rFonts w:hint="eastAsia" w:ascii="方正仿宋_GBK" w:hAnsi="方正仿宋_GBK" w:eastAsia="方正仿宋_GBK" w:cs="方正仿宋_GBK"/>
          <w:color w:val="auto"/>
          <w:sz w:val="32"/>
          <w:szCs w:val="32"/>
        </w:rPr>
        <w:t>2021年度预算绩效</w:t>
      </w:r>
      <w:r>
        <w:rPr>
          <w:rFonts w:hint="eastAsia" w:ascii="方正仿宋_GBK" w:hAnsi="方正仿宋_GBK" w:eastAsia="方正仿宋_GBK" w:cs="方正仿宋_GBK"/>
          <w:color w:val="auto"/>
          <w:sz w:val="32"/>
          <w:szCs w:val="32"/>
          <w:lang w:eastAsia="zh-CN"/>
        </w:rPr>
        <w:t>自评工作</w:t>
      </w:r>
      <w:r>
        <w:rPr>
          <w:rFonts w:hint="eastAsia" w:ascii="方正仿宋_GBK" w:hAnsi="方正仿宋_GBK" w:eastAsia="方正仿宋_GBK" w:cs="方正仿宋_GBK"/>
          <w:color w:val="auto"/>
          <w:sz w:val="32"/>
          <w:szCs w:val="32"/>
        </w:rPr>
        <w:t>的通知》（璧财绩〔2022〕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sz w:val="32"/>
          <w:szCs w:val="32"/>
        </w:rPr>
        <w:t>文件要求，形成2021年度部门整体支出绩效自评报告如下：</w:t>
      </w:r>
    </w:p>
    <w:p>
      <w:pPr>
        <w:pStyle w:val="3"/>
        <w:spacing w:line="560" w:lineRule="exact"/>
      </w:pPr>
      <w:bookmarkStart w:id="0" w:name="_Toc99031600"/>
      <w:r>
        <w:t>一、基本</w:t>
      </w:r>
      <w:r>
        <w:rPr>
          <w:rFonts w:hint="eastAsia"/>
        </w:rPr>
        <w:t>情况</w:t>
      </w:r>
      <w:bookmarkEnd w:id="0"/>
    </w:p>
    <w:p>
      <w:pPr>
        <w:pStyle w:val="4"/>
        <w:spacing w:line="560" w:lineRule="exact"/>
      </w:pPr>
      <w:bookmarkStart w:id="1" w:name="_Toc99031601"/>
      <w:r>
        <w:t>（一）</w:t>
      </w:r>
      <w:r>
        <w:rPr>
          <w:rFonts w:hint="eastAsia"/>
        </w:rPr>
        <w:t>部门基本情况</w:t>
      </w:r>
      <w:bookmarkEnd w:id="1"/>
    </w:p>
    <w:p>
      <w:pPr>
        <w:spacing w:line="560" w:lineRule="exact"/>
        <w:ind w:firstLine="640" w:firstLineChars="200"/>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1、部门职级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eastAsia="方正仿宋_GBK"/>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重庆市璧山区建设工程安全质量事务中心，为区住房城乡建委管理的财政全额补助公益一类正科级事业单位。</w:t>
      </w:r>
    </w:p>
    <w:p>
      <w:pPr>
        <w:spacing w:line="560" w:lineRule="exact"/>
        <w:ind w:firstLine="640" w:firstLineChars="200"/>
        <w:outlineLvl w:val="2"/>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2、内设机构及编制</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重庆市</w:t>
      </w:r>
      <w:r>
        <w:rPr>
          <w:rFonts w:hint="eastAsia" w:ascii="方正仿宋_GBK" w:hAnsi="方正仿宋_GBK" w:eastAsia="方正仿宋_GBK" w:cs="方正仿宋_GBK"/>
          <w:sz w:val="32"/>
          <w:szCs w:val="32"/>
          <w:highlight w:val="none"/>
          <w:lang w:eastAsia="zh-CN"/>
        </w:rPr>
        <w:t>璧山区建设工程安全质量事务中心</w:t>
      </w:r>
      <w:r>
        <w:rPr>
          <w:rFonts w:hint="eastAsia" w:ascii="方正仿宋_GBK" w:hAnsi="方正仿宋_GBK" w:eastAsia="方正仿宋_GBK" w:cs="方正仿宋_GBK"/>
          <w:sz w:val="32"/>
          <w:szCs w:val="32"/>
          <w:highlight w:val="none"/>
        </w:rPr>
        <w:t>核定</w:t>
      </w:r>
      <w:r>
        <w:rPr>
          <w:rFonts w:hint="eastAsia" w:ascii="方正仿宋_GBK" w:hAnsi="方正仿宋_GBK" w:eastAsia="方正仿宋_GBK" w:cs="方正仿宋_GBK"/>
          <w:sz w:val="32"/>
          <w:szCs w:val="32"/>
          <w:highlight w:val="none"/>
          <w:lang w:val="en-US" w:eastAsia="zh-CN"/>
        </w:rPr>
        <w:t>事业编制31名（干部21名，工人10名）、控制编制31名（干部29名，工人2名）；核定领导职数4名（其中正职1名、副职3名）</w:t>
      </w:r>
      <w:r>
        <w:rPr>
          <w:rFonts w:hint="eastAsia" w:ascii="方正仿宋_GBK" w:hAnsi="方正仿宋_GBK" w:eastAsia="方正仿宋_GBK" w:cs="方正仿宋_GBK"/>
          <w:sz w:val="32"/>
          <w:szCs w:val="32"/>
          <w:highlight w:val="none"/>
        </w:rPr>
        <w:t>。</w:t>
      </w:r>
    </w:p>
    <w:p>
      <w:pPr>
        <w:spacing w:line="560" w:lineRule="exact"/>
        <w:ind w:firstLine="640" w:firstLineChars="200"/>
        <w:outlineLvl w:val="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、职能职责</w:t>
      </w:r>
    </w:p>
    <w:p>
      <w:pPr>
        <w:pStyle w:val="4"/>
        <w:spacing w:line="560" w:lineRule="exact"/>
        <w:rPr>
          <w:rFonts w:hint="eastAsia" w:ascii="方正仿宋_GBK" w:hAnsi="方正仿宋_GBK" w:cs="方正仿宋_GBK"/>
          <w:kern w:val="2"/>
          <w:sz w:val="32"/>
          <w:szCs w:val="32"/>
          <w:highlight w:val="none"/>
          <w:lang w:val="en-US" w:eastAsia="zh-CN" w:bidi="ar-SA"/>
        </w:rPr>
      </w:pPr>
      <w:bookmarkStart w:id="2" w:name="_Toc99031602"/>
      <w:r>
        <w:rPr>
          <w:rFonts w:hint="eastAsia" w:ascii="方正仿宋_GBK" w:hAnsi="方正仿宋_GBK" w:eastAsia="方正仿宋_GBK" w:cs="方正仿宋_GBK"/>
          <w:kern w:val="2"/>
          <w:sz w:val="32"/>
          <w:szCs w:val="32"/>
          <w:highlight w:val="none"/>
          <w:lang w:val="en-US" w:eastAsia="zh-CN" w:bidi="ar-SA"/>
        </w:rPr>
        <w:t>（1）</w:t>
      </w:r>
      <w:r>
        <w:rPr>
          <w:rFonts w:hint="eastAsia" w:ascii="方正仿宋_GBK" w:hAnsi="方正仿宋_GBK" w:cs="方正仿宋_GBK"/>
          <w:kern w:val="2"/>
          <w:sz w:val="32"/>
          <w:szCs w:val="32"/>
          <w:highlight w:val="none"/>
          <w:lang w:val="en-US" w:eastAsia="zh-CN" w:bidi="ar-SA"/>
        </w:rPr>
        <w:t>宣传建设工程质量政策法规、标准和规范；</w:t>
      </w:r>
    </w:p>
    <w:p>
      <w:pPr>
        <w:pStyle w:val="4"/>
        <w:spacing w:line="560" w:lineRule="exact"/>
        <w:rPr>
          <w:rFonts w:hint="eastAsia" w:ascii="方正仿宋_GBK" w:hAnsi="方正仿宋_GBK" w:cs="方正仿宋_GBK"/>
          <w:kern w:val="2"/>
          <w:sz w:val="32"/>
          <w:szCs w:val="32"/>
          <w:highlight w:val="none"/>
          <w:lang w:val="en-US" w:eastAsia="zh-CN" w:bidi="ar-SA"/>
        </w:rPr>
      </w:pPr>
      <w:r>
        <w:rPr>
          <w:rFonts w:hint="eastAsia" w:ascii="方正仿宋_GBK" w:hAnsi="方正仿宋_GBK" w:cs="方正仿宋_GBK"/>
          <w:kern w:val="2"/>
          <w:sz w:val="32"/>
          <w:szCs w:val="32"/>
          <w:highlight w:val="none"/>
          <w:lang w:val="en-US" w:eastAsia="zh-CN" w:bidi="ar-SA"/>
        </w:rPr>
        <w:t>（2）为开展建设工程质量检查、工程质量信用评价事务工作提供服务，收集建筑工程施工安全、受监工程质量及工程主体各方质量的相关信息；</w:t>
      </w:r>
    </w:p>
    <w:p>
      <w:pPr>
        <w:pStyle w:val="4"/>
        <w:spacing w:line="560" w:lineRule="exact"/>
        <w:rPr>
          <w:rFonts w:hint="eastAsia" w:ascii="方正仿宋_GBK" w:hAnsi="方正仿宋_GBK" w:cs="方正仿宋_GBK"/>
          <w:kern w:val="2"/>
          <w:sz w:val="32"/>
          <w:szCs w:val="32"/>
          <w:highlight w:val="none"/>
          <w:lang w:val="en-US" w:eastAsia="zh-CN" w:bidi="ar-SA"/>
        </w:rPr>
      </w:pPr>
      <w:r>
        <w:rPr>
          <w:rFonts w:hint="eastAsia" w:ascii="方正仿宋_GBK" w:hAnsi="方正仿宋_GBK" w:cs="方正仿宋_GBK"/>
          <w:kern w:val="2"/>
          <w:sz w:val="32"/>
          <w:szCs w:val="32"/>
          <w:highlight w:val="none"/>
          <w:lang w:val="en-US" w:eastAsia="zh-CN" w:bidi="ar-SA"/>
        </w:rPr>
        <w:t>（3）协助主管部门开展建设工程质量、安全文明施工的监督管理；</w:t>
      </w:r>
    </w:p>
    <w:p>
      <w:pPr>
        <w:pStyle w:val="4"/>
        <w:spacing w:line="560" w:lineRule="exact"/>
        <w:rPr>
          <w:rFonts w:hint="eastAsia" w:ascii="方正仿宋_GBK" w:hAnsi="方正仿宋_GBK" w:cs="方正仿宋_GBK"/>
          <w:kern w:val="2"/>
          <w:sz w:val="32"/>
          <w:szCs w:val="32"/>
          <w:highlight w:val="none"/>
          <w:lang w:val="en-US" w:eastAsia="zh-CN" w:bidi="ar-SA"/>
        </w:rPr>
      </w:pPr>
      <w:r>
        <w:rPr>
          <w:rFonts w:hint="eastAsia" w:ascii="方正仿宋_GBK" w:hAnsi="方正仿宋_GBK" w:cs="方正仿宋_GBK"/>
          <w:kern w:val="2"/>
          <w:sz w:val="32"/>
          <w:szCs w:val="32"/>
          <w:highlight w:val="none"/>
          <w:lang w:val="en-US" w:eastAsia="zh-CN" w:bidi="ar-SA"/>
        </w:rPr>
        <w:t>（4）承担建筑机械与设备的推广工作；</w:t>
      </w:r>
    </w:p>
    <w:p>
      <w:pPr>
        <w:pStyle w:val="4"/>
        <w:spacing w:line="560" w:lineRule="exact"/>
        <w:rPr>
          <w:rFonts w:hint="eastAsia" w:ascii="方正仿宋_GBK" w:hAnsi="方正仿宋_GBK" w:cs="方正仿宋_GBK"/>
          <w:kern w:val="2"/>
          <w:sz w:val="32"/>
          <w:szCs w:val="32"/>
          <w:highlight w:val="none"/>
          <w:lang w:val="en-US" w:eastAsia="zh-CN" w:bidi="ar-SA"/>
        </w:rPr>
      </w:pPr>
      <w:r>
        <w:rPr>
          <w:rFonts w:hint="eastAsia" w:ascii="方正仿宋_GBK" w:hAnsi="方正仿宋_GBK" w:cs="方正仿宋_GBK"/>
          <w:kern w:val="2"/>
          <w:sz w:val="32"/>
          <w:szCs w:val="32"/>
          <w:highlight w:val="none"/>
          <w:lang w:val="en-US" w:eastAsia="zh-CN" w:bidi="ar-SA"/>
        </w:rPr>
        <w:t>（5）将辖区内发生的受监工程质量事故和辖区内建设工程事故及时汇报主管部门，并协助做好调查处理和统计上报等相关工作；</w:t>
      </w:r>
    </w:p>
    <w:p>
      <w:pPr>
        <w:pStyle w:val="4"/>
        <w:spacing w:line="560" w:lineRule="exact"/>
        <w:rPr>
          <w:rFonts w:hint="eastAsia" w:ascii="方正仿宋_GBK" w:hAnsi="方正仿宋_GBK" w:cs="方正仿宋_GBK"/>
          <w:kern w:val="2"/>
          <w:sz w:val="32"/>
          <w:szCs w:val="32"/>
          <w:highlight w:val="none"/>
          <w:lang w:val="en-US" w:eastAsia="zh-CN" w:bidi="ar-SA"/>
        </w:rPr>
      </w:pPr>
      <w:r>
        <w:rPr>
          <w:rFonts w:hint="eastAsia" w:ascii="方正仿宋_GBK" w:hAnsi="方正仿宋_GBK" w:cs="方正仿宋_GBK"/>
          <w:kern w:val="2"/>
          <w:sz w:val="32"/>
          <w:szCs w:val="32"/>
          <w:highlight w:val="none"/>
          <w:lang w:val="en-US" w:eastAsia="zh-CN" w:bidi="ar-SA"/>
        </w:rPr>
        <w:t>（6）负责施工企业从业人员的安全生产教育培训工作；</w:t>
      </w:r>
    </w:p>
    <w:p>
      <w:pPr>
        <w:pStyle w:val="4"/>
        <w:spacing w:line="560" w:lineRule="exact"/>
        <w:rPr>
          <w:rFonts w:hint="default"/>
          <w:lang w:val="en-US" w:eastAsia="zh-CN"/>
        </w:rPr>
      </w:pPr>
      <w:r>
        <w:rPr>
          <w:rFonts w:hint="eastAsia" w:ascii="方正仿宋_GBK" w:hAnsi="方正仿宋_GBK" w:cs="方正仿宋_GBK"/>
          <w:kern w:val="2"/>
          <w:sz w:val="32"/>
          <w:szCs w:val="32"/>
          <w:highlight w:val="none"/>
          <w:lang w:val="en-US" w:eastAsia="zh-CN" w:bidi="ar-SA"/>
        </w:rPr>
        <w:t>（7）承办主管部门交办的其他事项。</w:t>
      </w:r>
    </w:p>
    <w:p>
      <w:pPr>
        <w:pStyle w:val="4"/>
        <w:spacing w:line="560" w:lineRule="exact"/>
      </w:pPr>
      <w:r>
        <w:t>（二）</w:t>
      </w:r>
      <w:r>
        <w:rPr>
          <w:rFonts w:hint="eastAsia"/>
        </w:rPr>
        <w:t>预算及支出情况</w:t>
      </w:r>
      <w:bookmarkEnd w:id="2"/>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1、财政资金整体支出</w:t>
      </w:r>
    </w:p>
    <w:p>
      <w:pPr>
        <w:widowControl/>
        <w:spacing w:line="560" w:lineRule="exact"/>
        <w:ind w:firstLine="640" w:firstLineChars="200"/>
        <w:rPr>
          <w:rFonts w:ascii="宋体" w:hAnsi="宋体" w:cs="Arial"/>
          <w:kern w:val="0"/>
          <w:sz w:val="20"/>
          <w:szCs w:val="20"/>
        </w:rPr>
      </w:pPr>
      <w:r>
        <w:rPr>
          <w:rFonts w:hint="eastAsia" w:ascii="方正仿宋_GBK" w:hAnsi="方正仿宋_GBK" w:eastAsia="方正仿宋_GBK" w:cs="方正仿宋_GBK"/>
          <w:sz w:val="32"/>
          <w:szCs w:val="32"/>
        </w:rPr>
        <w:t>2021年财政资金年初支出预算为693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800295万元，年中调整预算为968</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446267万元，上年结转41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418536万元，调整后支出预算为1009</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864803万元；年末支出决算为947</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733557万元，年末结转和结余为62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131246万元。</w:t>
      </w:r>
    </w:p>
    <w:p>
      <w:pPr>
        <w:spacing w:line="56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2、部门“三公”经费支出</w:t>
      </w:r>
    </w:p>
    <w:p>
      <w:pPr>
        <w:widowControl/>
        <w:spacing w:line="560" w:lineRule="exact"/>
        <w:ind w:firstLine="640" w:firstLineChars="200"/>
        <w:rPr>
          <w:rFonts w:ascii="宋体" w:hAnsi="宋体" w:cs="Arial"/>
          <w:kern w:val="0"/>
          <w:sz w:val="20"/>
          <w:szCs w:val="20"/>
        </w:rPr>
      </w:pPr>
      <w:r>
        <w:rPr>
          <w:rFonts w:hint="eastAsia" w:ascii="方正仿宋_GBK" w:hAnsi="方正仿宋_GBK" w:eastAsia="方正仿宋_GBK" w:cs="方正仿宋_GBK"/>
          <w:sz w:val="32"/>
          <w:szCs w:val="32"/>
          <w:highlight w:val="none"/>
        </w:rPr>
        <w:t>2021年“三公”经费支出总额3</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45588万元，其中：公务车运行维护费2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68968万元、国内公务接待</w:t>
      </w:r>
      <w:r>
        <w:rPr>
          <w:rFonts w:hint="eastAsia" w:ascii="方正仿宋_GBK" w:hAnsi="方正仿宋_GBK" w:eastAsia="方正仿宋_GBK" w:cs="方正仿宋_GBK"/>
          <w:sz w:val="32"/>
          <w:szCs w:val="32"/>
          <w:highlight w:val="none"/>
          <w:lang w:val="en-US" w:eastAsia="zh-CN"/>
        </w:rPr>
        <w:t>0.</w:t>
      </w:r>
      <w:r>
        <w:rPr>
          <w:rFonts w:hint="eastAsia" w:ascii="方正仿宋_GBK" w:hAnsi="方正仿宋_GBK" w:eastAsia="方正仿宋_GBK" w:cs="方正仿宋_GBK"/>
          <w:sz w:val="32"/>
          <w:szCs w:val="32"/>
          <w:highlight w:val="none"/>
        </w:rPr>
        <w:t>7662万元。年初预算支出</w:t>
      </w:r>
      <w:r>
        <w:rPr>
          <w:rFonts w:hint="eastAsia" w:ascii="方正仿宋_GBK" w:hAnsi="方正仿宋_GBK" w:eastAsia="方正仿宋_GBK" w:cs="方正仿宋_GBK"/>
          <w:sz w:val="32"/>
          <w:szCs w:val="32"/>
          <w:highlight w:val="none"/>
          <w:lang w:val="en-US" w:eastAsia="zh-CN"/>
        </w:rPr>
        <w:t>8</w:t>
      </w:r>
      <w:r>
        <w:rPr>
          <w:rFonts w:hint="eastAsia" w:ascii="方正仿宋_GBK" w:hAnsi="方正仿宋_GBK" w:eastAsia="方正仿宋_GBK" w:cs="方正仿宋_GBK"/>
          <w:sz w:val="32"/>
          <w:szCs w:val="32"/>
          <w:highlight w:val="none"/>
        </w:rPr>
        <w:t>万，比预算减少</w:t>
      </w:r>
      <w:r>
        <w:rPr>
          <w:rFonts w:hint="eastAsia" w:ascii="方正仿宋_GBK" w:hAnsi="方正仿宋_GBK" w:eastAsia="方正仿宋_GBK" w:cs="方正仿宋_GBK"/>
          <w:sz w:val="32"/>
          <w:szCs w:val="32"/>
          <w:highlight w:val="none"/>
          <w:lang w:val="en-US" w:eastAsia="zh-CN"/>
        </w:rPr>
        <w:t>4.54412</w:t>
      </w:r>
      <w:r>
        <w:rPr>
          <w:rFonts w:hint="eastAsia" w:ascii="方正仿宋_GBK" w:hAnsi="方正仿宋_GBK" w:eastAsia="方正仿宋_GBK" w:cs="方正仿宋_GBK"/>
          <w:sz w:val="32"/>
          <w:szCs w:val="32"/>
          <w:highlight w:val="none"/>
        </w:rPr>
        <w:t>万元，主要原因是</w:t>
      </w:r>
      <w:r>
        <w:rPr>
          <w:rFonts w:hint="eastAsia" w:ascii="方正仿宋_GBK" w:hAnsi="方正仿宋_GBK" w:eastAsia="方正仿宋_GBK" w:cs="方正仿宋_GBK"/>
          <w:sz w:val="32"/>
          <w:szCs w:val="32"/>
          <w:highlight w:val="none"/>
          <w:lang w:val="en-US" w:eastAsia="zh-CN"/>
        </w:rPr>
        <w:t>公务车运行维护费和</w:t>
      </w:r>
      <w:r>
        <w:rPr>
          <w:rFonts w:hint="eastAsia" w:ascii="方正仿宋_GBK" w:hAnsi="方正仿宋_GBK" w:eastAsia="方正仿宋_GBK" w:cs="方正仿宋_GBK"/>
          <w:sz w:val="32"/>
          <w:szCs w:val="32"/>
          <w:highlight w:val="none"/>
        </w:rPr>
        <w:t>公务接待费减少。公务用车未新购置、保有量为</w:t>
      </w:r>
      <w:r>
        <w:rPr>
          <w:rFonts w:hint="eastAsia" w:ascii="方正仿宋_GBK" w:hAnsi="方正仿宋_GBK"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辆、无因公出国（境）团组数及人数，国内公务接待</w:t>
      </w:r>
      <w:r>
        <w:rPr>
          <w:rFonts w:hint="eastAsia" w:ascii="方正仿宋_GBK" w:hAnsi="方正仿宋_GBK" w:eastAsia="方正仿宋_GBK" w:cs="方正仿宋_GBK"/>
          <w:sz w:val="32"/>
          <w:szCs w:val="32"/>
          <w:highlight w:val="none"/>
          <w:lang w:val="en-US" w:eastAsia="zh-CN"/>
        </w:rPr>
        <w:t>9</w:t>
      </w:r>
      <w:r>
        <w:rPr>
          <w:rFonts w:hint="eastAsia" w:ascii="方正仿宋_GBK" w:hAnsi="方正仿宋_GBK" w:eastAsia="方正仿宋_GBK" w:cs="方正仿宋_GBK"/>
          <w:sz w:val="32"/>
          <w:szCs w:val="32"/>
          <w:highlight w:val="none"/>
        </w:rPr>
        <w:t>批次及</w:t>
      </w:r>
      <w:r>
        <w:rPr>
          <w:rFonts w:hint="eastAsia" w:ascii="方正仿宋_GBK" w:hAnsi="方正仿宋_GBK" w:eastAsia="方正仿宋_GBK" w:cs="方正仿宋_GBK"/>
          <w:sz w:val="32"/>
          <w:szCs w:val="32"/>
          <w:highlight w:val="none"/>
          <w:lang w:val="en-US" w:eastAsia="zh-CN"/>
        </w:rPr>
        <w:t>60</w:t>
      </w:r>
      <w:r>
        <w:rPr>
          <w:rFonts w:hint="eastAsia" w:ascii="方正仿宋_GBK" w:hAnsi="方正仿宋_GBK" w:eastAsia="方正仿宋_GBK" w:cs="方正仿宋_GBK"/>
          <w:sz w:val="32"/>
          <w:szCs w:val="32"/>
          <w:highlight w:val="none"/>
        </w:rPr>
        <w:t>人数。</w:t>
      </w:r>
      <w:r>
        <w:rPr>
          <w:rFonts w:hint="eastAsia" w:ascii="方正仿宋_GBK" w:hAnsi="方正仿宋_GBK" w:eastAsia="方正仿宋_GBK" w:cs="方正仿宋_GBK"/>
          <w:sz w:val="32"/>
          <w:szCs w:val="32"/>
        </w:rPr>
        <w:t xml:space="preserve">  </w:t>
      </w:r>
    </w:p>
    <w:p>
      <w:pPr>
        <w:pStyle w:val="3"/>
        <w:spacing w:line="560" w:lineRule="exact"/>
        <w:rPr>
          <w:rFonts w:eastAsia="方正仿宋_GBK"/>
        </w:rPr>
      </w:pPr>
      <w:bookmarkStart w:id="3" w:name="_Toc99031603"/>
      <w:r>
        <w:t>二、绩效评价</w:t>
      </w:r>
      <w:r>
        <w:rPr>
          <w:rFonts w:hint="eastAsia"/>
        </w:rPr>
        <w:t>基本</w:t>
      </w:r>
      <w:r>
        <w:t>情况</w:t>
      </w:r>
      <w:bookmarkEnd w:id="3"/>
    </w:p>
    <w:p>
      <w:pPr>
        <w:pStyle w:val="4"/>
        <w:spacing w:line="560" w:lineRule="exact"/>
      </w:pPr>
      <w:bookmarkStart w:id="4" w:name="_Toc99031604"/>
      <w:r>
        <w:t>（一）绩效评价目的</w:t>
      </w:r>
      <w:bookmarkEnd w:id="4"/>
    </w:p>
    <w:p>
      <w:pPr>
        <w:spacing w:line="560" w:lineRule="exact"/>
        <w:ind w:firstLine="640" w:firstLineChars="200"/>
        <w:rPr>
          <w:rFonts w:ascii="方正仿宋_GBK" w:eastAsia="方正仿宋_GBK"/>
        </w:rPr>
      </w:pPr>
      <w:r>
        <w:rPr>
          <w:rFonts w:hint="eastAsia" w:ascii="方正仿宋_GBK" w:eastAsia="方正仿宋_GBK"/>
          <w:sz w:val="32"/>
          <w:szCs w:val="32"/>
        </w:rPr>
        <w:t>为加强预算执行分析，规范财务管理，强化财政资金跟 踪问效和绩效管理，建立对下属预算单位的监督、指导机制， 及时发现问题并采取有效措施解决，组织开展部门2021年整体支出绩效自评。</w:t>
      </w:r>
    </w:p>
    <w:p>
      <w:pPr>
        <w:pStyle w:val="4"/>
        <w:spacing w:line="560" w:lineRule="exact"/>
      </w:pPr>
      <w:bookmarkStart w:id="5" w:name="_Toc99031605"/>
      <w:r>
        <w:t>（二）绩效评价原则</w:t>
      </w:r>
      <w:bookmarkEnd w:id="5"/>
    </w:p>
    <w:p>
      <w:pPr>
        <w:spacing w:line="560" w:lineRule="exact"/>
        <w:ind w:firstLine="640" w:firstLineChars="200"/>
        <w:rPr>
          <w:rFonts w:ascii="方正仿宋_GBK" w:eastAsia="方正仿宋_GBK"/>
          <w:bCs/>
          <w:sz w:val="32"/>
          <w:szCs w:val="32"/>
        </w:rPr>
      </w:pPr>
      <w:r>
        <w:rPr>
          <w:rFonts w:hint="eastAsia" w:ascii="方正仿宋_GBK" w:eastAsia="方正仿宋_GBK"/>
          <w:bCs/>
          <w:sz w:val="32"/>
          <w:szCs w:val="32"/>
        </w:rPr>
        <w:t>绩效评价原则包括科学规范原则、公开公正原则、分级分类原则、绩效相关原则。</w:t>
      </w:r>
    </w:p>
    <w:p>
      <w:pPr>
        <w:pStyle w:val="4"/>
        <w:spacing w:line="560" w:lineRule="exact"/>
      </w:pPr>
      <w:bookmarkStart w:id="6" w:name="_Toc99031606"/>
      <w:r>
        <w:rPr>
          <w:rFonts w:hint="eastAsia"/>
        </w:rPr>
        <w:t>（三）绩效评价工作过程</w:t>
      </w:r>
      <w:bookmarkEnd w:id="6"/>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1、前期准备</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根据</w:t>
      </w:r>
      <w:r>
        <w:rPr>
          <w:rFonts w:hint="eastAsia" w:ascii="方正仿宋_GBK" w:hAnsi="方正仿宋_GBK" w:eastAsia="方正仿宋_GBK" w:cs="方正仿宋_GBK"/>
          <w:color w:val="auto"/>
          <w:sz w:val="32"/>
          <w:szCs w:val="32"/>
        </w:rPr>
        <w:t>《重庆市璧山区财政局关于</w:t>
      </w:r>
      <w:r>
        <w:rPr>
          <w:rFonts w:hint="eastAsia" w:ascii="方正仿宋_GBK" w:hAnsi="方正仿宋_GBK" w:eastAsia="方正仿宋_GBK" w:cs="方正仿宋_GBK"/>
          <w:color w:val="auto"/>
          <w:sz w:val="32"/>
          <w:szCs w:val="32"/>
          <w:lang w:eastAsia="zh-CN"/>
        </w:rPr>
        <w:t>开展</w:t>
      </w:r>
      <w:r>
        <w:rPr>
          <w:rFonts w:hint="eastAsia" w:ascii="方正仿宋_GBK" w:hAnsi="方正仿宋_GBK" w:eastAsia="方正仿宋_GBK" w:cs="方正仿宋_GBK"/>
          <w:color w:val="auto"/>
          <w:sz w:val="32"/>
          <w:szCs w:val="32"/>
        </w:rPr>
        <w:t>2021年度预算绩效</w:t>
      </w:r>
      <w:r>
        <w:rPr>
          <w:rFonts w:hint="eastAsia" w:ascii="方正仿宋_GBK" w:hAnsi="方正仿宋_GBK" w:eastAsia="方正仿宋_GBK" w:cs="方正仿宋_GBK"/>
          <w:color w:val="auto"/>
          <w:sz w:val="32"/>
          <w:szCs w:val="32"/>
          <w:lang w:eastAsia="zh-CN"/>
        </w:rPr>
        <w:t>自评工作</w:t>
      </w:r>
      <w:r>
        <w:rPr>
          <w:rFonts w:hint="eastAsia" w:ascii="方正仿宋_GBK" w:hAnsi="方正仿宋_GBK" w:eastAsia="方正仿宋_GBK" w:cs="方正仿宋_GBK"/>
          <w:color w:val="auto"/>
          <w:sz w:val="32"/>
          <w:szCs w:val="32"/>
        </w:rPr>
        <w:t>的通知》（璧财绩〔2022〕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号）</w:t>
      </w:r>
      <w:r>
        <w:rPr>
          <w:rFonts w:hint="eastAsia" w:ascii="方正仿宋_GBK" w:eastAsia="方正仿宋_GBK" w:cs="方正仿宋_GBK"/>
          <w:sz w:val="32"/>
          <w:szCs w:val="32"/>
        </w:rPr>
        <w:t>文件要求，我单位高度重视绩效评价，组成由单位领导、</w:t>
      </w:r>
      <w:r>
        <w:rPr>
          <w:rFonts w:hint="eastAsia" w:ascii="方正仿宋_GBK" w:eastAsia="方正仿宋_GBK" w:cs="方正仿宋_GBK"/>
          <w:sz w:val="32"/>
          <w:szCs w:val="32"/>
          <w:lang w:eastAsia="zh-CN"/>
        </w:rPr>
        <w:t>财务人员</w:t>
      </w:r>
      <w:r>
        <w:rPr>
          <w:rFonts w:hint="eastAsia" w:ascii="方正仿宋_GBK" w:eastAsia="方正仿宋_GBK" w:cs="方正仿宋_GBK"/>
          <w:sz w:val="32"/>
          <w:szCs w:val="32"/>
        </w:rPr>
        <w:t>和项目负责人组成的自评小组，制定自评方案，明确自评程序和方法，通知要求资金使用科室上报资金使用情况、项目实施情况及计划绩效目标完成情况。</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2、组织实施</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本次绩效评价工作分为两个阶段：</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第一个阶段为评价准备阶段，自评工作组梳理和研读了国家层面、市级层面、区级层面与本次评价部门整体有关的政策文件，获得评价资料。</w:t>
      </w:r>
    </w:p>
    <w:p>
      <w:pPr>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第二个阶段为实施评价阶段，自评工作组在2022年2月23日至3月1</w:t>
      </w:r>
      <w:r>
        <w:rPr>
          <w:rFonts w:hint="eastAsia" w:ascii="方正仿宋_GBK" w:eastAsia="方正仿宋_GBK" w:cs="方正仿宋_GBK"/>
          <w:sz w:val="32"/>
          <w:szCs w:val="32"/>
          <w:lang w:val="en-US" w:eastAsia="zh-CN"/>
        </w:rPr>
        <w:t>1</w:t>
      </w:r>
      <w:r>
        <w:rPr>
          <w:rFonts w:hint="eastAsia" w:ascii="方正仿宋_GBK" w:eastAsia="方正仿宋_GBK" w:cs="方正仿宋_GBK"/>
          <w:sz w:val="32"/>
          <w:szCs w:val="32"/>
        </w:rPr>
        <w:t>日开展评价实施。取得评价部门整体实施的进度和资金筹集支出情况等资料，通过研读搭建指标体系，填写《重庆市</w:t>
      </w:r>
      <w:r>
        <w:rPr>
          <w:rFonts w:hint="eastAsia" w:ascii="方正仿宋_GBK" w:eastAsia="方正仿宋_GBK" w:cs="方正仿宋_GBK"/>
          <w:sz w:val="32"/>
          <w:szCs w:val="32"/>
          <w:lang w:eastAsia="zh-CN"/>
        </w:rPr>
        <w:t>璧山区建设工程安全质量事务中心</w:t>
      </w:r>
      <w:r>
        <w:rPr>
          <w:rFonts w:hint="eastAsia" w:ascii="方正仿宋_GBK" w:eastAsia="方正仿宋_GBK" w:cs="方正仿宋_GBK"/>
          <w:sz w:val="32"/>
          <w:szCs w:val="32"/>
        </w:rPr>
        <w:t>2021年度部门整体支出绩效自评表》并撰写自评报告。</w:t>
      </w:r>
    </w:p>
    <w:p>
      <w:pPr>
        <w:spacing w:line="560" w:lineRule="exact"/>
        <w:ind w:firstLine="640" w:firstLineChars="200"/>
        <w:outlineLvl w:val="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3、分析评价</w:t>
      </w:r>
    </w:p>
    <w:p>
      <w:pPr>
        <w:spacing w:line="560" w:lineRule="exact"/>
        <w:ind w:firstLine="640" w:firstLineChars="200"/>
        <w:rPr>
          <w:rFonts w:ascii="方正仿宋_GBK" w:eastAsia="方正仿宋_GBK"/>
        </w:rPr>
      </w:pPr>
      <w:r>
        <w:rPr>
          <w:rFonts w:hint="eastAsia" w:ascii="方正仿宋_GBK" w:eastAsia="方正仿宋_GBK" w:cs="方正仿宋_GBK"/>
          <w:sz w:val="32"/>
          <w:szCs w:val="32"/>
        </w:rPr>
        <w:t>2022年3月1</w:t>
      </w:r>
      <w:r>
        <w:rPr>
          <w:rFonts w:hint="eastAsia" w:ascii="方正仿宋_GBK" w:eastAsia="方正仿宋_GBK" w:cs="方正仿宋_GBK"/>
          <w:sz w:val="32"/>
          <w:szCs w:val="32"/>
          <w:lang w:val="en-US" w:eastAsia="zh-CN"/>
        </w:rPr>
        <w:t>2</w:t>
      </w:r>
      <w:r>
        <w:rPr>
          <w:rFonts w:hint="eastAsia" w:ascii="方正仿宋_GBK" w:eastAsia="方正仿宋_GBK" w:cs="方正仿宋_GBK"/>
          <w:sz w:val="32"/>
          <w:szCs w:val="32"/>
        </w:rPr>
        <w:t>日至3月1</w:t>
      </w:r>
      <w:r>
        <w:rPr>
          <w:rFonts w:hint="eastAsia" w:ascii="方正仿宋_GBK" w:eastAsia="方正仿宋_GBK" w:cs="方正仿宋_GBK"/>
          <w:sz w:val="32"/>
          <w:szCs w:val="32"/>
          <w:lang w:val="en-US" w:eastAsia="zh-CN"/>
        </w:rPr>
        <w:t>9</w:t>
      </w:r>
      <w:r>
        <w:rPr>
          <w:rFonts w:hint="eastAsia" w:ascii="方正仿宋_GBK" w:eastAsia="方正仿宋_GBK" w:cs="方正仿宋_GBK"/>
          <w:sz w:val="32"/>
          <w:szCs w:val="32"/>
        </w:rPr>
        <w:t>日，自评工作组根据《重庆市</w:t>
      </w:r>
      <w:r>
        <w:rPr>
          <w:rFonts w:hint="eastAsia" w:ascii="方正仿宋_GBK" w:eastAsia="方正仿宋_GBK" w:cs="方正仿宋_GBK"/>
          <w:sz w:val="32"/>
          <w:szCs w:val="32"/>
          <w:lang w:eastAsia="zh-CN"/>
        </w:rPr>
        <w:t>璧山区建设工程安全质量事务中心</w:t>
      </w:r>
      <w:r>
        <w:rPr>
          <w:rFonts w:hint="eastAsia" w:ascii="方正仿宋_GBK" w:eastAsia="方正仿宋_GBK" w:cs="方正仿宋_GBK"/>
          <w:sz w:val="32"/>
          <w:szCs w:val="32"/>
        </w:rPr>
        <w:t>2021年度部门整体支出绩效自评表》中的指标体系以及自评报告的分析情况，对初稿进行审核，按照相关文件、资金拨付资料，开展自评检查工作，对部门整体实施情况和质量进行评定。提出修改意见，形成部门整体绩效评价报告。</w:t>
      </w:r>
    </w:p>
    <w:p>
      <w:pPr>
        <w:pStyle w:val="3"/>
        <w:spacing w:line="560" w:lineRule="exact"/>
      </w:pPr>
      <w:bookmarkStart w:id="7" w:name="_Toc99031607"/>
      <w:r>
        <w:t>三、</w:t>
      </w:r>
      <w:r>
        <w:rPr>
          <w:rFonts w:hint="eastAsia"/>
        </w:rPr>
        <w:t>绩效</w:t>
      </w:r>
      <w:r>
        <w:t>评价情况及结论</w:t>
      </w:r>
      <w:bookmarkEnd w:id="7"/>
    </w:p>
    <w:p>
      <w:pPr>
        <w:spacing w:line="560" w:lineRule="exact"/>
        <w:ind w:firstLine="640" w:firstLineChars="200"/>
        <w:rPr>
          <w:rFonts w:ascii="方正仿宋_GBK" w:eastAsia="方正仿宋_GBK"/>
        </w:rPr>
      </w:pPr>
      <w:r>
        <w:rPr>
          <w:rFonts w:hint="eastAsia" w:ascii="方正仿宋_GBK" w:eastAsia="方正仿宋_GBK" w:cs="方正仿宋_GBK"/>
          <w:sz w:val="32"/>
          <w:szCs w:val="32"/>
        </w:rPr>
        <w:t>根据《重庆市</w:t>
      </w:r>
      <w:r>
        <w:rPr>
          <w:rFonts w:hint="eastAsia" w:ascii="方正仿宋_GBK" w:eastAsia="方正仿宋_GBK" w:cs="方正仿宋_GBK"/>
          <w:sz w:val="32"/>
          <w:szCs w:val="32"/>
          <w:lang w:eastAsia="zh-CN"/>
        </w:rPr>
        <w:t>璧山区建设工程安全质量事务中心</w:t>
      </w:r>
      <w:r>
        <w:rPr>
          <w:rFonts w:hint="eastAsia" w:ascii="方正仿宋_GBK" w:eastAsia="方正仿宋_GBK" w:cs="方正仿宋_GBK"/>
          <w:sz w:val="32"/>
          <w:szCs w:val="32"/>
        </w:rPr>
        <w:t>2021年度部门整体支出绩效自评表》中的指标体系分析情况，重庆市</w:t>
      </w:r>
      <w:r>
        <w:rPr>
          <w:rFonts w:hint="eastAsia" w:ascii="方正仿宋_GBK" w:eastAsia="方正仿宋_GBK" w:cs="方正仿宋_GBK"/>
          <w:sz w:val="32"/>
          <w:szCs w:val="32"/>
          <w:lang w:eastAsia="zh-CN"/>
        </w:rPr>
        <w:t>璧山区建设工程安全质量事务中心</w:t>
      </w:r>
      <w:r>
        <w:rPr>
          <w:rFonts w:hint="eastAsia" w:ascii="方正仿宋_GBK" w:eastAsia="方正仿宋_GBK" w:cs="方正仿宋_GBK"/>
          <w:sz w:val="32"/>
          <w:szCs w:val="32"/>
        </w:rPr>
        <w:t>2021年度部门整体支出绩效自评总得分99</w:t>
      </w:r>
      <w:r>
        <w:rPr>
          <w:rFonts w:hint="eastAsia" w:ascii="方正仿宋_GBK" w:eastAsia="方正仿宋_GBK" w:cs="方正仿宋_GBK"/>
          <w:sz w:val="32"/>
          <w:szCs w:val="32"/>
          <w:lang w:val="en-US" w:eastAsia="zh-CN"/>
        </w:rPr>
        <w:t>.6</w:t>
      </w:r>
      <w:r>
        <w:rPr>
          <w:rFonts w:hint="eastAsia" w:ascii="方正仿宋_GBK" w:eastAsia="方正仿宋_GBK" w:cs="方正仿宋_GBK"/>
          <w:sz w:val="32"/>
          <w:szCs w:val="32"/>
        </w:rPr>
        <w:t>分，等级为“优”。具体得分情况如表1所示。</w:t>
      </w:r>
    </w:p>
    <w:p>
      <w:pPr>
        <w:widowControl/>
        <w:shd w:val="clear" w:color="auto" w:fill="FFFFFF"/>
        <w:adjustRightInd w:val="0"/>
        <w:snapToGrid w:val="0"/>
        <w:spacing w:line="560" w:lineRule="exact"/>
        <w:ind w:firstLine="560" w:firstLineChars="200"/>
        <w:jc w:val="center"/>
      </w:pPr>
      <w:r>
        <w:rPr>
          <w:rFonts w:hint="eastAsia" w:ascii="方正仿宋_GBK" w:hAnsi="方正仿宋_GBK" w:eastAsia="方正仿宋_GBK" w:cs="方正仿宋_GBK"/>
          <w:kern w:val="0"/>
          <w:sz w:val="28"/>
          <w:szCs w:val="28"/>
          <w:shd w:val="clear" w:color="auto" w:fill="FFFFFF"/>
        </w:rPr>
        <w:t>表 1：指标得分情况</w:t>
      </w:r>
    </w:p>
    <w:tbl>
      <w:tblPr>
        <w:tblStyle w:val="10"/>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68"/>
        <w:gridCol w:w="1677"/>
        <w:gridCol w:w="1676"/>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6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指标名称</w:t>
            </w:r>
          </w:p>
        </w:tc>
        <w:tc>
          <w:tcPr>
            <w:tcW w:w="1677"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权重</w:t>
            </w:r>
          </w:p>
        </w:tc>
        <w:tc>
          <w:tcPr>
            <w:tcW w:w="1676"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得分</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方正仿宋_GBK" w:eastAsia="方正仿宋_GBK" w:cs="方正仿宋_GBK"/>
                <w:kern w:val="0"/>
                <w:szCs w:val="21"/>
                <w:shd w:val="clear" w:color="auto" w:fill="FFFFFF"/>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预算执行率</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10</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预决算公开率</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10</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10</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租赁车辆</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全区所有在建项目端口数</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成本控制率</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建设工程质量政策法规、标准和规范的宣传和推广</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每季度专项检查次数</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每次检查项目数量</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仿宋" w:eastAsia="方正仿宋_GBK" w:cs="仿宋"/>
                <w:color w:val="000000"/>
                <w:kern w:val="0"/>
                <w:szCs w:val="21"/>
                <w:lang w:bidi="ar"/>
              </w:rPr>
            </w:pPr>
            <w:r>
              <w:rPr>
                <w:rFonts w:hint="eastAsia" w:ascii="仿宋" w:hAnsi="仿宋" w:eastAsia="仿宋" w:cs="仿宋"/>
                <w:i w:val="0"/>
                <w:iCs w:val="0"/>
                <w:color w:val="000000"/>
                <w:kern w:val="0"/>
                <w:sz w:val="24"/>
                <w:szCs w:val="24"/>
                <w:u w:val="none"/>
                <w:lang w:val="en-US" w:eastAsia="zh-CN" w:bidi="ar"/>
              </w:rPr>
              <w:t>每次检查专家聘请人数</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ascii="方正仿宋_GBK" w:hAnsi="仿宋" w:eastAsia="方正仿宋_GBK" w:cs="仿宋"/>
                <w:color w:val="000000"/>
                <w:kern w:val="0"/>
                <w:szCs w:val="21"/>
                <w:lang w:bidi="ar"/>
              </w:rPr>
            </w:pPr>
            <w:r>
              <w:rPr>
                <w:rFonts w:hint="eastAsia" w:ascii="仿宋" w:hAnsi="仿宋" w:eastAsia="仿宋" w:cs="仿宋"/>
                <w:i w:val="0"/>
                <w:iCs w:val="0"/>
                <w:color w:val="000000"/>
                <w:kern w:val="0"/>
                <w:sz w:val="24"/>
                <w:szCs w:val="24"/>
                <w:u w:val="none"/>
                <w:lang w:val="en-US" w:eastAsia="zh-CN" w:bidi="ar"/>
              </w:rPr>
              <w:t>住建部、市建委、市质监总站、市安监总站检查次数</w:t>
            </w:r>
          </w:p>
        </w:tc>
        <w:tc>
          <w:tcPr>
            <w:tcW w:w="1677" w:type="dxa"/>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ascii="方正仿宋_GBK" w:hAnsi="方正仿宋_GBK" w:eastAsia="方正仿宋_GBK" w:cs="方正仿宋_GBK"/>
                <w:kern w:val="0"/>
                <w:szCs w:val="21"/>
                <w:shd w:val="clear" w:color="auto" w:fill="FFFFFF"/>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ascii="方正仿宋_GBK" w:hAnsi="方正仿宋_GBK" w:eastAsia="方正仿宋_GBK" w:cs="方正仿宋_GBK"/>
                <w:kern w:val="0"/>
                <w:szCs w:val="21"/>
                <w:shd w:val="clear" w:color="auto" w:fill="FFFFFF"/>
              </w:rPr>
            </w:pPr>
            <w:r>
              <w:rPr>
                <w:rFonts w:hint="eastAsia" w:ascii="方正仿宋_GBK" w:hAnsi="仿宋" w:eastAsia="方正仿宋_GBK"/>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仿宋" w:hAnsi="仿宋" w:eastAsia="仿宋" w:cs="仿宋"/>
                <w:i w:val="0"/>
                <w:iCs w:val="0"/>
                <w:color w:val="000000"/>
                <w:kern w:val="0"/>
                <w:sz w:val="24"/>
                <w:szCs w:val="24"/>
                <w:u w:val="none"/>
                <w:lang w:val="en-US" w:eastAsia="zh-CN" w:bidi="ar"/>
              </w:rPr>
              <w:t>安全生产教育培训对在建工程施工质量安全有帮助</w:t>
            </w:r>
          </w:p>
        </w:tc>
        <w:tc>
          <w:tcPr>
            <w:tcW w:w="1677" w:type="dxa"/>
            <w:shd w:val="clear" w:color="auto" w:fill="auto"/>
            <w:vAlign w:val="center"/>
          </w:tcPr>
          <w:p>
            <w:pPr>
              <w:keepNext w:val="0"/>
              <w:keepLines w:val="0"/>
              <w:widowControl/>
              <w:suppressLineNumbers w:val="0"/>
              <w:jc w:val="center"/>
              <w:textAlignment w:val="center"/>
              <w:rPr>
                <w:rFonts w:hint="eastAsia" w:ascii="方正仿宋_GBK" w:hAnsi="仿宋" w:eastAsia="方正仿宋_GBK"/>
                <w:color w:val="000000"/>
                <w:szCs w:val="21"/>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仿宋" w:hAnsi="仿宋" w:eastAsia="仿宋" w:cs="仿宋"/>
                <w:i w:val="0"/>
                <w:iCs w:val="0"/>
                <w:color w:val="000000"/>
                <w:kern w:val="0"/>
                <w:sz w:val="24"/>
                <w:szCs w:val="24"/>
                <w:u w:val="none"/>
                <w:lang w:val="en-US" w:eastAsia="zh-CN" w:bidi="ar"/>
              </w:rPr>
              <w:t>7.6</w:t>
            </w:r>
          </w:p>
        </w:tc>
        <w:tc>
          <w:tcPr>
            <w:tcW w:w="1678" w:type="dxa"/>
            <w:shd w:val="clear" w:color="auto" w:fill="auto"/>
            <w:vAlign w:val="center"/>
          </w:tcPr>
          <w:p>
            <w:pPr>
              <w:widowControl/>
              <w:shd w:val="clear" w:color="auto" w:fill="FFFFFF"/>
              <w:adjustRightInd w:val="0"/>
              <w:snapToGrid w:val="0"/>
              <w:spacing w:line="560" w:lineRule="exact"/>
              <w:jc w:val="center"/>
              <w:rPr>
                <w:rFonts w:hint="default" w:ascii="方正仿宋_GBK" w:hAnsi="仿宋" w:eastAsia="方正仿宋_GBK"/>
                <w:szCs w:val="21"/>
                <w:lang w:val="en-US" w:eastAsia="zh-CN"/>
              </w:rPr>
            </w:pPr>
            <w:r>
              <w:rPr>
                <w:rFonts w:hint="eastAsia" w:ascii="方正仿宋_GBK" w:hAnsi="仿宋" w:eastAsia="方正仿宋_GBK"/>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3268" w:type="dxa"/>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仿宋" w:hAnsi="仿宋" w:eastAsia="仿宋" w:cs="仿宋"/>
                <w:i w:val="0"/>
                <w:iCs w:val="0"/>
                <w:color w:val="000000"/>
                <w:kern w:val="0"/>
                <w:sz w:val="24"/>
                <w:szCs w:val="24"/>
                <w:u w:val="none"/>
                <w:lang w:val="en-US" w:eastAsia="zh-CN" w:bidi="ar"/>
              </w:rPr>
              <w:t>群众满意度</w:t>
            </w:r>
          </w:p>
        </w:tc>
        <w:tc>
          <w:tcPr>
            <w:tcW w:w="1677" w:type="dxa"/>
            <w:shd w:val="clear" w:color="auto" w:fill="auto"/>
            <w:vAlign w:val="center"/>
          </w:tcPr>
          <w:p>
            <w:pPr>
              <w:keepNext w:val="0"/>
              <w:keepLines w:val="0"/>
              <w:widowControl/>
              <w:suppressLineNumbers w:val="0"/>
              <w:jc w:val="center"/>
              <w:textAlignment w:val="center"/>
              <w:rPr>
                <w:rFonts w:hint="eastAsia" w:ascii="方正仿宋_GBK" w:hAnsi="仿宋" w:eastAsia="方正仿宋_GBK"/>
                <w:color w:val="000000"/>
                <w:szCs w:val="21"/>
              </w:rPr>
            </w:pPr>
            <w:r>
              <w:rPr>
                <w:rFonts w:hint="eastAsia" w:ascii="仿宋" w:hAnsi="仿宋" w:eastAsia="仿宋" w:cs="仿宋"/>
                <w:i w:val="0"/>
                <w:iCs w:val="0"/>
                <w:color w:val="000000"/>
                <w:kern w:val="0"/>
                <w:sz w:val="24"/>
                <w:szCs w:val="24"/>
                <w:u w:val="none"/>
                <w:lang w:val="en-US" w:eastAsia="zh-CN" w:bidi="ar"/>
              </w:rPr>
              <w:t>8</w:t>
            </w:r>
          </w:p>
        </w:tc>
        <w:tc>
          <w:tcPr>
            <w:tcW w:w="1676" w:type="dxa"/>
            <w:vAlign w:val="center"/>
          </w:tcPr>
          <w:p>
            <w:pPr>
              <w:keepNext w:val="0"/>
              <w:keepLines w:val="0"/>
              <w:widowControl/>
              <w:suppressLineNumbers w:val="0"/>
              <w:jc w:val="center"/>
              <w:textAlignment w:val="center"/>
              <w:rPr>
                <w:rFonts w:hint="eastAsia" w:ascii="方正仿宋_GBK" w:eastAsia="方正仿宋_GBK"/>
                <w:szCs w:val="21"/>
              </w:rPr>
            </w:pPr>
            <w:r>
              <w:rPr>
                <w:rFonts w:hint="eastAsia" w:ascii="仿宋" w:hAnsi="仿宋" w:eastAsia="仿宋" w:cs="仿宋"/>
                <w:i w:val="0"/>
                <w:iCs w:val="0"/>
                <w:color w:val="000000"/>
                <w:kern w:val="0"/>
                <w:sz w:val="24"/>
                <w:szCs w:val="24"/>
                <w:u w:val="none"/>
                <w:lang w:val="en-US" w:eastAsia="zh-CN" w:bidi="ar"/>
              </w:rPr>
              <w:t>8</w:t>
            </w:r>
          </w:p>
        </w:tc>
        <w:tc>
          <w:tcPr>
            <w:tcW w:w="1678" w:type="dxa"/>
            <w:shd w:val="clear" w:color="auto" w:fill="auto"/>
            <w:vAlign w:val="center"/>
          </w:tcPr>
          <w:p>
            <w:pPr>
              <w:widowControl/>
              <w:shd w:val="clear" w:color="auto" w:fill="FFFFFF"/>
              <w:adjustRightInd w:val="0"/>
              <w:snapToGrid w:val="0"/>
              <w:spacing w:line="560" w:lineRule="exact"/>
              <w:jc w:val="center"/>
              <w:rPr>
                <w:rFonts w:hint="eastAsia" w:ascii="方正仿宋_GBK" w:hAnsi="仿宋" w:eastAsia="方正仿宋_GBK"/>
                <w:szCs w:val="21"/>
              </w:rPr>
            </w:pPr>
            <w:r>
              <w:rPr>
                <w:rFonts w:hint="eastAsia" w:ascii="方正仿宋_GBK" w:hAnsi="仿宋" w:eastAsia="方正仿宋_GBK"/>
                <w:szCs w:val="21"/>
              </w:rPr>
              <w:t>100%</w:t>
            </w:r>
          </w:p>
        </w:tc>
      </w:tr>
    </w:tbl>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预算执行率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lang w:val="en-US" w:eastAsia="zh-CN"/>
        </w:rPr>
        <w:t>我中心2021年财政资金年初支出预算为693.800295万元，年中调整预算为968.446267万元，上年结转41.418536万元，调整后支出预算为1009.864803万元；年末支出决算为947.733557万元，年末结转和结余为62.131246万元，执行率为93.85%</w:t>
      </w:r>
      <w:r>
        <w:rPr>
          <w:rFonts w:hint="eastAsia" w:ascii="方正仿宋_GBK" w:eastAsia="方正仿宋_GBK"/>
          <w:sz w:val="32"/>
          <w:szCs w:val="32"/>
        </w:rPr>
        <w:t>。根据</w:t>
      </w:r>
      <w:r>
        <w:rPr>
          <w:rFonts w:hint="eastAsia" w:ascii="方正仿宋_GBK" w:hAnsi="方正仿宋_GBK" w:eastAsia="方正仿宋_GBK" w:cs="方正仿宋_GBK"/>
          <w:kern w:val="0"/>
          <w:sz w:val="32"/>
          <w:szCs w:val="32"/>
          <w:shd w:val="clear" w:color="auto" w:fill="FFFFFF"/>
        </w:rPr>
        <w:t>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预决算公开率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lang w:val="en-US" w:eastAsia="zh-CN"/>
        </w:rPr>
        <w:t>我中心对预决算信息积极公开，公开率为100%</w:t>
      </w:r>
      <w:r>
        <w:rPr>
          <w:rFonts w:hint="eastAsia" w:ascii="方正仿宋_GBK" w:eastAsia="方正仿宋_GBK"/>
          <w:sz w:val="32"/>
          <w:szCs w:val="32"/>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租赁车辆</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w:t>
      </w:r>
      <w:r>
        <w:rPr>
          <w:rFonts w:hint="eastAsia" w:ascii="方正仿宋_GBK" w:eastAsia="方正仿宋_GBK"/>
          <w:sz w:val="32"/>
          <w:szCs w:val="32"/>
          <w:lang w:val="en-US" w:eastAsia="zh-CN"/>
        </w:rPr>
        <w:t>保证</w:t>
      </w:r>
      <w:r>
        <w:rPr>
          <w:rFonts w:hint="eastAsia" w:ascii="方正仿宋_GBK" w:eastAsia="方正仿宋_GBK"/>
          <w:sz w:val="32"/>
          <w:szCs w:val="32"/>
        </w:rPr>
        <w:t>全区所有在建工程的质量</w:t>
      </w:r>
      <w:r>
        <w:rPr>
          <w:rFonts w:hint="eastAsia" w:ascii="方正仿宋_GBK" w:eastAsia="方正仿宋_GBK"/>
          <w:sz w:val="32"/>
          <w:szCs w:val="32"/>
          <w:lang w:val="en-US" w:eastAsia="zh-CN"/>
        </w:rPr>
        <w:t>及</w:t>
      </w:r>
      <w:r>
        <w:rPr>
          <w:rFonts w:hint="eastAsia" w:ascii="方正仿宋_GBK" w:eastAsia="方正仿宋_GBK"/>
          <w:sz w:val="32"/>
          <w:szCs w:val="32"/>
        </w:rPr>
        <w:t>安全，</w:t>
      </w:r>
      <w:r>
        <w:rPr>
          <w:rFonts w:hint="eastAsia" w:ascii="方正仿宋_GBK" w:eastAsia="方正仿宋_GBK"/>
          <w:sz w:val="32"/>
          <w:szCs w:val="32"/>
          <w:lang w:val="en-US" w:eastAsia="zh-CN"/>
        </w:rPr>
        <w:t>我中心</w:t>
      </w:r>
      <w:r>
        <w:rPr>
          <w:rFonts w:hint="eastAsia" w:ascii="方正仿宋_GBK" w:eastAsia="方正仿宋_GBK"/>
          <w:sz w:val="32"/>
          <w:szCs w:val="32"/>
        </w:rPr>
        <w:t>共5个监督组，每个工作日及周末都需要去各个工地监督及巡查，现有一辆公务用车根本无法满足日常工作需要，租赁两辆公务用车以确保质量、安全监督工作及周末巡查工作的正常开展。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全区所有在建项目端口数</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为加强工程管理、简化报监程序，方便服务对象，我中心于2020年开发、使用了一套专业管理软件用于日常质量、安全管理工作，</w:t>
      </w:r>
      <w:r>
        <w:rPr>
          <w:rFonts w:hint="eastAsia" w:ascii="方正仿宋_GBK" w:eastAsia="方正仿宋_GBK"/>
          <w:sz w:val="32"/>
          <w:szCs w:val="32"/>
          <w:lang w:val="en-US" w:eastAsia="zh-CN"/>
        </w:rPr>
        <w:t>为对全区所有在建项目进行监督管理，我中心设置端口300个</w:t>
      </w:r>
      <w:r>
        <w:rPr>
          <w:rFonts w:hint="eastAsia" w:ascii="方正仿宋_GBK" w:eastAsia="方正仿宋_GBK"/>
          <w:sz w:val="32"/>
          <w:szCs w:val="32"/>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成本控制率</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rPr>
          <w:rFonts w:ascii="方正仿宋_GBK" w:eastAsia="方正仿宋_GBK"/>
          <w:sz w:val="32"/>
          <w:szCs w:val="32"/>
        </w:rPr>
      </w:pPr>
      <w:r>
        <w:rPr>
          <w:rFonts w:hint="eastAsia" w:ascii="方正仿宋_GBK" w:eastAsia="方正仿宋_GBK"/>
          <w:sz w:val="32"/>
          <w:szCs w:val="32"/>
          <w:lang w:eastAsia="zh-CN"/>
        </w:rPr>
        <w:t>为了更好地</w:t>
      </w:r>
      <w:r>
        <w:rPr>
          <w:rFonts w:hint="eastAsia" w:ascii="方正仿宋_GBK" w:eastAsia="方正仿宋_GBK"/>
          <w:sz w:val="32"/>
          <w:szCs w:val="32"/>
          <w:lang w:val="en-US" w:eastAsia="zh-CN"/>
        </w:rPr>
        <w:t>开展工作，我中心开展每个项目事项都确保成本控制率100%。</w:t>
      </w:r>
      <w:r>
        <w:rPr>
          <w:rFonts w:hint="eastAsia" w:ascii="方正仿宋_GBK" w:eastAsia="方正仿宋_GBK"/>
          <w:sz w:val="32"/>
          <w:szCs w:val="32"/>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建设工程质量政策法规、标准和规范的宣传和推广</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pPr>
      <w:r>
        <w:rPr>
          <w:rFonts w:hint="eastAsia" w:ascii="方正仿宋_GBK" w:hAnsi="方正仿宋_GBK" w:eastAsia="方正仿宋_GBK" w:cs="方正仿宋_GBK"/>
          <w:kern w:val="0"/>
          <w:sz w:val="32"/>
          <w:szCs w:val="32"/>
          <w:shd w:val="clear" w:color="auto" w:fill="FFFFFF"/>
        </w:rPr>
        <w:t>因安监、质监行业规范时常变化，本单位在规范更新后须向相关工地下发、普及规范要求，以便帮助施工企业及时了解和掌握新规范</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lang w:val="en-US" w:eastAsia="zh-CN"/>
        </w:rPr>
        <w:t>我中心对建设工程质量政策法规、标准和规范进行了五次宣传和推广。</w:t>
      </w:r>
      <w:r>
        <w:rPr>
          <w:rFonts w:hint="eastAsia" w:ascii="方正仿宋_GBK" w:hAnsi="方正仿宋_GBK" w:eastAsia="方正仿宋_GBK" w:cs="方正仿宋_GBK"/>
          <w:kern w:val="0"/>
          <w:sz w:val="32"/>
          <w:szCs w:val="32"/>
          <w:shd w:val="clear" w:color="auto" w:fill="FFFFFF"/>
        </w:rPr>
        <w:t>根据评价标准，该指标得</w:t>
      </w:r>
      <w:r>
        <w:rPr>
          <w:rFonts w:hint="eastAsia" w:ascii="方正仿宋_GBK" w:hAnsi="方正仿宋_GBK" w:eastAsia="方正仿宋_GBK" w:cs="方正仿宋_GBK"/>
          <w:kern w:val="0"/>
          <w:sz w:val="32"/>
          <w:szCs w:val="32"/>
          <w:shd w:val="clear" w:color="auto" w:fill="FFFFFF"/>
          <w:lang w:val="en-US" w:eastAsia="zh-CN"/>
        </w:rPr>
        <w:t>100</w:t>
      </w:r>
      <w:r>
        <w:rPr>
          <w:rFonts w:hint="eastAsia" w:ascii="方正仿宋_GBK" w:hAnsi="方正仿宋_GBK" w:eastAsia="方正仿宋_GBK" w:cs="方正仿宋_GBK"/>
          <w:kern w:val="0"/>
          <w:sz w:val="32"/>
          <w:szCs w:val="32"/>
          <w:shd w:val="clear" w:color="auto" w:fill="FFFFFF"/>
        </w:rPr>
        <w:t>%权重分。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每季度专项检查次数</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rPr>
        <w:t>按住建部及市安管总站的要求，工程监督部门应对辖区内所有在建项目，特别是危险性较大的分部分项工程进行专项检查，以确保工程建设的安全</w:t>
      </w:r>
      <w:r>
        <w:rPr>
          <w:rFonts w:hint="eastAsia"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lang w:val="en-US" w:eastAsia="zh-CN"/>
        </w:rPr>
        <w:t>我中心每季度进行3次专项检查。</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每次检查项目数量</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pPr>
      <w:r>
        <w:rPr>
          <w:rFonts w:hint="eastAsia" w:ascii="方正仿宋_GBK" w:hAnsi="方正仿宋_GBK" w:eastAsia="方正仿宋_GBK" w:cs="方正仿宋_GBK"/>
          <w:kern w:val="0"/>
          <w:sz w:val="32"/>
          <w:szCs w:val="32"/>
          <w:shd w:val="clear" w:color="auto" w:fill="FFFFFF"/>
          <w:lang w:val="en-US" w:eastAsia="zh-CN"/>
        </w:rPr>
        <w:t>我中心每季度进行3次专项检查，每次检查项目2个</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每次检查专家聘请人数</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pPr>
      <w:r>
        <w:rPr>
          <w:rFonts w:hint="eastAsia" w:ascii="方正仿宋_GBK" w:eastAsia="方正仿宋_GBK"/>
          <w:sz w:val="32"/>
          <w:szCs w:val="32"/>
          <w:lang w:val="en-US" w:eastAsia="zh-CN"/>
        </w:rPr>
        <w:t>为给建设工程企业提供更专业的帮扶，避免安全事故的发生，我中心每次检查聘请4名专家</w:t>
      </w:r>
      <w:r>
        <w:rPr>
          <w:rFonts w:hint="eastAsia" w:ascii="方正仿宋_GBK" w:eastAsia="方正仿宋_GBK"/>
          <w:sz w:val="32"/>
          <w:szCs w:val="32"/>
        </w:rPr>
        <w:t>。</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numPr>
          <w:ilvl w:val="0"/>
          <w:numId w:val="1"/>
        </w:numPr>
        <w:shd w:val="clear" w:color="auto" w:fill="FFFFFF"/>
        <w:adjustRightInd w:val="0"/>
        <w:snapToGrid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lang w:bidi="ar"/>
        </w:rPr>
        <w:t>住建部、市建委、市质监总站、市安监总站检查次数</w:t>
      </w:r>
      <w:r>
        <w:rPr>
          <w:rFonts w:hint="eastAsia" w:ascii="方正仿宋_GBK" w:hAnsi="方正仿宋_GBK" w:eastAsia="方正仿宋_GBK" w:cs="方正仿宋_GBK"/>
          <w:kern w:val="0"/>
          <w:sz w:val="32"/>
          <w:szCs w:val="32"/>
          <w:shd w:val="clear" w:color="auto" w:fill="FFFFFF"/>
        </w:rPr>
        <w:t>分析</w:t>
      </w:r>
    </w:p>
    <w:p>
      <w:pPr>
        <w:widowControl/>
        <w:shd w:val="clear" w:color="auto" w:fill="FFFFFF"/>
        <w:adjustRightInd w:val="0"/>
        <w:snapToGrid w:val="0"/>
        <w:spacing w:line="560" w:lineRule="exact"/>
        <w:ind w:firstLine="640" w:firstLineChars="200"/>
        <w:rPr>
          <w:rFonts w:hint="eastAsia" w:ascii="方正仿宋_GBK" w:hAnsi="方正仿宋_GBK" w:eastAsia="方正仿宋_GBK" w:cs="方正仿宋_GBK"/>
          <w:kern w:val="0"/>
          <w:sz w:val="32"/>
          <w:szCs w:val="32"/>
          <w:shd w:val="clear" w:color="auto" w:fill="FFFFFF"/>
        </w:rPr>
      </w:pPr>
      <w:r>
        <w:rPr>
          <w:rFonts w:hint="eastAsia" w:ascii="方正仿宋_GBK" w:eastAsia="方正仿宋_GBK"/>
          <w:sz w:val="32"/>
          <w:szCs w:val="32"/>
        </w:rPr>
        <w:t>按照住建部每年一次执法大检查及市质监总站、安监总站相关文件的要求，相关部门将会不定期对各区县在建项目进行质量、安全大检查。</w:t>
      </w:r>
      <w:r>
        <w:rPr>
          <w:rFonts w:hint="eastAsia" w:ascii="方正仿宋_GBK" w:eastAsia="方正仿宋_GBK"/>
          <w:sz w:val="32"/>
          <w:szCs w:val="32"/>
          <w:lang w:val="en-US" w:eastAsia="zh-CN"/>
        </w:rPr>
        <w:t>我中心共</w:t>
      </w:r>
      <w:r>
        <w:rPr>
          <w:rFonts w:hint="eastAsia" w:ascii="方正仿宋_GBK" w:eastAsia="方正仿宋_GBK"/>
          <w:sz w:val="32"/>
          <w:szCs w:val="32"/>
        </w:rPr>
        <w:t>迎接住建部的执法检查及市住建委、质监总站、安监总站的各项专项检查</w:t>
      </w:r>
      <w:r>
        <w:rPr>
          <w:rFonts w:hint="eastAsia" w:ascii="方正仿宋_GBK" w:eastAsia="方正仿宋_GBK"/>
          <w:sz w:val="32"/>
          <w:szCs w:val="32"/>
          <w:lang w:val="en-US" w:eastAsia="zh-CN"/>
        </w:rPr>
        <w:t>10次</w:t>
      </w:r>
      <w:r>
        <w:rPr>
          <w:rFonts w:hint="eastAsia" w:ascii="方正仿宋_GBK" w:eastAsia="方正仿宋_GBK"/>
          <w:sz w:val="32"/>
          <w:szCs w:val="32"/>
        </w:rPr>
        <w:t>。</w:t>
      </w:r>
      <w:r>
        <w:rPr>
          <w:rFonts w:hint="eastAsia" w:ascii="方正仿宋_GBK" w:hAnsi="方正仿宋_GBK" w:eastAsia="方正仿宋_GBK" w:cs="方正仿宋_GBK"/>
          <w:kern w:val="0"/>
          <w:sz w:val="32"/>
          <w:szCs w:val="32"/>
          <w:shd w:val="clear" w:color="auto" w:fill="FFFFFF"/>
        </w:rPr>
        <w:t>根据评价标准，该指标得100%权重分。</w:t>
      </w:r>
    </w:p>
    <w:p>
      <w:pPr>
        <w:widowControl/>
        <w:numPr>
          <w:ilvl w:val="0"/>
          <w:numId w:val="0"/>
        </w:numPr>
        <w:shd w:val="clear" w:color="auto" w:fill="FFFFFF"/>
        <w:adjustRightInd w:val="0"/>
        <w:snapToGrid w:val="0"/>
        <w:spacing w:line="560" w:lineRule="exact"/>
        <w:ind w:firstLine="640" w:firstLineChars="200"/>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11、安全生产教育培训对在建工程施工质量安全有帮助分析</w:t>
      </w:r>
    </w:p>
    <w:p>
      <w:pPr>
        <w:widowControl/>
        <w:numPr>
          <w:ilvl w:val="0"/>
          <w:numId w:val="0"/>
        </w:numPr>
        <w:shd w:val="clear" w:color="auto" w:fill="FFFFFF"/>
        <w:adjustRightInd w:val="0"/>
        <w:snapToGrid w:val="0"/>
        <w:spacing w:line="560" w:lineRule="exact"/>
        <w:ind w:firstLine="640" w:firstLineChars="200"/>
        <w:rPr>
          <w:rFonts w:hint="eastAsia" w:ascii="方正仿宋_GBK" w:hAnsi="方正仿宋_GBK" w:eastAsia="方正仿宋_GBK" w:cs="方正仿宋_GBK"/>
          <w:kern w:val="0"/>
          <w:sz w:val="32"/>
          <w:szCs w:val="32"/>
          <w:shd w:val="clear" w:color="auto" w:fill="FFFFFF"/>
          <w:lang w:val="en-US" w:eastAsia="zh-CN"/>
        </w:rPr>
      </w:pPr>
      <w:r>
        <w:rPr>
          <w:rFonts w:hint="eastAsia" w:ascii="方正仿宋_GBK" w:hAnsi="方正仿宋_GBK" w:eastAsia="方正仿宋_GBK" w:cs="方正仿宋_GBK"/>
          <w:kern w:val="0"/>
          <w:sz w:val="32"/>
          <w:szCs w:val="32"/>
          <w:shd w:val="clear" w:color="auto" w:fill="FFFFFF"/>
          <w:lang w:val="en-US" w:eastAsia="zh-CN"/>
        </w:rPr>
        <w:t>我中心2021年对全区施工企业安全从业人员进行安全生产教育培训及持证人员继续教育各一次，培训对在建工程施工质量安全有帮助，但还需进一步强化；建议每季度一次进行安全生产教育培训。</w:t>
      </w:r>
      <w:r>
        <w:rPr>
          <w:rFonts w:hint="eastAsia" w:ascii="方正仿宋_GBK" w:hAnsi="方正仿宋_GBK" w:eastAsia="方正仿宋_GBK" w:cs="方正仿宋_GBK"/>
          <w:kern w:val="0"/>
          <w:sz w:val="32"/>
          <w:szCs w:val="32"/>
          <w:shd w:val="clear" w:color="auto" w:fill="FFFFFF"/>
        </w:rPr>
        <w:t>根据评价标准，该指标得</w:t>
      </w:r>
      <w:r>
        <w:rPr>
          <w:rFonts w:hint="eastAsia" w:ascii="方正仿宋_GBK" w:hAnsi="方正仿宋_GBK" w:eastAsia="方正仿宋_GBK" w:cs="方正仿宋_GBK"/>
          <w:kern w:val="0"/>
          <w:sz w:val="32"/>
          <w:szCs w:val="32"/>
          <w:shd w:val="clear" w:color="auto" w:fill="FFFFFF"/>
          <w:lang w:val="en-US" w:eastAsia="zh-CN"/>
        </w:rPr>
        <w:t>95</w:t>
      </w:r>
      <w:r>
        <w:rPr>
          <w:rFonts w:hint="eastAsia" w:ascii="方正仿宋_GBK" w:hAnsi="方正仿宋_GBK" w:eastAsia="方正仿宋_GBK" w:cs="方正仿宋_GBK"/>
          <w:kern w:val="0"/>
          <w:sz w:val="32"/>
          <w:szCs w:val="32"/>
          <w:shd w:val="clear" w:color="auto" w:fill="FFFFFF"/>
        </w:rPr>
        <w:t>%权重分。</w:t>
      </w:r>
    </w:p>
    <w:p>
      <w:pPr>
        <w:widowControl/>
        <w:numPr>
          <w:ilvl w:val="0"/>
          <w:numId w:val="0"/>
        </w:numPr>
        <w:shd w:val="clear" w:color="auto" w:fill="FFFFFF"/>
        <w:adjustRightInd w:val="0"/>
        <w:snapToGrid w:val="0"/>
        <w:spacing w:line="560" w:lineRule="exact"/>
        <w:ind w:firstLine="640" w:firstLineChars="200"/>
        <w:rPr>
          <w:rFonts w:hint="default" w:eastAsia="方正仿宋_GBK"/>
          <w:lang w:val="en-US" w:eastAsia="zh-CN"/>
        </w:rPr>
      </w:pPr>
      <w:r>
        <w:rPr>
          <w:rFonts w:hint="eastAsia" w:ascii="方正仿宋_GBK" w:hAnsi="方正仿宋_GBK" w:eastAsia="方正仿宋_GBK" w:cs="方正仿宋_GBK"/>
          <w:kern w:val="0"/>
          <w:sz w:val="32"/>
          <w:szCs w:val="32"/>
          <w:shd w:val="clear" w:color="auto" w:fill="FFFFFF"/>
          <w:lang w:val="en-US" w:eastAsia="zh-CN"/>
        </w:rPr>
        <w:t>12、群众满意度分析</w:t>
      </w:r>
    </w:p>
    <w:p>
      <w:pPr>
        <w:widowControl/>
        <w:numPr>
          <w:ilvl w:val="0"/>
          <w:numId w:val="0"/>
        </w:numPr>
        <w:shd w:val="clear" w:color="auto" w:fill="FFFFFF"/>
        <w:adjustRightInd w:val="0"/>
        <w:snapToGrid w:val="0"/>
        <w:spacing w:line="560" w:lineRule="exact"/>
        <w:ind w:firstLine="640" w:firstLineChars="200"/>
        <w:rPr>
          <w:rFonts w:hint="default" w:eastAsia="方正仿宋_GBK"/>
          <w:lang w:val="en-US" w:eastAsia="zh-CN"/>
        </w:rPr>
      </w:pPr>
      <w:r>
        <w:rPr>
          <w:rFonts w:hint="eastAsia" w:ascii="方正仿宋_GBK" w:hAnsi="方正仿宋_GBK" w:eastAsia="方正仿宋_GBK" w:cs="方正仿宋_GBK"/>
          <w:kern w:val="0"/>
          <w:sz w:val="32"/>
          <w:szCs w:val="32"/>
          <w:shd w:val="clear" w:color="auto" w:fill="FFFFFF"/>
          <w:lang w:val="en-US" w:eastAsia="zh-CN"/>
        </w:rPr>
        <w:t>通过对区域内群众及建设工程单位对于安全监察情况满意度调查，群众满意度调查为92%，高于预期值90%。根据评价标准，该指标得100%权重分。</w:t>
      </w:r>
    </w:p>
    <w:p>
      <w:pPr>
        <w:pStyle w:val="3"/>
        <w:spacing w:line="560" w:lineRule="exact"/>
      </w:pPr>
      <w:bookmarkStart w:id="8" w:name="_Toc99031608"/>
      <w:r>
        <w:rPr>
          <w:rFonts w:hint="eastAsia"/>
        </w:rPr>
        <w:t>四、</w:t>
      </w:r>
      <w:r>
        <w:t>主要经验及做法</w:t>
      </w:r>
      <w:bookmarkEnd w:id="8"/>
    </w:p>
    <w:p>
      <w:pPr>
        <w:pStyle w:val="9"/>
        <w:widowControl/>
        <w:shd w:val="clear" w:color="auto" w:fill="FFFFFF"/>
        <w:spacing w:beforeAutospacing="0" w:afterAutospacing="0" w:line="560" w:lineRule="exact"/>
        <w:ind w:left="638" w:leftChars="304"/>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1、制定项目绩效管理制度明确项目绩效目标编制及审批</w:t>
      </w:r>
    </w:p>
    <w:p>
      <w:pPr>
        <w:pStyle w:val="9"/>
        <w:widowControl/>
        <w:shd w:val="clear" w:color="auto" w:fill="FFFFFF"/>
        <w:spacing w:beforeAutospacing="0" w:afterAutospacing="0" w:line="560" w:lineRule="exact"/>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流程，规范绩效指标设置。</w:t>
      </w:r>
    </w:p>
    <w:p>
      <w:pPr>
        <w:pStyle w:val="9"/>
        <w:widowControl/>
        <w:shd w:val="clear" w:color="auto" w:fill="FFFFFF"/>
        <w:spacing w:beforeAutospacing="0" w:afterAutospacing="0" w:line="560" w:lineRule="exact"/>
        <w:ind w:firstLine="640" w:firstLineChars="200"/>
        <w:jc w:val="both"/>
        <w:rPr>
          <w:rFonts w:ascii="仿宋_GB2312" w:hAnsi="仿宋" w:eastAsia="仿宋_GB2312" w:cs="仿宋"/>
          <w:bCs/>
          <w:kern w:val="2"/>
          <w:sz w:val="32"/>
          <w:szCs w:val="32"/>
        </w:rPr>
      </w:pPr>
      <w:r>
        <w:rPr>
          <w:rFonts w:hint="eastAsia" w:ascii="仿宋_GB2312" w:hAnsi="仿宋" w:eastAsia="仿宋_GB2312" w:cs="仿宋"/>
          <w:bCs/>
          <w:kern w:val="2"/>
          <w:sz w:val="32"/>
          <w:szCs w:val="32"/>
        </w:rPr>
        <w:t>2、强化预算绩效双监控，从项目期中已实现的产出成果与效益；项目预算执行进度是否与当前期限相匹配；专项资金是否专款专用，是否存在截留、挤占、挪用资金等违纪违规问题，有无滞留、缓拨资金以及因管理不善造成资金损失、浪费；专项资金是否按照规定用途、开支范围、开支标准及其其他相关要求使用等方面进行绩效监控。</w:t>
      </w:r>
    </w:p>
    <w:p>
      <w:pPr>
        <w:adjustRightInd w:val="0"/>
        <w:snapToGrid w:val="0"/>
        <w:spacing w:line="560" w:lineRule="exact"/>
        <w:ind w:firstLine="640" w:firstLineChars="200"/>
        <w:rPr>
          <w:rFonts w:ascii="方正仿宋_GBK" w:hAnsi="仿宋_GB2312" w:eastAsia="方正仿宋_GBK" w:cs="仿宋_GB2312"/>
          <w:color w:val="auto"/>
          <w:sz w:val="32"/>
        </w:rPr>
      </w:pPr>
      <w:r>
        <w:rPr>
          <w:rFonts w:hint="eastAsia" w:ascii="仿宋_GB2312" w:hAnsi="仿宋" w:eastAsia="仿宋_GB2312" w:cs="仿宋"/>
          <w:bCs/>
          <w:color w:val="auto"/>
          <w:sz w:val="32"/>
          <w:szCs w:val="32"/>
        </w:rPr>
        <w:t>3、</w:t>
      </w:r>
      <w:r>
        <w:rPr>
          <w:rFonts w:hint="eastAsia" w:ascii="方正仿宋_GBK" w:hAnsi="方正仿宋_GBK" w:eastAsia="方正仿宋_GBK" w:cs="方正仿宋_GBK"/>
          <w:color w:val="auto"/>
          <w:kern w:val="0"/>
          <w:sz w:val="32"/>
          <w:szCs w:val="32"/>
          <w:shd w:val="clear" w:color="auto" w:fill="FFFFFF"/>
        </w:rPr>
        <w:t>通过对</w:t>
      </w:r>
      <w:r>
        <w:rPr>
          <w:rFonts w:hint="eastAsia" w:ascii="方正仿宋_GBK" w:hAnsi="方正仿宋_GBK" w:eastAsia="方正仿宋_GBK" w:cs="方正仿宋_GBK"/>
          <w:color w:val="auto"/>
          <w:kern w:val="0"/>
          <w:sz w:val="32"/>
          <w:szCs w:val="32"/>
          <w:shd w:val="clear" w:color="auto" w:fill="FFFFFF"/>
          <w:lang w:val="en-US" w:eastAsia="zh-CN"/>
        </w:rPr>
        <w:t>建设工程安全及质量监察</w:t>
      </w:r>
      <w:r>
        <w:rPr>
          <w:rFonts w:hint="eastAsia" w:ascii="方正仿宋_GBK" w:hAnsi="方正仿宋_GBK" w:eastAsia="方正仿宋_GBK" w:cs="方正仿宋_GBK"/>
          <w:color w:val="auto"/>
          <w:kern w:val="0"/>
          <w:sz w:val="32"/>
          <w:szCs w:val="32"/>
          <w:shd w:val="clear" w:color="auto" w:fill="FFFFFF"/>
        </w:rPr>
        <w:t>经费的落实、</w:t>
      </w:r>
      <w:r>
        <w:rPr>
          <w:rFonts w:hint="eastAsia" w:ascii="方正仿宋_GBK" w:hAnsi="方正仿宋_GBK" w:eastAsia="方正仿宋_GBK" w:cs="方正仿宋_GBK"/>
          <w:color w:val="auto"/>
          <w:kern w:val="0"/>
          <w:sz w:val="32"/>
          <w:szCs w:val="32"/>
          <w:shd w:val="clear" w:color="auto" w:fill="FFFFFF"/>
          <w:lang w:val="en-US" w:eastAsia="zh-CN"/>
        </w:rPr>
        <w:t>工作效率的提高</w:t>
      </w:r>
      <w:r>
        <w:rPr>
          <w:rFonts w:hint="eastAsia" w:ascii="方正仿宋_GBK" w:hAnsi="方正仿宋_GBK" w:eastAsia="方正仿宋_GBK" w:cs="方正仿宋_GBK"/>
          <w:color w:val="auto"/>
          <w:kern w:val="0"/>
          <w:sz w:val="32"/>
          <w:szCs w:val="32"/>
          <w:shd w:val="clear" w:color="auto" w:fill="FFFFFF"/>
        </w:rPr>
        <w:t>、</w:t>
      </w:r>
      <w:r>
        <w:rPr>
          <w:rFonts w:hint="eastAsia" w:ascii="方正仿宋_GBK" w:hAnsi="方正仿宋_GBK" w:eastAsia="方正仿宋_GBK" w:cs="方正仿宋_GBK"/>
          <w:color w:val="auto"/>
          <w:kern w:val="0"/>
          <w:sz w:val="32"/>
          <w:szCs w:val="32"/>
          <w:shd w:val="clear" w:color="auto" w:fill="FFFFFF"/>
          <w:lang w:val="en-US" w:eastAsia="zh-CN"/>
        </w:rPr>
        <w:t>培训的增强</w:t>
      </w:r>
      <w:r>
        <w:rPr>
          <w:rFonts w:hint="eastAsia" w:ascii="方正仿宋_GBK" w:hAnsi="方正仿宋_GBK" w:eastAsia="方正仿宋_GBK" w:cs="方正仿宋_GBK"/>
          <w:color w:val="auto"/>
          <w:kern w:val="0"/>
          <w:sz w:val="32"/>
          <w:szCs w:val="32"/>
          <w:shd w:val="clear" w:color="auto" w:fill="FFFFFF"/>
        </w:rPr>
        <w:t>等，提高</w:t>
      </w:r>
      <w:r>
        <w:rPr>
          <w:rFonts w:hint="eastAsia" w:ascii="方正仿宋_GBK" w:hAnsi="方正仿宋_GBK" w:eastAsia="方正仿宋_GBK" w:cs="方正仿宋_GBK"/>
          <w:color w:val="auto"/>
          <w:kern w:val="0"/>
          <w:sz w:val="32"/>
          <w:szCs w:val="32"/>
          <w:shd w:val="clear" w:color="auto" w:fill="FFFFFF"/>
          <w:lang w:val="en-US" w:eastAsia="zh-CN"/>
        </w:rPr>
        <w:t>从业人员</w:t>
      </w:r>
      <w:r>
        <w:rPr>
          <w:rFonts w:hint="eastAsia" w:ascii="方正仿宋_GBK" w:hAnsi="方正仿宋_GBK" w:eastAsia="方正仿宋_GBK" w:cs="方正仿宋_GBK"/>
          <w:color w:val="auto"/>
          <w:kern w:val="0"/>
          <w:sz w:val="32"/>
          <w:szCs w:val="32"/>
          <w:shd w:val="clear" w:color="auto" w:fill="FFFFFF"/>
        </w:rPr>
        <w:t>的</w:t>
      </w:r>
      <w:r>
        <w:rPr>
          <w:rFonts w:hint="eastAsia" w:ascii="方正仿宋_GBK" w:hAnsi="方正仿宋_GBK" w:eastAsia="方正仿宋_GBK" w:cs="方正仿宋_GBK"/>
          <w:color w:val="auto"/>
          <w:kern w:val="0"/>
          <w:sz w:val="32"/>
          <w:szCs w:val="32"/>
          <w:shd w:val="clear" w:color="auto" w:fill="FFFFFF"/>
          <w:lang w:val="en-US" w:eastAsia="zh-CN"/>
        </w:rPr>
        <w:t>安全意识</w:t>
      </w:r>
      <w:r>
        <w:rPr>
          <w:rFonts w:hint="eastAsia" w:ascii="方正仿宋_GBK" w:hAnsi="方正仿宋_GBK" w:eastAsia="方正仿宋_GBK" w:cs="方正仿宋_GBK"/>
          <w:color w:val="auto"/>
          <w:kern w:val="0"/>
          <w:sz w:val="32"/>
          <w:szCs w:val="32"/>
          <w:shd w:val="clear" w:color="auto" w:fill="FFFFFF"/>
        </w:rPr>
        <w:t>，</w:t>
      </w:r>
      <w:r>
        <w:rPr>
          <w:rFonts w:hint="eastAsia" w:ascii="方正仿宋_GBK" w:eastAsia="方正仿宋_GBK"/>
          <w:color w:val="auto"/>
          <w:sz w:val="32"/>
          <w:szCs w:val="32"/>
        </w:rPr>
        <w:t>管理</w:t>
      </w:r>
      <w:r>
        <w:rPr>
          <w:rFonts w:hint="eastAsia" w:ascii="方正仿宋_GBK" w:eastAsia="方正仿宋_GBK"/>
          <w:color w:val="auto"/>
          <w:sz w:val="32"/>
          <w:szCs w:val="32"/>
          <w:lang w:val="en-US" w:eastAsia="zh-CN"/>
        </w:rPr>
        <w:t>危大工程的建造</w:t>
      </w:r>
      <w:r>
        <w:rPr>
          <w:rFonts w:hint="eastAsia" w:ascii="方正仿宋_GBK" w:eastAsia="方正仿宋_GBK"/>
          <w:color w:val="auto"/>
          <w:sz w:val="32"/>
          <w:szCs w:val="32"/>
        </w:rPr>
        <w:t>，承担起</w:t>
      </w:r>
      <w:r>
        <w:rPr>
          <w:rFonts w:hint="eastAsia" w:ascii="方正仿宋_GBK" w:eastAsia="方正仿宋_GBK"/>
          <w:color w:val="auto"/>
          <w:sz w:val="32"/>
          <w:szCs w:val="32"/>
          <w:lang w:val="en-US" w:eastAsia="zh-CN"/>
        </w:rPr>
        <w:t>对建设工程安全的</w:t>
      </w:r>
      <w:r>
        <w:rPr>
          <w:rFonts w:hint="eastAsia" w:ascii="方正仿宋_GBK" w:eastAsia="方正仿宋_GBK"/>
          <w:color w:val="auto"/>
          <w:sz w:val="32"/>
          <w:szCs w:val="32"/>
        </w:rPr>
        <w:t>保护</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积极对安全建造进行</w:t>
      </w:r>
      <w:r>
        <w:rPr>
          <w:rFonts w:hint="eastAsia" w:ascii="方正仿宋_GBK" w:eastAsia="方正仿宋_GBK"/>
          <w:color w:val="auto"/>
          <w:sz w:val="32"/>
          <w:szCs w:val="32"/>
        </w:rPr>
        <w:t>培训</w:t>
      </w:r>
      <w:r>
        <w:rPr>
          <w:rFonts w:hint="eastAsia" w:ascii="方正仿宋_GBK" w:eastAsia="方正仿宋_GBK"/>
          <w:color w:val="auto"/>
          <w:sz w:val="32"/>
          <w:szCs w:val="32"/>
          <w:lang w:val="en-US" w:eastAsia="zh-CN"/>
        </w:rPr>
        <w:t>及</w:t>
      </w:r>
      <w:r>
        <w:rPr>
          <w:rFonts w:hint="eastAsia" w:ascii="方正仿宋_GBK" w:eastAsia="方正仿宋_GBK"/>
          <w:color w:val="auto"/>
          <w:sz w:val="32"/>
          <w:szCs w:val="32"/>
        </w:rPr>
        <w:t>宣传、大力</w:t>
      </w:r>
      <w:r>
        <w:rPr>
          <w:rFonts w:hint="eastAsia" w:ascii="方正仿宋_GBK" w:eastAsia="方正仿宋_GBK"/>
          <w:color w:val="auto"/>
          <w:sz w:val="32"/>
          <w:szCs w:val="32"/>
          <w:lang w:val="en-US" w:eastAsia="zh-CN"/>
        </w:rPr>
        <w:t>推广相关法律法规</w:t>
      </w:r>
      <w:r>
        <w:rPr>
          <w:rFonts w:hint="eastAsia" w:ascii="方正仿宋_GBK" w:eastAsia="方正仿宋_GBK"/>
          <w:color w:val="auto"/>
          <w:sz w:val="32"/>
          <w:szCs w:val="32"/>
        </w:rPr>
        <w:t>，提高</w:t>
      </w:r>
      <w:r>
        <w:rPr>
          <w:rFonts w:hint="eastAsia" w:ascii="方正仿宋_GBK" w:eastAsia="方正仿宋_GBK"/>
          <w:color w:val="auto"/>
          <w:sz w:val="32"/>
          <w:szCs w:val="32"/>
          <w:lang w:val="en-US" w:eastAsia="zh-CN"/>
        </w:rPr>
        <w:t>行业</w:t>
      </w:r>
      <w:r>
        <w:rPr>
          <w:rFonts w:hint="eastAsia" w:ascii="方正仿宋_GBK" w:eastAsia="方正仿宋_GBK"/>
          <w:color w:val="auto"/>
          <w:sz w:val="32"/>
          <w:szCs w:val="32"/>
        </w:rPr>
        <w:t>意识。</w:t>
      </w:r>
    </w:p>
    <w:p>
      <w:pPr>
        <w:pStyle w:val="3"/>
        <w:spacing w:line="560" w:lineRule="exact"/>
      </w:pPr>
      <w:bookmarkStart w:id="9" w:name="_Toc99031609"/>
      <w:r>
        <w:rPr>
          <w:rFonts w:hint="eastAsia"/>
        </w:rPr>
        <w:t>五、</w:t>
      </w:r>
      <w:r>
        <w:t>存在的问题和建议</w:t>
      </w:r>
      <w:bookmarkEnd w:id="9"/>
    </w:p>
    <w:p>
      <w:pPr>
        <w:pStyle w:val="4"/>
        <w:spacing w:line="560" w:lineRule="exact"/>
      </w:pPr>
      <w:bookmarkStart w:id="10" w:name="_Toc17714"/>
      <w:bookmarkStart w:id="11" w:name="_Toc99031610"/>
      <w:r>
        <w:t>（一）</w:t>
      </w:r>
      <w:r>
        <w:rPr>
          <w:rFonts w:hint="eastAsia"/>
        </w:rPr>
        <w:t>存在的问题</w:t>
      </w:r>
      <w:bookmarkEnd w:id="10"/>
      <w:bookmarkEnd w:id="11"/>
    </w:p>
    <w:p>
      <w:pPr>
        <w:widowControl/>
        <w:autoSpaceDE w:val="0"/>
        <w:autoSpaceDN w:val="0"/>
        <w:spacing w:line="560" w:lineRule="exact"/>
        <w:ind w:firstLine="640" w:firstLineChars="200"/>
        <w:outlineLvl w:val="2"/>
        <w:rPr>
          <w:rFonts w:ascii="方正仿宋_GBK" w:hAnsi="方正仿宋_GBK" w:eastAsia="方正仿宋_GBK" w:cs="方正仿宋_GBK"/>
          <w:kern w:val="0"/>
          <w:sz w:val="32"/>
          <w:szCs w:val="32"/>
          <w:shd w:val="clear" w:color="auto" w:fill="FFFFFF"/>
        </w:rPr>
      </w:pPr>
      <w:bookmarkStart w:id="12" w:name="_Toc16456"/>
      <w:bookmarkStart w:id="13" w:name="_Toc4640"/>
      <w:r>
        <w:rPr>
          <w:rFonts w:hint="eastAsia" w:ascii="方正仿宋_GBK" w:hAnsi="方正仿宋_GBK" w:eastAsia="方正仿宋_GBK" w:cs="方正仿宋_GBK"/>
          <w:kern w:val="0"/>
          <w:sz w:val="32"/>
          <w:szCs w:val="32"/>
          <w:shd w:val="clear" w:color="auto" w:fill="FFFFFF"/>
        </w:rPr>
        <w:t>1、预算发生调整，预算执行与年初预算不匹配。</w:t>
      </w:r>
      <w:bookmarkEnd w:id="12"/>
      <w:bookmarkEnd w:id="13"/>
    </w:p>
    <w:p>
      <w:pPr>
        <w:widowControl/>
        <w:autoSpaceDE w:val="0"/>
        <w:autoSpaceDN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单位在预算执行过程中，发生了预算调整</w:t>
      </w:r>
      <w:r>
        <w:rPr>
          <w:rFonts w:hint="eastAsia" w:ascii="方正仿宋_GBK" w:hAnsi="方正仿宋_GBK" w:eastAsia="方正仿宋_GBK" w:cs="方正仿宋_GBK"/>
          <w:kern w:val="0"/>
          <w:sz w:val="32"/>
          <w:szCs w:val="32"/>
          <w:shd w:val="clear" w:color="auto" w:fill="FFFFFF"/>
          <w:lang w:eastAsia="zh-CN"/>
        </w:rPr>
        <w:t>，</w:t>
      </w:r>
      <w:r>
        <w:rPr>
          <w:rFonts w:hint="eastAsia" w:ascii="方正仿宋_GBK" w:hAnsi="方正仿宋_GBK" w:eastAsia="方正仿宋_GBK" w:cs="方正仿宋_GBK"/>
          <w:kern w:val="0"/>
          <w:sz w:val="32"/>
          <w:szCs w:val="32"/>
          <w:shd w:val="clear" w:color="auto" w:fill="FFFFFF"/>
        </w:rPr>
        <w:t>调整比例较高，反映出年初预算编制不够准确，可能导致财政资金分配不合理。</w:t>
      </w:r>
    </w:p>
    <w:p>
      <w:pPr>
        <w:widowControl/>
        <w:autoSpaceDE w:val="0"/>
        <w:autoSpaceDN w:val="0"/>
        <w:spacing w:line="560" w:lineRule="exact"/>
        <w:ind w:firstLine="640" w:firstLineChars="200"/>
        <w:rPr>
          <w:rFonts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rPr>
        <w:t>2、安全生产教育培训有待</w:t>
      </w:r>
      <w:r>
        <w:rPr>
          <w:rFonts w:hint="eastAsia" w:ascii="方正仿宋_GBK" w:hAnsi="方正仿宋_GBK" w:eastAsia="方正仿宋_GBK" w:cs="方正仿宋_GBK"/>
          <w:color w:val="auto"/>
          <w:kern w:val="0"/>
          <w:sz w:val="32"/>
          <w:szCs w:val="32"/>
          <w:shd w:val="clear" w:color="auto" w:fill="FFFFFF"/>
          <w:lang w:val="en-US" w:eastAsia="zh-CN"/>
        </w:rPr>
        <w:t>增加</w:t>
      </w:r>
      <w:r>
        <w:rPr>
          <w:rFonts w:hint="eastAsia" w:ascii="方正仿宋_GBK" w:hAnsi="方正仿宋_GBK" w:eastAsia="方正仿宋_GBK" w:cs="方正仿宋_GBK"/>
          <w:color w:val="auto"/>
          <w:kern w:val="0"/>
          <w:sz w:val="32"/>
          <w:szCs w:val="32"/>
          <w:shd w:val="clear" w:color="auto" w:fill="FFFFFF"/>
        </w:rPr>
        <w:t>。</w:t>
      </w:r>
    </w:p>
    <w:p>
      <w:pPr>
        <w:widowControl/>
        <w:autoSpaceDE w:val="0"/>
        <w:autoSpaceDN w:val="0"/>
        <w:spacing w:line="560" w:lineRule="exact"/>
        <w:ind w:firstLine="640" w:firstLineChars="200"/>
        <w:rPr>
          <w:rFonts w:hint="eastAsia" w:ascii="方正仿宋_GBK" w:hAnsi="方正仿宋_GBK" w:eastAsia="方正仿宋_GBK" w:cs="方正仿宋_GBK"/>
          <w:color w:val="auto"/>
          <w:kern w:val="0"/>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val="en-US" w:eastAsia="zh-CN"/>
        </w:rPr>
        <w:t>我中心2021年对在</w:t>
      </w:r>
      <w:r>
        <w:rPr>
          <w:rFonts w:hint="eastAsia" w:ascii="方正仿宋_GBK" w:hAnsi="方正仿宋_GBK" w:eastAsia="方正仿宋_GBK" w:cs="方正仿宋_GBK"/>
          <w:color w:val="auto"/>
          <w:kern w:val="0"/>
          <w:sz w:val="32"/>
          <w:szCs w:val="32"/>
          <w:shd w:val="clear" w:color="auto" w:fill="FFFFFF"/>
        </w:rPr>
        <w:t>建工程施工质量安全</w:t>
      </w:r>
      <w:r>
        <w:rPr>
          <w:rFonts w:hint="eastAsia" w:ascii="方正仿宋_GBK" w:hAnsi="方正仿宋_GBK" w:eastAsia="方正仿宋_GBK" w:cs="方正仿宋_GBK"/>
          <w:color w:val="auto"/>
          <w:kern w:val="0"/>
          <w:sz w:val="32"/>
          <w:szCs w:val="32"/>
          <w:shd w:val="clear" w:color="auto" w:fill="FFFFFF"/>
          <w:lang w:val="en-US" w:eastAsia="zh-CN"/>
        </w:rPr>
        <w:t>进行了一次相关培训，该培训对强化企业安全生产意识、增强施工人员的安全意识</w:t>
      </w:r>
      <w:r>
        <w:rPr>
          <w:rFonts w:hint="eastAsia" w:ascii="方正仿宋_GBK" w:hAnsi="方正仿宋_GBK" w:eastAsia="方正仿宋_GBK" w:cs="方正仿宋_GBK"/>
          <w:color w:val="auto"/>
          <w:kern w:val="0"/>
          <w:sz w:val="32"/>
          <w:szCs w:val="32"/>
          <w:shd w:val="clear" w:color="auto" w:fill="FFFFFF"/>
        </w:rPr>
        <w:t>有帮助，但还需进一步强化</w:t>
      </w:r>
      <w:r>
        <w:rPr>
          <w:rFonts w:hint="eastAsia" w:ascii="方正仿宋_GBK" w:hAnsi="方正仿宋_GBK" w:eastAsia="方正仿宋_GBK" w:cs="方正仿宋_GBK"/>
          <w:color w:val="auto"/>
          <w:kern w:val="0"/>
          <w:sz w:val="32"/>
          <w:szCs w:val="32"/>
          <w:shd w:val="clear" w:color="auto" w:fill="FFFFFF"/>
          <w:lang w:val="en-US" w:eastAsia="zh-CN"/>
        </w:rPr>
        <w:t>。</w:t>
      </w:r>
      <w:r>
        <w:rPr>
          <w:rFonts w:hint="eastAsia" w:ascii="方正仿宋_GBK" w:hAnsi="方正仿宋_GBK" w:eastAsia="方正仿宋_GBK" w:cs="方正仿宋_GBK"/>
          <w:color w:val="auto"/>
          <w:kern w:val="0"/>
          <w:sz w:val="32"/>
          <w:szCs w:val="32"/>
          <w:shd w:val="clear" w:color="auto" w:fill="FFFFFF"/>
        </w:rPr>
        <w:t xml:space="preserve"> </w:t>
      </w:r>
    </w:p>
    <w:p>
      <w:pPr>
        <w:pStyle w:val="4"/>
        <w:spacing w:line="560" w:lineRule="exact"/>
      </w:pPr>
      <w:bookmarkStart w:id="14" w:name="_Toc99031611"/>
      <w:bookmarkStart w:id="15" w:name="_Toc10918"/>
      <w:r>
        <w:t>（</w:t>
      </w:r>
      <w:r>
        <w:rPr>
          <w:rFonts w:hint="eastAsia"/>
        </w:rPr>
        <w:t>二</w:t>
      </w:r>
      <w:r>
        <w:t>）</w:t>
      </w:r>
      <w:r>
        <w:rPr>
          <w:rFonts w:hint="eastAsia"/>
        </w:rPr>
        <w:t>建议</w:t>
      </w:r>
      <w:bookmarkEnd w:id="14"/>
      <w:bookmarkEnd w:id="15"/>
    </w:p>
    <w:p>
      <w:pPr>
        <w:widowControl/>
        <w:autoSpaceDE w:val="0"/>
        <w:autoSpaceDN w:val="0"/>
        <w:spacing w:line="56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1、提高年初预算编制的准确性，提高业务人员及预算编制人员工作能力，提高预算的测算能力及准确度，严格把控预算执行流程，完善审核监督管理制度。</w:t>
      </w:r>
    </w:p>
    <w:p>
      <w:pPr>
        <w:widowControl/>
        <w:autoSpaceDE w:val="0"/>
        <w:autoSpaceDN w:val="0"/>
        <w:spacing w:line="560" w:lineRule="exact"/>
        <w:ind w:firstLine="640" w:firstLineChars="200"/>
        <w:rPr>
          <w:rFonts w:eastAsia="方正仿宋_GBK"/>
          <w:color w:val="auto"/>
          <w:sz w:val="32"/>
          <w:szCs w:val="32"/>
        </w:rPr>
      </w:pPr>
      <w:r>
        <w:rPr>
          <w:rFonts w:hint="eastAsia" w:ascii="方正仿宋_GBK" w:hAnsi="方正仿宋_GBK" w:eastAsia="方正仿宋_GBK" w:cs="方正仿宋_GBK"/>
          <w:color w:val="auto"/>
          <w:kern w:val="0"/>
          <w:sz w:val="32"/>
          <w:szCs w:val="32"/>
          <w:shd w:val="clear" w:color="auto" w:fill="FFFFFF"/>
        </w:rPr>
        <w:t>2、建议</w:t>
      </w:r>
      <w:r>
        <w:rPr>
          <w:rFonts w:hint="eastAsia" w:ascii="方正仿宋_GBK" w:hAnsi="方正仿宋_GBK" w:eastAsia="方正仿宋_GBK" w:cs="方正仿宋_GBK"/>
          <w:color w:val="auto"/>
          <w:kern w:val="0"/>
          <w:sz w:val="32"/>
          <w:szCs w:val="32"/>
          <w:shd w:val="clear" w:color="auto" w:fill="FFFFFF"/>
          <w:lang w:val="en-US" w:eastAsia="zh-CN"/>
        </w:rPr>
        <w:t>中心</w:t>
      </w:r>
      <w:r>
        <w:rPr>
          <w:rFonts w:hint="eastAsia" w:ascii="方正仿宋_GBK" w:hAnsi="方正仿宋_GBK" w:eastAsia="方正仿宋_GBK" w:cs="方正仿宋_GBK"/>
          <w:color w:val="auto"/>
          <w:kern w:val="0"/>
          <w:sz w:val="32"/>
          <w:szCs w:val="32"/>
          <w:shd w:val="clear" w:color="auto" w:fill="FFFFFF"/>
        </w:rPr>
        <w:t>加强对安全生产教育培训</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rPr>
        <w:t>可以采用线上、线下</w:t>
      </w:r>
      <w:r>
        <w:rPr>
          <w:rFonts w:hint="eastAsia" w:ascii="方正仿宋_GBK" w:hAnsi="方正仿宋_GBK" w:eastAsia="方正仿宋_GBK" w:cs="方正仿宋_GBK"/>
          <w:color w:val="auto"/>
          <w:kern w:val="0"/>
          <w:sz w:val="32"/>
          <w:szCs w:val="32"/>
          <w:shd w:val="clear" w:color="auto" w:fill="FFFFFF"/>
          <w:lang w:val="en-US" w:eastAsia="zh-CN"/>
        </w:rPr>
        <w:t>相结合的方式，或制作宣传单</w:t>
      </w:r>
      <w:r>
        <w:rPr>
          <w:rFonts w:hint="eastAsia" w:ascii="方正仿宋_GBK" w:hAnsi="方正仿宋_GBK" w:eastAsia="方正仿宋_GBK" w:cs="方正仿宋_GBK"/>
          <w:color w:val="auto"/>
          <w:kern w:val="0"/>
          <w:sz w:val="32"/>
          <w:szCs w:val="32"/>
          <w:shd w:val="clear" w:color="auto" w:fill="FFFFFF"/>
        </w:rPr>
        <w:t>等多种方式进行普法宣传，提高</w:t>
      </w:r>
      <w:r>
        <w:rPr>
          <w:rFonts w:hint="eastAsia" w:ascii="方正仿宋_GBK" w:hAnsi="方正仿宋_GBK" w:eastAsia="方正仿宋_GBK" w:cs="方正仿宋_GBK"/>
          <w:color w:val="auto"/>
          <w:kern w:val="0"/>
          <w:sz w:val="32"/>
          <w:szCs w:val="32"/>
          <w:shd w:val="clear" w:color="auto" w:fill="FFFFFF"/>
          <w:lang w:val="en-US" w:eastAsia="zh-CN"/>
        </w:rPr>
        <w:t>安全</w:t>
      </w:r>
      <w:r>
        <w:rPr>
          <w:rFonts w:hint="eastAsia" w:ascii="方正仿宋_GBK" w:hAnsi="方正仿宋_GBK" w:eastAsia="方正仿宋_GBK" w:cs="方正仿宋_GBK"/>
          <w:color w:val="auto"/>
          <w:kern w:val="0"/>
          <w:sz w:val="32"/>
          <w:szCs w:val="32"/>
          <w:shd w:val="clear" w:color="auto" w:fill="FFFFFF"/>
        </w:rPr>
        <w:t>意识</w:t>
      </w:r>
      <w:r>
        <w:rPr>
          <w:rFonts w:hint="eastAsia" w:ascii="方正仿宋_GBK" w:hAnsi="方正仿宋_GBK" w:eastAsia="方正仿宋_GBK" w:cs="方正仿宋_GBK"/>
          <w:color w:val="auto"/>
          <w:kern w:val="0"/>
          <w:sz w:val="32"/>
          <w:szCs w:val="32"/>
          <w:shd w:val="clear" w:color="auto" w:fill="FFFFFF"/>
          <w:lang w:eastAsia="zh-CN"/>
        </w:rPr>
        <w:t>，</w:t>
      </w:r>
      <w:r>
        <w:rPr>
          <w:rFonts w:hint="eastAsia" w:ascii="方正仿宋_GBK" w:hAnsi="方正仿宋_GBK" w:eastAsia="方正仿宋_GBK" w:cs="方正仿宋_GBK"/>
          <w:color w:val="auto"/>
          <w:kern w:val="0"/>
          <w:sz w:val="32"/>
          <w:szCs w:val="32"/>
          <w:shd w:val="clear" w:color="auto" w:fill="FFFFFF"/>
          <w:lang w:val="en-US" w:eastAsia="zh-CN"/>
        </w:rPr>
        <w:t>或将安全生产培训每季度举办一次，强化建设人员安全意识。</w:t>
      </w:r>
    </w:p>
    <w:sectPr>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0A37"/>
    <w:multiLevelType w:val="singleLevel"/>
    <w:tmpl w:val="806D0A3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865"/>
    <w:rsid w:val="000364E2"/>
    <w:rsid w:val="00043A15"/>
    <w:rsid w:val="000575E2"/>
    <w:rsid w:val="00063B15"/>
    <w:rsid w:val="00094620"/>
    <w:rsid w:val="0009607E"/>
    <w:rsid w:val="000B0982"/>
    <w:rsid w:val="000B5DB9"/>
    <w:rsid w:val="000C0972"/>
    <w:rsid w:val="00171AB3"/>
    <w:rsid w:val="001825A0"/>
    <w:rsid w:val="001B463A"/>
    <w:rsid w:val="001C3D64"/>
    <w:rsid w:val="001C53B5"/>
    <w:rsid w:val="001C641A"/>
    <w:rsid w:val="001C6822"/>
    <w:rsid w:val="001D130E"/>
    <w:rsid w:val="001D5216"/>
    <w:rsid w:val="001E256D"/>
    <w:rsid w:val="001E2D5B"/>
    <w:rsid w:val="0020145E"/>
    <w:rsid w:val="002129B4"/>
    <w:rsid w:val="00241370"/>
    <w:rsid w:val="00247BB1"/>
    <w:rsid w:val="002571F7"/>
    <w:rsid w:val="002641A6"/>
    <w:rsid w:val="002834C5"/>
    <w:rsid w:val="00293914"/>
    <w:rsid w:val="002C141E"/>
    <w:rsid w:val="002E1BC4"/>
    <w:rsid w:val="002F6627"/>
    <w:rsid w:val="00304656"/>
    <w:rsid w:val="00333D24"/>
    <w:rsid w:val="003532F1"/>
    <w:rsid w:val="00357647"/>
    <w:rsid w:val="00365C0E"/>
    <w:rsid w:val="00381982"/>
    <w:rsid w:val="00381F5B"/>
    <w:rsid w:val="00384864"/>
    <w:rsid w:val="00392D64"/>
    <w:rsid w:val="003B01B9"/>
    <w:rsid w:val="003E4915"/>
    <w:rsid w:val="003E75C4"/>
    <w:rsid w:val="00401B11"/>
    <w:rsid w:val="00422429"/>
    <w:rsid w:val="0043034C"/>
    <w:rsid w:val="00443E03"/>
    <w:rsid w:val="004861A9"/>
    <w:rsid w:val="00487348"/>
    <w:rsid w:val="00497B55"/>
    <w:rsid w:val="004A5F86"/>
    <w:rsid w:val="004C051C"/>
    <w:rsid w:val="004F189B"/>
    <w:rsid w:val="005033E6"/>
    <w:rsid w:val="00516F77"/>
    <w:rsid w:val="00547BAD"/>
    <w:rsid w:val="00550210"/>
    <w:rsid w:val="005516E1"/>
    <w:rsid w:val="00563118"/>
    <w:rsid w:val="005A221A"/>
    <w:rsid w:val="005B5ED1"/>
    <w:rsid w:val="00606BA5"/>
    <w:rsid w:val="006417E5"/>
    <w:rsid w:val="0064309B"/>
    <w:rsid w:val="00671BB5"/>
    <w:rsid w:val="00672B9B"/>
    <w:rsid w:val="0067422C"/>
    <w:rsid w:val="006772C6"/>
    <w:rsid w:val="006C4C47"/>
    <w:rsid w:val="006C586F"/>
    <w:rsid w:val="006C7720"/>
    <w:rsid w:val="006C793C"/>
    <w:rsid w:val="006D100A"/>
    <w:rsid w:val="006E6E29"/>
    <w:rsid w:val="00704B56"/>
    <w:rsid w:val="00725E01"/>
    <w:rsid w:val="00732DA5"/>
    <w:rsid w:val="007454CD"/>
    <w:rsid w:val="00770339"/>
    <w:rsid w:val="0077453E"/>
    <w:rsid w:val="0078651E"/>
    <w:rsid w:val="007B27A0"/>
    <w:rsid w:val="007C2693"/>
    <w:rsid w:val="007D04AB"/>
    <w:rsid w:val="007D7B0E"/>
    <w:rsid w:val="007E54DF"/>
    <w:rsid w:val="00806211"/>
    <w:rsid w:val="00806865"/>
    <w:rsid w:val="0081273A"/>
    <w:rsid w:val="0082343D"/>
    <w:rsid w:val="00831BF0"/>
    <w:rsid w:val="00837D1D"/>
    <w:rsid w:val="00844EE6"/>
    <w:rsid w:val="00871B89"/>
    <w:rsid w:val="00880010"/>
    <w:rsid w:val="008A7625"/>
    <w:rsid w:val="008D02AF"/>
    <w:rsid w:val="008D25A0"/>
    <w:rsid w:val="008D3D72"/>
    <w:rsid w:val="009108DF"/>
    <w:rsid w:val="009201CD"/>
    <w:rsid w:val="00920BED"/>
    <w:rsid w:val="00974291"/>
    <w:rsid w:val="009A23DE"/>
    <w:rsid w:val="00A05C0B"/>
    <w:rsid w:val="00A1196F"/>
    <w:rsid w:val="00A27343"/>
    <w:rsid w:val="00A3725D"/>
    <w:rsid w:val="00A45BE4"/>
    <w:rsid w:val="00AD0DAD"/>
    <w:rsid w:val="00AD4212"/>
    <w:rsid w:val="00AF31E0"/>
    <w:rsid w:val="00B07031"/>
    <w:rsid w:val="00B17BC3"/>
    <w:rsid w:val="00B34D05"/>
    <w:rsid w:val="00B50F19"/>
    <w:rsid w:val="00B85927"/>
    <w:rsid w:val="00BB01F5"/>
    <w:rsid w:val="00BB7825"/>
    <w:rsid w:val="00BC3295"/>
    <w:rsid w:val="00BD1848"/>
    <w:rsid w:val="00BF5B3C"/>
    <w:rsid w:val="00BF6FF2"/>
    <w:rsid w:val="00C31CE4"/>
    <w:rsid w:val="00C77086"/>
    <w:rsid w:val="00C858DD"/>
    <w:rsid w:val="00C944D1"/>
    <w:rsid w:val="00CC12F2"/>
    <w:rsid w:val="00CD33CE"/>
    <w:rsid w:val="00CE702A"/>
    <w:rsid w:val="00CF26C3"/>
    <w:rsid w:val="00D610B4"/>
    <w:rsid w:val="00D86135"/>
    <w:rsid w:val="00DB30E1"/>
    <w:rsid w:val="00DC2283"/>
    <w:rsid w:val="00E05A32"/>
    <w:rsid w:val="00E225F8"/>
    <w:rsid w:val="00E25A0F"/>
    <w:rsid w:val="00E42BE7"/>
    <w:rsid w:val="00E4628C"/>
    <w:rsid w:val="00E55405"/>
    <w:rsid w:val="00E72086"/>
    <w:rsid w:val="00E91393"/>
    <w:rsid w:val="00E92ECB"/>
    <w:rsid w:val="00E96C7A"/>
    <w:rsid w:val="00EB0A75"/>
    <w:rsid w:val="00EE0310"/>
    <w:rsid w:val="00EF2A45"/>
    <w:rsid w:val="00F2374E"/>
    <w:rsid w:val="00F3012D"/>
    <w:rsid w:val="00F51DA8"/>
    <w:rsid w:val="00F70C2E"/>
    <w:rsid w:val="00F70E0C"/>
    <w:rsid w:val="00F82017"/>
    <w:rsid w:val="00F860BA"/>
    <w:rsid w:val="00F9262E"/>
    <w:rsid w:val="00F93438"/>
    <w:rsid w:val="00FA41F0"/>
    <w:rsid w:val="00FB7502"/>
    <w:rsid w:val="00FC5BCC"/>
    <w:rsid w:val="00FD0041"/>
    <w:rsid w:val="00FE38F2"/>
    <w:rsid w:val="03863E70"/>
    <w:rsid w:val="06EC66E0"/>
    <w:rsid w:val="081D7AE0"/>
    <w:rsid w:val="089332B7"/>
    <w:rsid w:val="09FA11E0"/>
    <w:rsid w:val="0B924F3C"/>
    <w:rsid w:val="0C1C7A68"/>
    <w:rsid w:val="0CE47124"/>
    <w:rsid w:val="10356132"/>
    <w:rsid w:val="11E92A7D"/>
    <w:rsid w:val="13041393"/>
    <w:rsid w:val="13C14191"/>
    <w:rsid w:val="16683FED"/>
    <w:rsid w:val="17B40B54"/>
    <w:rsid w:val="17C73B8D"/>
    <w:rsid w:val="19033B41"/>
    <w:rsid w:val="190E2B30"/>
    <w:rsid w:val="1B78601E"/>
    <w:rsid w:val="1B9C545C"/>
    <w:rsid w:val="1C073948"/>
    <w:rsid w:val="1D953CF2"/>
    <w:rsid w:val="1E383361"/>
    <w:rsid w:val="1EBB288A"/>
    <w:rsid w:val="1F897A12"/>
    <w:rsid w:val="22644610"/>
    <w:rsid w:val="22EA36DF"/>
    <w:rsid w:val="24855D52"/>
    <w:rsid w:val="26A67592"/>
    <w:rsid w:val="277061AF"/>
    <w:rsid w:val="27EB5D07"/>
    <w:rsid w:val="281C69CE"/>
    <w:rsid w:val="284D3120"/>
    <w:rsid w:val="2A144355"/>
    <w:rsid w:val="2FDD1B7F"/>
    <w:rsid w:val="31C37EBA"/>
    <w:rsid w:val="324A3FB8"/>
    <w:rsid w:val="324F79A0"/>
    <w:rsid w:val="32891103"/>
    <w:rsid w:val="32DB1E15"/>
    <w:rsid w:val="34DB15D1"/>
    <w:rsid w:val="35531555"/>
    <w:rsid w:val="35DF4A23"/>
    <w:rsid w:val="3772660A"/>
    <w:rsid w:val="37CE1367"/>
    <w:rsid w:val="38606463"/>
    <w:rsid w:val="39D62CD1"/>
    <w:rsid w:val="3AD46C94"/>
    <w:rsid w:val="3C0269D0"/>
    <w:rsid w:val="3CB669F0"/>
    <w:rsid w:val="3CC64D02"/>
    <w:rsid w:val="3D764477"/>
    <w:rsid w:val="3E2671E9"/>
    <w:rsid w:val="3EEE1864"/>
    <w:rsid w:val="3F2521B4"/>
    <w:rsid w:val="46EA7EDB"/>
    <w:rsid w:val="487D6BBD"/>
    <w:rsid w:val="48A57EC2"/>
    <w:rsid w:val="48F84495"/>
    <w:rsid w:val="4A72164F"/>
    <w:rsid w:val="4AE63E96"/>
    <w:rsid w:val="4B416C8E"/>
    <w:rsid w:val="4BC863A1"/>
    <w:rsid w:val="4C717508"/>
    <w:rsid w:val="4C7D6B0F"/>
    <w:rsid w:val="4D8D0E92"/>
    <w:rsid w:val="4DB210B7"/>
    <w:rsid w:val="4E465EC0"/>
    <w:rsid w:val="502334A7"/>
    <w:rsid w:val="50B60EBE"/>
    <w:rsid w:val="51196B7F"/>
    <w:rsid w:val="511B3686"/>
    <w:rsid w:val="51DB1DFE"/>
    <w:rsid w:val="5274381B"/>
    <w:rsid w:val="528154FB"/>
    <w:rsid w:val="56120C9B"/>
    <w:rsid w:val="56E20D30"/>
    <w:rsid w:val="57EC1669"/>
    <w:rsid w:val="59387870"/>
    <w:rsid w:val="59F12F67"/>
    <w:rsid w:val="5A7D0C9E"/>
    <w:rsid w:val="5C401F83"/>
    <w:rsid w:val="613D6DF1"/>
    <w:rsid w:val="61DA0784"/>
    <w:rsid w:val="62BB0009"/>
    <w:rsid w:val="646F6B02"/>
    <w:rsid w:val="64B625E5"/>
    <w:rsid w:val="65FC7E82"/>
    <w:rsid w:val="6A150CDB"/>
    <w:rsid w:val="6AA30543"/>
    <w:rsid w:val="6D700B71"/>
    <w:rsid w:val="6E514E37"/>
    <w:rsid w:val="6E8421A4"/>
    <w:rsid w:val="6F9C0BD2"/>
    <w:rsid w:val="733A72D5"/>
    <w:rsid w:val="74AC12A4"/>
    <w:rsid w:val="74CE7AAB"/>
    <w:rsid w:val="74F311C2"/>
    <w:rsid w:val="76C33D5F"/>
    <w:rsid w:val="76F65C09"/>
    <w:rsid w:val="77063A92"/>
    <w:rsid w:val="7749421D"/>
    <w:rsid w:val="78173E5E"/>
    <w:rsid w:val="7A341A8C"/>
    <w:rsid w:val="7AA250E0"/>
    <w:rsid w:val="7AB34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9"/>
    <w:pPr>
      <w:spacing w:line="596" w:lineRule="exact"/>
      <w:ind w:firstLine="640" w:firstLineChars="200"/>
      <w:outlineLvl w:val="0"/>
    </w:pPr>
    <w:rPr>
      <w:rFonts w:eastAsia="方正黑体_GBK"/>
      <w:sz w:val="32"/>
      <w:szCs w:val="32"/>
    </w:rPr>
  </w:style>
  <w:style w:type="paragraph" w:styleId="4">
    <w:name w:val="heading 2"/>
    <w:basedOn w:val="1"/>
    <w:next w:val="1"/>
    <w:link w:val="19"/>
    <w:unhideWhenUsed/>
    <w:qFormat/>
    <w:uiPriority w:val="9"/>
    <w:pPr>
      <w:spacing w:line="596" w:lineRule="exact"/>
      <w:ind w:firstLine="640" w:firstLineChars="200"/>
      <w:outlineLvl w:val="1"/>
    </w:pPr>
    <w:rPr>
      <w:rFonts w:eastAsia="方正仿宋_GBK"/>
      <w:sz w:val="32"/>
      <w:szCs w:val="32"/>
    </w:rPr>
  </w:style>
  <w:style w:type="paragraph" w:styleId="2">
    <w:name w:val="heading 6"/>
    <w:basedOn w:val="1"/>
    <w:next w:val="1"/>
    <w:qFormat/>
    <w:uiPriority w:val="9"/>
    <w:pPr>
      <w:keepNext/>
      <w:keepLines/>
      <w:spacing w:before="240" w:after="64" w:line="320" w:lineRule="auto"/>
      <w:outlineLvl w:val="5"/>
    </w:pPr>
    <w:rPr>
      <w:rFonts w:ascii="Cambria" w:hAnsi="Cambria"/>
      <w:b/>
      <w:bCs/>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Autospacing="1" w:afterAutospacing="1"/>
      <w:jc w:val="left"/>
    </w:pPr>
    <w:rPr>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paragraph" w:styleId="13">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4">
    <w:name w:val="页眉 字符"/>
    <w:basedOn w:val="11"/>
    <w:link w:val="6"/>
    <w:qFormat/>
    <w:uiPriority w:val="99"/>
    <w:rPr>
      <w:rFonts w:ascii="Times New Roman" w:hAnsi="Times New Roman" w:eastAsia="宋体" w:cs="Times New Roman"/>
      <w:sz w:val="18"/>
      <w:szCs w:val="18"/>
    </w:rPr>
  </w:style>
  <w:style w:type="character" w:customStyle="1" w:styleId="15">
    <w:name w:val="页脚 字符"/>
    <w:basedOn w:val="11"/>
    <w:link w:val="5"/>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标题 1 字符"/>
    <w:basedOn w:val="11"/>
    <w:link w:val="3"/>
    <w:qFormat/>
    <w:uiPriority w:val="9"/>
    <w:rPr>
      <w:rFonts w:eastAsia="方正黑体_GBK"/>
      <w:kern w:val="2"/>
      <w:sz w:val="32"/>
      <w:szCs w:val="32"/>
    </w:rPr>
  </w:style>
  <w:style w:type="character" w:customStyle="1" w:styleId="19">
    <w:name w:val="标题 2 字符"/>
    <w:basedOn w:val="11"/>
    <w:link w:val="4"/>
    <w:qFormat/>
    <w:uiPriority w:val="9"/>
    <w:rPr>
      <w:rFonts w:eastAsia="方正仿宋_GBK"/>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CF55-F493-44E6-AFE4-7A4DA7995AF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3619</Words>
  <Characters>3918</Characters>
  <Lines>42</Lines>
  <Paragraphs>11</Paragraphs>
  <TotalTime>25</TotalTime>
  <ScaleCrop>false</ScaleCrop>
  <LinksUpToDate>false</LinksUpToDate>
  <CharactersWithSpaces>3936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2022-03-23T07:29:00Z</dcterms:created>
  <dc:creator>Administrator</dc:creator>
  <cp:lastModifiedBy>Administrator</cp:lastModifiedBy>
  <cp:lastPrinted>2020-04-20T08:58:00Z</cp:lastPrinted>
  <dcterms:modified xsi:type="dcterms:W3CDTF">2022-10-12T08:31:43Z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0532A8A93F62447499EB51951CCB878F</vt:lpwstr>
  </property>
</Properties>
</file>