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rPr>
        <w:t>生态环境局</w:t>
      </w:r>
    </w:p>
    <w:p>
      <w:pPr>
        <w:pStyle w:val="18"/>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pStyle w:val="18"/>
        <w:spacing w:line="596" w:lineRule="exact"/>
        <w:ind w:left="357" w:firstLine="640"/>
        <w:rPr>
          <w:rFonts w:eastAsia="方正仿宋_GBK"/>
          <w:sz w:val="32"/>
          <w:szCs w:val="32"/>
        </w:rPr>
      </w:pPr>
    </w:p>
    <w:p>
      <w:pPr>
        <w:jc w:val="center"/>
        <w:rPr>
          <w:rFonts w:hint="eastAsia" w:ascii="方正小标宋_GBK" w:hAnsi="方正小标宋_GBK" w:eastAsia="方正小标宋_GBK" w:cs="方正小标宋_GBK"/>
          <w:sz w:val="32"/>
          <w:szCs w:val="32"/>
        </w:rPr>
        <w:sectPr>
          <w:pgSz w:w="11906" w:h="16838"/>
          <w:pgMar w:top="1588" w:right="1474" w:bottom="1588" w:left="1474" w:header="851" w:footer="992" w:gutter="0"/>
          <w:cols w:space="425" w:num="1"/>
          <w:docGrid w:type="lines" w:linePitch="312" w:charSpace="0"/>
        </w:sect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目录</w:t>
      </w:r>
    </w:p>
    <w:p>
      <w:pPr>
        <w:pStyle w:val="9"/>
        <w:tabs>
          <w:tab w:val="right" w:leader="dot" w:pos="8958"/>
        </w:tabs>
        <w:rPr>
          <w:rFonts w:hint="eastAsia" w:ascii="方正仿宋_GBK" w:hAnsi="方正仿宋_GBK" w:eastAsia="方正仿宋_GBK" w:cs="方正仿宋_GBK"/>
          <w:sz w:val="32"/>
          <w:szCs w:val="32"/>
        </w:rPr>
      </w:pPr>
      <w:r>
        <w:rPr>
          <w:rFonts w:eastAsia="方正仿宋_GBK"/>
          <w:sz w:val="32"/>
          <w:szCs w:val="32"/>
        </w:rPr>
        <w:fldChar w:fldCharType="begin"/>
      </w:r>
      <w:r>
        <w:rPr>
          <w:rFonts w:eastAsia="方正仿宋_GBK"/>
          <w:sz w:val="32"/>
          <w:szCs w:val="32"/>
        </w:rPr>
        <w:instrText xml:space="preserve"> TOC \o "1-2" \h \z \u </w:instrText>
      </w:r>
      <w:r>
        <w:rPr>
          <w:rFonts w:eastAsia="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_Toc17191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一、基本情况</w:t>
      </w:r>
      <w:r>
        <w:rPr>
          <w:rFonts w:hint="eastAsia" w:ascii="方正仿宋_GBK" w:hAnsi="方正仿宋_GBK" w:eastAsia="方正仿宋_GBK" w:cs="方正仿宋_GBK"/>
          <w:sz w:val="32"/>
          <w:szCs w:val="32"/>
        </w:rPr>
        <w:tab/>
      </w:r>
      <w:bookmarkStart w:id="16" w:name="_GoBack"/>
      <w:bookmarkEnd w:id="16"/>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_Toc17191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_Toc20617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（一）部门基本情况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_Toc20617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_Toc28280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（二）预算及支出情况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_Toc28280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9"/>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_Toc28824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二、绩效评价基本情况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_Toc28824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（一）绩效评价目的</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_Toc3037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_Toc29907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（二）绩效评价原则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_Toc29907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_Toc27286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（三）绩效评价工作过程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_Toc27286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9"/>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_Toc5259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三、绩效评价情况及结论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_Toc5259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9"/>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_Toc23904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四、主要经验及做法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_Toc23904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9"/>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_Toc13691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五、存在的问题和建议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_Toc13691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_Toc16715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（一）存在的问题</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_Toc16715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_Toc7591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_Toc7591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8"/>
        <w:spacing w:line="596" w:lineRule="exact"/>
        <w:ind w:firstLine="0" w:firstLineChars="0"/>
        <w:rPr>
          <w:rFonts w:eastAsia="方正仿宋_GBK"/>
          <w:sz w:val="32"/>
          <w:szCs w:val="32"/>
        </w:rPr>
      </w:pPr>
      <w:r>
        <w:rPr>
          <w:rFonts w:eastAsia="方正仿宋_GBK"/>
          <w:szCs w:val="32"/>
        </w:rPr>
        <w:fldChar w:fldCharType="end"/>
      </w:r>
    </w:p>
    <w:p>
      <w:pPr>
        <w:spacing w:line="600" w:lineRule="exact"/>
        <w:ind w:firstLine="640" w:firstLineChars="200"/>
        <w:rPr>
          <w:rFonts w:hint="eastAsia" w:ascii="方正仿宋_GBK" w:hAnsi="方正仿宋_GBK" w:eastAsia="方正仿宋_GBK" w:cs="方正仿宋_GBK"/>
          <w:sz w:val="32"/>
          <w:szCs w:val="32"/>
        </w:rPr>
        <w:sectPr>
          <w:footerReference r:id="rId3" w:type="default"/>
          <w:pgSz w:w="11906" w:h="16838"/>
          <w:pgMar w:top="1588" w:right="1474" w:bottom="1588" w:left="1474" w:header="851" w:footer="992" w:gutter="0"/>
          <w:pgNumType w:start="1"/>
          <w:cols w:space="425" w:num="1"/>
          <w:docGrid w:type="lines" w:linePitch="312" w:charSpace="0"/>
        </w:sectPr>
      </w:pPr>
    </w:p>
    <w:p>
      <w:pPr>
        <w:spacing w:line="60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w:t>
      </w:r>
      <w:r>
        <w:rPr>
          <w:rFonts w:hint="eastAsia" w:ascii="方正仿宋_GBK" w:hAnsi="方正仿宋_GBK" w:eastAsia="方正仿宋_GBK" w:cs="方正仿宋_GBK"/>
          <w:sz w:val="32"/>
          <w:szCs w:val="32"/>
          <w:lang w:eastAsia="zh-CN"/>
        </w:rPr>
        <w:t>《重庆市璧山区财政局关于开展2021年度预算绩效自评工作的通知》（璧财绩〔2022〕2号）</w:t>
      </w:r>
      <w:r>
        <w:rPr>
          <w:rFonts w:hint="eastAsia" w:ascii="方正仿宋_GBK" w:hAnsi="方正仿宋_GBK" w:eastAsia="方正仿宋_GBK" w:cs="方正仿宋_GBK"/>
          <w:sz w:val="32"/>
          <w:szCs w:val="32"/>
        </w:rPr>
        <w:t>文件要求，形成2021年度部门整体支出绩效自评报告如下：</w:t>
      </w:r>
    </w:p>
    <w:p>
      <w:pPr>
        <w:pStyle w:val="3"/>
        <w:spacing w:line="600" w:lineRule="exact"/>
        <w:ind w:firstLine="640"/>
      </w:pPr>
      <w:bookmarkStart w:id="0" w:name="_Toc17191"/>
      <w:r>
        <w:t>一、基本</w:t>
      </w:r>
      <w:r>
        <w:rPr>
          <w:rFonts w:hint="eastAsia"/>
        </w:rPr>
        <w:t>情况</w:t>
      </w:r>
      <w:bookmarkEnd w:id="0"/>
    </w:p>
    <w:p>
      <w:pPr>
        <w:pStyle w:val="4"/>
        <w:spacing w:line="600" w:lineRule="exact"/>
        <w:ind w:firstLine="640"/>
      </w:pPr>
      <w:bookmarkStart w:id="1" w:name="_Toc20617"/>
      <w:r>
        <w:t>（一）</w:t>
      </w:r>
      <w:r>
        <w:rPr>
          <w:rFonts w:hint="eastAsia"/>
        </w:rPr>
        <w:t>部门基本情况</w:t>
      </w:r>
      <w:bookmarkEnd w:id="1"/>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1、部门职级</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重庆市璧山区生态环境局是区政府工作部门，为正处级。</w:t>
      </w:r>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2、内设机构及编制</w:t>
      </w:r>
    </w:p>
    <w:p>
      <w:pPr>
        <w:spacing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重庆市璧山区生态环境局设下列内设机构：  </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办公室。负责机关日常运转工作，承担机关意识形态、文秘、档案、机要、保密、会务、信访、机构编制、人事劳资、财务审计、国有资产、政府采购等工作。负责组织开展生态环境保护宣传教育工作。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环境综合科。负责统筹监督生态环境保护党政同责、一岗双责落实情况。统筹协调生态环境保护督察综合工作，承担生态环境保护督察。承担区生态环境委员会的日常工作。牵头污染防治攻坚战、生态优先绿色发展行动计划和五大环保行动等有关综合性工作。承担区县经济社会发展考核中有关生态环境的考核工作，承办区政府对本单位的年度目标任务绩效考核工作，组织开展区政府对区级相关部门、镇街和相关单位的生态环境考核工作。负责组织实施污染物排放总量控制制度，承担总量减排的综合协调和日常管理工作。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水生态环境科。负责编制并监督实施生态环境规划，会同有关部门划定环境功能区划并组织实施。监督管理饮用水源地生态环境保护工作。负责流域水环境保护，承担入河排污口的设置管理，组织编制并监督实施水功能区划。负责城乡污水处理的监督管理。拟订城乡污水处理措施、标准、规划并监督实施。负责城乡生活污水处理设施的建设维护（城区污水处理厂的建设除外），负责污水处理厂的监管。牵头开展流域生态保护补偿工作。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大气环境与园区管理科。负责大气、机动车、噪声、光、恶臭等污染防治的监督管理。拟定重污染天气应对政策措施，组织协调大气面源污染防治工作。指导区域大气环境保护工作，组织实施区域大气污染联防联控工作。组织实施应对气候变化工作。监督璧山高新区生态环境保护工作，承担璧山高新区集中环保设施的监督管理。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辐射与土壤生态环境科。负责对土壤生态环境保护、地下水污染防治和生态保护等工作的监督管理。指导协调和监督农村生态环境保护。组织指导农村生态环境综合整治，监督指导农业面源污染治理。负责固体废物、化学品、重金属等污染防治的监督管理工作，组织实施危险废物经营管理、固体废物转移管理、废气电器电子产品处理资格管理等环境管理制度。负责本区核安全、辐射安全及放射性废物处理的监督管理。组织编制核与辐射事故应急预案、参与辐射事故、核事故的应急处置工作。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自然生态保护科。负责生态文明体制改革、生态环境领域科技体制改革、生态环境保护领域经济体制改革的综合性工作。承担生态环境科技工作。负责拟定并监督实施各类自然保护地生态环境监管制度，组织编制生态保护规划，开展生态状况评估、生态示范创建。承担自然保护地、生态保护红线相关监管工作。监督野生动植物保护、湿地生态环境保护、荒漠化防治等工作。监督生物技术环境安全，牵头生物物种（含遗传资源）工作，组织协调生物多样性保护。指导和协调监督生态保护修复工作。负责承担生态环境监测管理工作。牵头指导和实施生态环境损害赔偿制度。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行政审批科。负责生态环境准入的监督管理。受区政府委托对重大经济和技术政策、发展规划以及重大经济开发计划进行环境影响评价，按规定审批或审查重大开发建设区域、规划、项目环境影响评价文件，组织实施生态环境准入清单。负责组织实施建设项目生态环境保护“三同时”制度。负责执行园区环境准入清单的指导服务工作。承担排污权交易工作。其他有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重庆市璧山区生态环境局机关行政</w:t>
      </w:r>
      <w:r>
        <w:rPr>
          <w:rFonts w:ascii="方正仿宋_GBK" w:hAnsi="方正仿宋_GBK" w:eastAsia="方正仿宋_GBK" w:cs="方正仿宋_GBK"/>
          <w:sz w:val="32"/>
          <w:szCs w:val="32"/>
        </w:rPr>
        <w:t>编制</w:t>
      </w:r>
      <w:r>
        <w:rPr>
          <w:rFonts w:hint="eastAsia" w:ascii="方正仿宋_GBK" w:hAnsi="方正仿宋_GBK" w:eastAsia="方正仿宋_GBK" w:cs="方正仿宋_GBK"/>
          <w:sz w:val="32"/>
          <w:szCs w:val="32"/>
        </w:rPr>
        <w:t>12</w:t>
      </w:r>
      <w:r>
        <w:rPr>
          <w:rFonts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设局长1名，副局长</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科级领导职数</w:t>
      </w:r>
      <w:r>
        <w:rPr>
          <w:rFonts w:hint="eastAsia" w:ascii="方正仿宋_GBK" w:hAnsi="方正仿宋_GBK" w:eastAsia="方正仿宋_GBK" w:cs="方正仿宋_GBK"/>
          <w:sz w:val="32"/>
          <w:szCs w:val="32"/>
        </w:rPr>
        <w:t>7</w:t>
      </w:r>
      <w:r>
        <w:rPr>
          <w:rFonts w:ascii="方正仿宋_GBK" w:hAnsi="方正仿宋_GBK" w:eastAsia="方正仿宋_GBK" w:cs="方正仿宋_GBK"/>
          <w:sz w:val="32"/>
          <w:szCs w:val="32"/>
        </w:rPr>
        <w:t>名。</w:t>
      </w:r>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3、下属机构</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重庆市璧山区生态环境保护综合行政执法支队、重庆市璧山区生态环境监测站2个事业单位由重庆市璧山区生态环境局管理。</w:t>
      </w:r>
    </w:p>
    <w:p>
      <w:pPr>
        <w:spacing w:line="600" w:lineRule="exact"/>
        <w:ind w:firstLine="640" w:firstLineChars="200"/>
        <w:outlineLvl w:val="2"/>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、职能职责</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贯彻执行国家生态环境基本制度。负责贯彻执行生态环境法律法规、规章、标准和方针政策，根据职责和授权拟订有关规范性文件并组织实施。会同有关部门拟订生态环境规划并组织实施。会同有关部门划定环境功能区划并组织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重大生态环境问题的统筹协调和监督管理。建立健全突发生态环境事件的应急预警机制。牵头协调环境污染事件和生态破坏事件的调查处理，负责突发生态环境事件的应急、预警工作。牵头指导和实施生态环境损害赔偿制度，协调解决环境污染纠纷。统筹协调重点区域、流域生态环境保护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（3）负责监督管理减排目标的落实。监督实施各类污染物排放总量控制、排污许可证制度，配合确定水、大气等纳污能力，负责完成污染物减排任务，实施生态环境保护目标责任制。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（4）负责提出生态环境领域固定资产投资规模和方向、财政性资金安排的意见，配合有关部门做好组织实施和监督工作。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（6）负责城乡污水处理的监督管理。拟订城乡污水处理措施、标准、规划并监督实施。负责城乡生活污水处理设施的建设维护（城区污水处理厂的建设除外），负责污水处理厂的监管。</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负责生态环境准入的监督管理。受区政府委托对重大经济和技术政策、发展规划以及重大经济开发计划进行环境影响评价，按规定审批或审查重大开发建设区域、规划、项目环境影响评价文件，组织实施生态环境准入清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负责生态环境监测工作。贯彻执行生态环境监测制度、规范和相关标准。组织建设和管理生态环境监测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）负责应对气候变化工作。贯彻执行应对气候变化及温室气体减排重大战略、规划和政策，承担国家履行联合国气候变化框架公约在我区的相关工作，组织开展应对气候变化对外交流与合作。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承接生态环境保护督察。承接中央生态环境保护督察、重庆市生态环境保护督察有关工作，组织协调区级生态环境保护督察工作，根据授权对镇街、区级有关部门、相关单位贯彻落实生态环境保护决策部署情况进行督察问责。</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）负责生态环境监督执法。组织开展生态环境保护执法检查活动，查处生态环境违法问题，具体执法交由相关执法队伍承担，并以部门名义统一执法。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）负责开展生态环境科技工作。组织开展生态环境科学研究和技术工程示范，推动生态环境技术管理体系建设。参与指导推动循环经济和生态环保产业发展。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）组织开展生态环境宣传教育工作。组织实施生态环境保护宣传教育纲要，推动社会组织和公众参与生态环境保护。</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）承担重庆市璧山区生态环境委员会的日常工作。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）负责机关及下属事业单位的党建工作。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）完成区委和区政府交办的其他任务。</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职能转变。区生态环境局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4"/>
        <w:spacing w:line="600" w:lineRule="exact"/>
        <w:ind w:firstLine="640"/>
      </w:pPr>
      <w:bookmarkStart w:id="2" w:name="_Toc28280"/>
      <w:r>
        <w:t>（二）</w:t>
      </w:r>
      <w:r>
        <w:rPr>
          <w:rFonts w:hint="eastAsia"/>
        </w:rPr>
        <w:t>预算及支出情况</w:t>
      </w:r>
      <w:bookmarkEnd w:id="2"/>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1、财政资金整体支出</w:t>
      </w:r>
    </w:p>
    <w:p>
      <w:pPr>
        <w:widowControl/>
        <w:spacing w:line="600" w:lineRule="exact"/>
        <w:ind w:firstLine="640" w:firstLineChars="200"/>
        <w:rPr>
          <w:rFonts w:ascii="宋体" w:hAnsi="宋体" w:cs="Arial"/>
          <w:kern w:val="0"/>
          <w:sz w:val="20"/>
          <w:szCs w:val="20"/>
        </w:rPr>
      </w:pPr>
      <w:r>
        <w:rPr>
          <w:rFonts w:hint="eastAsia" w:ascii="方正仿宋_GBK" w:hAnsi="方正仿宋_GBK" w:eastAsia="方正仿宋_GBK" w:cs="方正仿宋_GBK"/>
          <w:sz w:val="32"/>
          <w:szCs w:val="32"/>
        </w:rPr>
        <w:t>2021年财政资金年初支出预算为10568</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757438</w:t>
      </w:r>
      <w:r>
        <w:rPr>
          <w:rFonts w:hint="eastAsia" w:ascii="方正仿宋_GBK" w:hAnsi="方正仿宋_GBK" w:eastAsia="方正仿宋_GBK" w:cs="方正仿宋_GBK"/>
          <w:sz w:val="32"/>
          <w:szCs w:val="32"/>
        </w:rPr>
        <w:t>万元，年中调整预算为</w:t>
      </w:r>
      <w:r>
        <w:rPr>
          <w:rFonts w:hint="default" w:ascii="方正仿宋_GBK" w:hAnsi="方正仿宋_GBK" w:eastAsia="方正仿宋_GBK" w:cs="方正仿宋_GBK"/>
          <w:sz w:val="32"/>
          <w:szCs w:val="32"/>
        </w:rPr>
        <w:t>8324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35722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shd w:val="clear" w:color="auto" w:fill="FFFFFF"/>
        </w:rPr>
        <w:t>上年结转</w:t>
      </w:r>
      <w:r>
        <w:rPr>
          <w:rFonts w:hint="eastAsia" w:ascii="方正仿宋_GBK" w:hAnsi="方正仿宋_GBK" w:eastAsia="方正仿宋_GBK" w:cs="方正仿宋_GBK"/>
          <w:sz w:val="32"/>
          <w:szCs w:val="32"/>
        </w:rPr>
        <w:t>833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13054</w:t>
      </w:r>
      <w:r>
        <w:rPr>
          <w:rFonts w:hint="eastAsia" w:ascii="方正仿宋_GBK" w:hAnsi="方正仿宋_GBK" w:eastAsia="方正仿宋_GBK" w:cs="方正仿宋_GBK"/>
          <w:kern w:val="0"/>
          <w:sz w:val="32"/>
          <w:szCs w:val="32"/>
          <w:shd w:val="clear" w:color="auto" w:fill="FFFFFF"/>
        </w:rPr>
        <w:t>万元</w:t>
      </w:r>
      <w:r>
        <w:rPr>
          <w:rFonts w:hint="eastAsia" w:ascii="方正仿宋_GBK" w:hAnsi="方正仿宋_GBK" w:eastAsia="方正仿宋_GBK" w:cs="方正仿宋_GBK"/>
          <w:sz w:val="32"/>
          <w:szCs w:val="32"/>
        </w:rPr>
        <w:t>，调整后支出预算为9157</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48776</w:t>
      </w:r>
      <w:r>
        <w:rPr>
          <w:rFonts w:hint="eastAsia" w:ascii="方正仿宋_GBK" w:hAnsi="方正仿宋_GBK" w:eastAsia="方正仿宋_GBK" w:cs="方正仿宋_GBK"/>
          <w:sz w:val="32"/>
          <w:szCs w:val="32"/>
        </w:rPr>
        <w:t>万元；年末支出决算为9157</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8776</w:t>
      </w:r>
      <w:r>
        <w:rPr>
          <w:rFonts w:hint="eastAsia" w:ascii="方正仿宋_GBK" w:hAnsi="方正仿宋_GBK" w:eastAsia="方正仿宋_GBK" w:cs="方正仿宋_GBK"/>
          <w:sz w:val="32"/>
          <w:szCs w:val="32"/>
        </w:rPr>
        <w:t>万元，年末结转和结余为</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2、部门“三公”经费支出</w:t>
      </w:r>
    </w:p>
    <w:p>
      <w:pPr>
        <w:widowControl/>
        <w:spacing w:line="600" w:lineRule="exact"/>
        <w:ind w:firstLine="640" w:firstLineChars="200"/>
        <w:rPr>
          <w:rFonts w:ascii="宋体" w:hAnsi="宋体" w:cs="Arial"/>
          <w:kern w:val="0"/>
          <w:sz w:val="20"/>
          <w:szCs w:val="20"/>
        </w:rPr>
      </w:pPr>
      <w:r>
        <w:rPr>
          <w:rFonts w:hint="eastAsia" w:ascii="方正仿宋_GBK" w:hAnsi="方正仿宋_GBK" w:eastAsia="方正仿宋_GBK" w:cs="方正仿宋_GBK"/>
          <w:sz w:val="32"/>
          <w:szCs w:val="32"/>
        </w:rPr>
        <w:t>2021年“三公”经费支出总额</w:t>
      </w:r>
      <w:r>
        <w:rPr>
          <w:rFonts w:hint="default" w:ascii="方正仿宋_GBK" w:hAnsi="方正仿宋_GBK" w:eastAsia="方正仿宋_GBK" w:cs="方正仿宋_GBK"/>
          <w:sz w:val="32"/>
          <w:szCs w:val="32"/>
        </w:rPr>
        <w:t>126</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466125</w:t>
      </w:r>
      <w:r>
        <w:rPr>
          <w:rFonts w:hint="eastAsia" w:ascii="方正仿宋_GBK" w:hAnsi="方正仿宋_GBK" w:eastAsia="方正仿宋_GBK" w:cs="方正仿宋_GBK"/>
          <w:sz w:val="32"/>
          <w:szCs w:val="32"/>
        </w:rPr>
        <w:t>万元，其中：公务车运行维护费</w:t>
      </w:r>
      <w:r>
        <w:rPr>
          <w:rFonts w:hint="default" w:ascii="方正仿宋_GBK" w:hAnsi="方正仿宋_GBK" w:eastAsia="方正仿宋_GBK" w:cs="方正仿宋_GBK"/>
          <w:sz w:val="32"/>
          <w:szCs w:val="32"/>
        </w:rPr>
        <w:t>124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729257</w:t>
      </w:r>
      <w:r>
        <w:rPr>
          <w:rFonts w:hint="eastAsia" w:ascii="方正仿宋_GBK" w:hAnsi="方正仿宋_GBK" w:eastAsia="方正仿宋_GBK" w:cs="方正仿宋_GBK"/>
          <w:sz w:val="32"/>
          <w:szCs w:val="32"/>
        </w:rPr>
        <w:t>万元、国内公务接待</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736868</w:t>
      </w:r>
      <w:r>
        <w:rPr>
          <w:rFonts w:hint="eastAsia" w:ascii="方正仿宋_GBK" w:hAnsi="方正仿宋_GBK" w:eastAsia="方正仿宋_GBK" w:cs="方正仿宋_GBK"/>
          <w:sz w:val="32"/>
          <w:szCs w:val="32"/>
        </w:rPr>
        <w:t>万元。年初预算支出358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998797万，比预算减少232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53</w:t>
      </w:r>
      <w:r>
        <w:rPr>
          <w:rFonts w:hint="eastAsia" w:ascii="方正仿宋_GBK" w:hAnsi="方正仿宋_GBK" w:eastAsia="方正仿宋_GBK" w:cs="方正仿宋_GBK"/>
          <w:sz w:val="32"/>
          <w:szCs w:val="32"/>
          <w:lang w:val="en-US" w:eastAsia="zh-CN"/>
        </w:rPr>
        <w:t>2672</w:t>
      </w:r>
      <w:r>
        <w:rPr>
          <w:rFonts w:hint="eastAsia" w:ascii="方正仿宋_GBK" w:hAnsi="方正仿宋_GBK" w:eastAsia="方正仿宋_GBK" w:cs="方正仿宋_GBK"/>
          <w:sz w:val="32"/>
          <w:szCs w:val="32"/>
        </w:rPr>
        <w:t>万元，主要原因是公务车运行维护费减少。公务用车未新购置、保有量为</w:t>
      </w:r>
      <w:r>
        <w:rPr>
          <w:rFonts w:ascii="方正仿宋_GBK" w:hAnsi="方正仿宋_GBK" w:eastAsia="方正仿宋_GBK" w:cs="方正仿宋_GBK"/>
          <w:sz w:val="32"/>
          <w:szCs w:val="32"/>
        </w:rPr>
        <w:t>23</w:t>
      </w:r>
      <w:r>
        <w:rPr>
          <w:rFonts w:hint="eastAsia" w:ascii="方正仿宋_GBK" w:hAnsi="方正仿宋_GBK" w:eastAsia="方正仿宋_GBK" w:cs="方正仿宋_GBK"/>
          <w:sz w:val="32"/>
          <w:szCs w:val="32"/>
        </w:rPr>
        <w:t>辆、无因公出国（境）团组数及人数，国内公务接待</w:t>
      </w:r>
      <w:r>
        <w:rPr>
          <w:rFonts w:ascii="方正仿宋_GBK" w:hAnsi="方正仿宋_GBK" w:eastAsia="方正仿宋_GBK" w:cs="方正仿宋_GBK"/>
          <w:sz w:val="32"/>
          <w:szCs w:val="32"/>
        </w:rPr>
        <w:t>34</w:t>
      </w:r>
      <w:r>
        <w:rPr>
          <w:rFonts w:hint="eastAsia" w:ascii="方正仿宋_GBK" w:hAnsi="方正仿宋_GBK" w:eastAsia="方正仿宋_GBK" w:cs="方正仿宋_GBK"/>
          <w:sz w:val="32"/>
          <w:szCs w:val="32"/>
        </w:rPr>
        <w:t>批次及</w:t>
      </w:r>
      <w:r>
        <w:rPr>
          <w:rFonts w:ascii="方正仿宋_GBK" w:hAnsi="方正仿宋_GBK" w:eastAsia="方正仿宋_GBK" w:cs="方正仿宋_GBK"/>
          <w:sz w:val="32"/>
          <w:szCs w:val="32"/>
        </w:rPr>
        <w:t>314</w:t>
      </w:r>
      <w:r>
        <w:rPr>
          <w:rFonts w:hint="eastAsia" w:ascii="方正仿宋_GBK" w:hAnsi="方正仿宋_GBK" w:eastAsia="方正仿宋_GBK" w:cs="方正仿宋_GBK"/>
          <w:sz w:val="32"/>
          <w:szCs w:val="32"/>
        </w:rPr>
        <w:t xml:space="preserve">人数。  </w:t>
      </w:r>
    </w:p>
    <w:p>
      <w:pPr>
        <w:pStyle w:val="3"/>
        <w:spacing w:line="600" w:lineRule="exact"/>
        <w:ind w:firstLine="640"/>
        <w:rPr>
          <w:rFonts w:eastAsia="方正仿宋_GBK"/>
        </w:rPr>
      </w:pPr>
      <w:bookmarkStart w:id="3" w:name="_Toc28824"/>
      <w:r>
        <w:t>二、绩效评价</w:t>
      </w:r>
      <w:r>
        <w:rPr>
          <w:rFonts w:hint="eastAsia"/>
        </w:rPr>
        <w:t>基本</w:t>
      </w:r>
      <w:r>
        <w:t>情况</w:t>
      </w:r>
      <w:bookmarkEnd w:id="3"/>
    </w:p>
    <w:p>
      <w:pPr>
        <w:pStyle w:val="4"/>
        <w:spacing w:line="600" w:lineRule="exact"/>
        <w:ind w:firstLine="640"/>
      </w:pPr>
      <w:bookmarkStart w:id="4" w:name="_Toc3037"/>
      <w:r>
        <w:t>（一）绩效评价目的</w:t>
      </w:r>
      <w:bookmarkEnd w:id="4"/>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为加强预算执行分析，规范财务管理，强化财政资金跟踪问效和绩效管理，建立对下属预算单位的监督、指导机制，及时发现问题并采取有效措施解决，组织开展部门2021年整体支出绩效自评。</w:t>
      </w:r>
    </w:p>
    <w:p>
      <w:pPr>
        <w:pStyle w:val="4"/>
        <w:spacing w:line="600" w:lineRule="exact"/>
        <w:ind w:firstLine="640"/>
      </w:pPr>
      <w:bookmarkStart w:id="5" w:name="_Toc29907"/>
      <w:r>
        <w:t>（二）绩效评价原则</w:t>
      </w:r>
      <w:bookmarkEnd w:id="5"/>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绩效评价原则包括</w:t>
      </w:r>
      <w:r>
        <w:rPr>
          <w:rFonts w:ascii="仿宋_GB2312" w:eastAsia="仿宋_GB2312"/>
          <w:bCs/>
          <w:sz w:val="32"/>
          <w:szCs w:val="32"/>
        </w:rPr>
        <w:t>科学规范原则</w:t>
      </w:r>
      <w:r>
        <w:rPr>
          <w:rFonts w:hint="eastAsia" w:ascii="仿宋_GB2312" w:eastAsia="仿宋_GB2312"/>
          <w:bCs/>
          <w:sz w:val="32"/>
          <w:szCs w:val="32"/>
        </w:rPr>
        <w:t>、</w:t>
      </w:r>
      <w:r>
        <w:rPr>
          <w:rFonts w:ascii="仿宋_GB2312" w:eastAsia="仿宋_GB2312"/>
          <w:bCs/>
          <w:sz w:val="32"/>
          <w:szCs w:val="32"/>
        </w:rPr>
        <w:t>公开公正原则</w:t>
      </w:r>
      <w:r>
        <w:rPr>
          <w:rFonts w:hint="eastAsia" w:ascii="仿宋_GB2312" w:eastAsia="仿宋_GB2312"/>
          <w:bCs/>
          <w:sz w:val="32"/>
          <w:szCs w:val="32"/>
        </w:rPr>
        <w:t>、</w:t>
      </w:r>
      <w:r>
        <w:rPr>
          <w:rFonts w:ascii="仿宋_GB2312" w:eastAsia="仿宋_GB2312"/>
          <w:bCs/>
          <w:sz w:val="32"/>
          <w:szCs w:val="32"/>
        </w:rPr>
        <w:t>分级分类原则</w:t>
      </w:r>
      <w:r>
        <w:rPr>
          <w:rFonts w:hint="eastAsia" w:ascii="仿宋_GB2312" w:eastAsia="仿宋_GB2312"/>
          <w:bCs/>
          <w:sz w:val="32"/>
          <w:szCs w:val="32"/>
        </w:rPr>
        <w:t>、</w:t>
      </w:r>
      <w:r>
        <w:rPr>
          <w:rFonts w:ascii="仿宋_GB2312" w:eastAsia="仿宋_GB2312"/>
          <w:bCs/>
          <w:sz w:val="32"/>
          <w:szCs w:val="32"/>
        </w:rPr>
        <w:t>绩效相关原则。</w:t>
      </w:r>
    </w:p>
    <w:p>
      <w:pPr>
        <w:pStyle w:val="4"/>
        <w:spacing w:line="600" w:lineRule="exact"/>
        <w:ind w:firstLine="640"/>
      </w:pPr>
      <w:bookmarkStart w:id="6" w:name="_Toc27286"/>
      <w:r>
        <w:rPr>
          <w:rFonts w:hint="eastAsia"/>
        </w:rPr>
        <w:t>（三）</w:t>
      </w:r>
      <w:r>
        <w:t>绩效评价工作过程</w:t>
      </w:r>
      <w:bookmarkEnd w:id="6"/>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1、前期准备</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《重庆市璧山区财政局关于开展2021年度预算绩效自评工作的通知》（璧财绩〔2022〕2号）</w:t>
      </w:r>
      <w:r>
        <w:rPr>
          <w:rFonts w:hint="eastAsia" w:ascii="方正仿宋_GBK" w:hAnsi="方正仿宋_GBK" w:eastAsia="方正仿宋_GBK" w:cs="方正仿宋_GBK"/>
          <w:sz w:val="32"/>
          <w:szCs w:val="32"/>
        </w:rPr>
        <w:t>文件要求，我单位高度重视绩效评价，组成由单位领导、办公室、各业务科室负责人和项目负责人组成的自评小组，制定自评方案，明确自评程序和方法，通知要求资金使用科室上报资金使用情况、项目实施情况及计划绩效目标完成情况。</w:t>
      </w:r>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本次绩效评价工作分为</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个阶段：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第一个阶段为评价准备阶段，自评工作组梳理和研读了国家层面、市级层面、区级层面与本次评价部门整体有关的政策文件，获得评价资料。</w:t>
      </w:r>
    </w:p>
    <w:p>
      <w:pPr>
        <w:widowControl/>
        <w:shd w:val="clear" w:color="auto" w:fill="FFFFFF"/>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阶段为实施评价阶段，自评工作组在2022年2月23日至3月10日开展评价实施。取得评价部门整体实施的进度和资金筹集支出情况等资料，通过研读搭建指标体系，填写《重庆市璧山区生态环境局2021年度部门整体支出绩效自评表》并撰写自评报告。</w:t>
      </w:r>
    </w:p>
    <w:p>
      <w:pPr>
        <w:spacing w:line="60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3、分析评价</w:t>
      </w:r>
    </w:p>
    <w:p>
      <w:pPr>
        <w:widowControl/>
        <w:shd w:val="clear" w:color="auto" w:fill="FFFFFF"/>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3月11日至3月18日，自评工作组根据《重庆市璧山区生态环境局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pStyle w:val="3"/>
        <w:spacing w:line="600" w:lineRule="exact"/>
        <w:ind w:firstLine="640"/>
      </w:pPr>
      <w:bookmarkStart w:id="7" w:name="_Toc5259"/>
      <w:r>
        <w:t>三、</w:t>
      </w:r>
      <w:r>
        <w:rPr>
          <w:rFonts w:hint="eastAsia"/>
        </w:rPr>
        <w:t>绩效</w:t>
      </w:r>
      <w:r>
        <w:t>评价情况及结论</w:t>
      </w:r>
      <w:bookmarkEnd w:id="7"/>
    </w:p>
    <w:p>
      <w:pPr>
        <w:widowControl/>
        <w:shd w:val="clear" w:color="auto" w:fill="FFFFFF"/>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根据《重庆市璧山区生态环境局2021年度部门整体支出绩效自评表》中的指标体系分析情况，重庆市璧山区生态环境局生态环境局2021年度部门整体支出绩效自评总得分</w:t>
      </w:r>
      <w:r>
        <w:rPr>
          <w:rFonts w:ascii="方正仿宋_GBK" w:hAnsi="方正仿宋_GBK" w:eastAsia="方正仿宋_GBK" w:cs="方正仿宋_GBK"/>
          <w:sz w:val="32"/>
          <w:szCs w:val="32"/>
        </w:rPr>
        <w:t>99.</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分，等级为“优”。具体得分情况如表1所示。</w:t>
      </w:r>
    </w:p>
    <w:p>
      <w:pPr>
        <w:widowControl/>
        <w:shd w:val="clear" w:color="auto" w:fill="FFFFFF"/>
        <w:adjustRightInd w:val="0"/>
        <w:snapToGrid w:val="0"/>
        <w:spacing w:line="600" w:lineRule="exact"/>
        <w:ind w:firstLine="560" w:firstLineChars="200"/>
        <w:jc w:val="center"/>
      </w:pPr>
      <w:r>
        <w:rPr>
          <w:rFonts w:hint="eastAsia" w:ascii="方正仿宋_GBK" w:hAnsi="方正仿宋_GBK" w:eastAsia="方正仿宋_GBK" w:cs="方正仿宋_GBK"/>
          <w:kern w:val="0"/>
          <w:sz w:val="28"/>
          <w:szCs w:val="28"/>
          <w:shd w:val="clear" w:color="auto" w:fill="FFFFFF"/>
        </w:rPr>
        <w:t>表 1：指标得分情况</w:t>
      </w:r>
    </w:p>
    <w:tbl>
      <w:tblPr>
        <w:tblStyle w:val="12"/>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1519"/>
        <w:gridCol w:w="1559"/>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681" w:type="dxa"/>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指标名称</w:t>
            </w:r>
          </w:p>
        </w:tc>
        <w:tc>
          <w:tcPr>
            <w:tcW w:w="1519" w:type="dxa"/>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权重</w:t>
            </w:r>
          </w:p>
        </w:tc>
        <w:tc>
          <w:tcPr>
            <w:tcW w:w="1559" w:type="dxa"/>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得分</w:t>
            </w:r>
          </w:p>
        </w:tc>
        <w:tc>
          <w:tcPr>
            <w:tcW w:w="1540" w:type="dxa"/>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681" w:type="dxa"/>
            <w:tcBorders>
              <w:top w:val="single" w:color="auto" w:sz="4" w:space="0"/>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预算执行率</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15</w:t>
            </w:r>
          </w:p>
        </w:tc>
        <w:tc>
          <w:tcPr>
            <w:tcW w:w="1540" w:type="dxa"/>
            <w:vAlign w:val="center"/>
          </w:tcPr>
          <w:p>
            <w:pPr>
              <w:widowControl/>
              <w:spacing w:line="600" w:lineRule="exact"/>
              <w:jc w:val="center"/>
              <w:rPr>
                <w:rFonts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地表水环境质量达到考核要求</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项目绩效管理率</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方正仿宋_GBK" w:hAnsi="仿宋" w:eastAsia="方正仿宋_GBK" w:cs="Times New Roman"/>
                <w:szCs w:val="21"/>
                <w:lang w:val="en-US" w:eastAsia="zh-CN"/>
              </w:rPr>
            </w:pPr>
            <w:r>
              <w:rPr>
                <w:rFonts w:hint="eastAsia" w:ascii="方正仿宋_GBK" w:hAnsi="仿宋" w:eastAsia="方正仿宋_GBK" w:cs="Times New Roman"/>
                <w:szCs w:val="21"/>
                <w:lang w:val="en-US" w:eastAsia="zh-CN"/>
              </w:rPr>
              <w:t>15</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方正仿宋_GBK" w:hAnsi="仿宋" w:eastAsia="方正仿宋_GBK" w:cs="Times New Roman"/>
                <w:szCs w:val="21"/>
                <w:lang w:val="en-US" w:eastAsia="zh-CN"/>
              </w:rPr>
            </w:pPr>
            <w:r>
              <w:rPr>
                <w:rFonts w:hint="eastAsia" w:ascii="方正仿宋_GBK" w:hAnsi="仿宋" w:eastAsia="方正仿宋_GBK" w:cs="Times New Roman"/>
                <w:szCs w:val="21"/>
                <w:lang w:val="en-US" w:eastAsia="zh-CN"/>
              </w:rPr>
              <w:t>15</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预决算公开率（涉秘信息除外）</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污染地块安全利用率</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40" w:type="dxa"/>
            <w:tcBorders>
              <w:bottom w:val="single" w:color="auto" w:sz="4" w:space="0"/>
            </w:tcBorders>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single" w:color="auto" w:sz="4" w:space="0"/>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全年优良天数</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default" w:ascii="方正仿宋_GBK" w:hAnsi="仿宋" w:eastAsia="方正仿宋_GBK" w:cs="Times New Roman"/>
                <w:szCs w:val="21"/>
                <w:lang w:val="en-US" w:eastAsia="zh-CN"/>
              </w:rPr>
            </w:pPr>
            <w:r>
              <w:rPr>
                <w:rFonts w:hint="eastAsia" w:ascii="方正仿宋_GBK" w:hAnsi="仿宋" w:eastAsia="方正仿宋_GBK" w:cs="Times New Roman"/>
                <w:szCs w:val="21"/>
                <w:lang w:val="en-US" w:eastAsia="zh-CN"/>
              </w:rPr>
              <w:t>9.5</w:t>
            </w:r>
          </w:p>
        </w:tc>
        <w:tc>
          <w:tcPr>
            <w:tcW w:w="1540" w:type="dxa"/>
            <w:tcBorders>
              <w:top w:val="single" w:color="auto" w:sz="4" w:space="0"/>
              <w:bottom w:val="single" w:color="auto" w:sz="4" w:space="0"/>
              <w:right w:val="single" w:color="auto" w:sz="4" w:space="0"/>
            </w:tcBorders>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生态文明建设知晓率和满意率</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lang w:eastAsia="zh-CN"/>
              </w:rPr>
            </w:pPr>
            <w:r>
              <w:rPr>
                <w:rFonts w:hint="eastAsia" w:ascii="方正仿宋_GBK" w:hAnsi="仿宋" w:eastAsia="方正仿宋_GBK" w:cs="Times New Roman"/>
                <w:szCs w:val="21"/>
                <w:lang w:val="en-US" w:eastAsia="zh-CN"/>
              </w:rPr>
              <w:t>5</w:t>
            </w:r>
          </w:p>
        </w:tc>
        <w:tc>
          <w:tcPr>
            <w:tcW w:w="1540" w:type="dxa"/>
            <w:tcBorders>
              <w:top w:val="single" w:color="auto" w:sz="4" w:space="0"/>
            </w:tcBorders>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本单位职工满意度</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10</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取得监测数据</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5</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681" w:type="dxa"/>
            <w:tcBorders>
              <w:top w:val="nil"/>
              <w:left w:val="single" w:color="auto" w:sz="4" w:space="0"/>
              <w:bottom w:val="single" w:color="auto" w:sz="4" w:space="0"/>
              <w:right w:val="nil"/>
            </w:tcBorders>
            <w:shd w:val="clear" w:color="auto" w:fill="auto"/>
            <w:vAlign w:val="center"/>
          </w:tcPr>
          <w:p>
            <w:pPr>
              <w:widowControl/>
              <w:spacing w:line="600" w:lineRule="exact"/>
              <w:jc w:val="center"/>
              <w:rPr>
                <w:rFonts w:hint="eastAsia" w:ascii="方正仿宋_GBK" w:hAnsi="仿宋" w:eastAsia="方正仿宋_GBK" w:cs="Times New Roman"/>
                <w:szCs w:val="21"/>
              </w:rPr>
            </w:pPr>
            <w:r>
              <w:rPr>
                <w:rFonts w:hint="eastAsia" w:ascii="方正仿宋_GBK" w:hAnsi="仿宋" w:eastAsia="方正仿宋_GBK" w:cs="Times New Roman"/>
                <w:szCs w:val="21"/>
              </w:rPr>
              <w:t>完成环境投诉处理</w:t>
            </w:r>
          </w:p>
        </w:tc>
        <w:tc>
          <w:tcPr>
            <w:tcW w:w="1519"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方正仿宋_GBK" w:hAnsi="仿宋" w:eastAsia="方正仿宋_GBK" w:cs="Times New Roman"/>
                <w:szCs w:val="21"/>
                <w:lang w:val="en-US" w:eastAsia="zh-CN"/>
              </w:rPr>
            </w:pPr>
            <w:r>
              <w:rPr>
                <w:rFonts w:hint="eastAsia" w:ascii="方正仿宋_GBK" w:hAnsi="仿宋" w:eastAsia="方正仿宋_GBK" w:cs="Times New Roman"/>
                <w:szCs w:val="21"/>
                <w:lang w:val="en-US" w:eastAsia="zh-CN"/>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方正仿宋_GBK" w:hAnsi="仿宋" w:eastAsia="方正仿宋_GBK" w:cs="Times New Roman"/>
                <w:szCs w:val="21"/>
                <w:lang w:val="en-US" w:eastAsia="zh-CN"/>
              </w:rPr>
            </w:pPr>
            <w:r>
              <w:rPr>
                <w:rFonts w:hint="eastAsia" w:ascii="方正仿宋_GBK" w:hAnsi="仿宋" w:eastAsia="方正仿宋_GBK" w:cs="Times New Roman"/>
                <w:szCs w:val="21"/>
                <w:lang w:val="en-US" w:eastAsia="zh-CN"/>
              </w:rPr>
              <w:t>10</w:t>
            </w:r>
          </w:p>
        </w:tc>
        <w:tc>
          <w:tcPr>
            <w:tcW w:w="1540" w:type="dxa"/>
            <w:vAlign w:val="center"/>
          </w:tcPr>
          <w:p>
            <w:pPr>
              <w:widowControl/>
              <w:spacing w:line="600" w:lineRule="exact"/>
              <w:jc w:val="center"/>
              <w:rPr>
                <w:rFonts w:ascii="方正仿宋_GBK" w:hAnsi="仿宋" w:eastAsia="方正仿宋_GBK"/>
                <w:szCs w:val="21"/>
              </w:rPr>
            </w:pPr>
            <w:r>
              <w:rPr>
                <w:rFonts w:hint="eastAsia" w:ascii="方正仿宋_GBK" w:hAnsi="仿宋" w:eastAsia="方正仿宋_GBK"/>
                <w:szCs w:val="21"/>
              </w:rPr>
              <w:t>100%</w:t>
            </w:r>
          </w:p>
        </w:tc>
      </w:tr>
    </w:tbl>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预算执行率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通过在项目计划执行前，确定计划执行项目的数量、时效、金额等方面，并在项目执行完后，计算预算执行率，单位整体预算执行率达到预期。根据评价标准，该指标得100%权重分。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地表水环境质量达到考核要求</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制定了区域内提升污水收集率、处理率和达标率的专项行动方案，严格执行排水许可、排污许可等管理制度，督促指导污水处理厂全面提升生活污水处理能力，使地表水环境质量达到考核要求。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项目绩效管理率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对区域内项目进行绩效管理，高标准地推进生态环境项目的实施，推动全区经济高质量绿色发展，持续抓重点、补短板、强弱项，全年生态环境保护各项目标任务陆续完成。根据评价标准，该指标得100%权重分。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预决算公开率（涉秘信息除外）</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通过将除涉密信息外的预决算进行公开处理，自觉接受社会监督，单位预决算公开率达到1</w:t>
      </w:r>
      <w:r>
        <w:rPr>
          <w:rFonts w:ascii="方正仿宋_GBK" w:hAnsi="方正仿宋_GBK" w:eastAsia="方正仿宋_GBK" w:cs="方正仿宋_GBK"/>
          <w:kern w:val="0"/>
          <w:sz w:val="32"/>
          <w:szCs w:val="32"/>
          <w:shd w:val="clear" w:color="auto" w:fill="FFFFFF"/>
        </w:rPr>
        <w:t>00%</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污染地块安全利用率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通过对区域内污染地块安全的利用，保护环境的同时，对污染地块资源进行</w:t>
      </w:r>
      <w:r>
        <w:rPr>
          <w:rFonts w:hint="eastAsia" w:ascii="方正仿宋_GBK" w:hAnsi="方正仿宋_GBK" w:eastAsia="方正仿宋_GBK" w:cs="方正仿宋_GBK"/>
          <w:kern w:val="0"/>
          <w:sz w:val="32"/>
          <w:szCs w:val="32"/>
          <w:shd w:val="clear" w:color="auto" w:fill="FFFFFF"/>
          <w:lang w:eastAsia="zh-CN"/>
        </w:rPr>
        <w:t>合理地利用</w:t>
      </w:r>
      <w:r>
        <w:rPr>
          <w:rFonts w:hint="eastAsia" w:ascii="方正仿宋_GBK" w:hAnsi="方正仿宋_GBK" w:eastAsia="方正仿宋_GBK" w:cs="方正仿宋_GBK"/>
          <w:kern w:val="0"/>
          <w:sz w:val="32"/>
          <w:szCs w:val="32"/>
          <w:shd w:val="clear" w:color="auto" w:fill="FFFFFF"/>
        </w:rPr>
        <w:t>，不浪费资源，减少对环境的污染。根据评价标准，该指标得100%权重分。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全年空气质量优良天数分析</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通过对全年每一天的空气质量评估，对每一天做出“优”、“良”、“差”等评级，璧山区的全年优良天数预期值是300天，根据评级结果的统计，优良天数达到</w:t>
      </w:r>
      <w:r>
        <w:rPr>
          <w:rFonts w:hint="eastAsia" w:ascii="方正仿宋_GBK" w:hAnsi="方正仿宋_GBK" w:eastAsia="方正仿宋_GBK" w:cs="方正仿宋_GBK"/>
          <w:kern w:val="0"/>
          <w:sz w:val="32"/>
          <w:szCs w:val="32"/>
          <w:shd w:val="clear" w:color="auto" w:fill="FFFFFF"/>
          <w:lang w:eastAsia="zh-CN"/>
        </w:rPr>
        <w:t>考核目标值</w:t>
      </w:r>
      <w:r>
        <w:rPr>
          <w:rFonts w:hint="eastAsia" w:ascii="方正仿宋_GBK" w:hAnsi="方正仿宋_GBK" w:eastAsia="方正仿宋_GBK" w:cs="方正仿宋_GBK"/>
          <w:kern w:val="0"/>
          <w:sz w:val="32"/>
          <w:szCs w:val="32"/>
          <w:shd w:val="clear" w:color="auto" w:fill="FFFFFF"/>
        </w:rPr>
        <w:t>。根据评价标准，该指标得</w:t>
      </w:r>
      <w:r>
        <w:rPr>
          <w:rFonts w:hint="eastAsia" w:ascii="方正仿宋_GBK" w:hAnsi="方正仿宋_GBK" w:eastAsia="方正仿宋_GBK" w:cs="方正仿宋_GBK"/>
          <w:kern w:val="0"/>
          <w:sz w:val="32"/>
          <w:szCs w:val="32"/>
          <w:shd w:val="clear" w:color="auto" w:fill="FFFFFF"/>
          <w:lang w:val="en-US" w:eastAsia="zh-CN"/>
        </w:rPr>
        <w:t>95</w:t>
      </w:r>
      <w:r>
        <w:rPr>
          <w:rFonts w:hint="eastAsia" w:ascii="方正仿宋_GBK" w:hAnsi="方正仿宋_GBK" w:eastAsia="方正仿宋_GBK" w:cs="方正仿宋_GBK"/>
          <w:kern w:val="0"/>
          <w:sz w:val="32"/>
          <w:szCs w:val="32"/>
          <w:shd w:val="clear" w:color="auto" w:fill="FFFFFF"/>
        </w:rPr>
        <w:t>%权重分。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生态文明建设知晓率和满意率</w:t>
      </w:r>
      <w:r>
        <w:rPr>
          <w:rFonts w:hint="eastAsia" w:ascii="方正仿宋_GBK" w:hAnsi="方正仿宋_GBK" w:eastAsia="方正仿宋_GBK" w:cs="方正仿宋_GBK"/>
          <w:kern w:val="0"/>
          <w:sz w:val="32"/>
          <w:szCs w:val="32"/>
          <w:shd w:val="clear" w:color="auto" w:fill="FFFFFF"/>
        </w:rPr>
        <w:t>分析</w:t>
      </w:r>
    </w:p>
    <w:p>
      <w:pPr>
        <w:adjustRightInd w:val="0"/>
        <w:snapToGrid w:val="0"/>
        <w:spacing w:line="600" w:lineRule="exact"/>
        <w:ind w:firstLine="640" w:firstLineChars="200"/>
        <w:rPr>
          <w:rFonts w:eastAsia="方正仿宋_GBK"/>
          <w:sz w:val="32"/>
          <w:szCs w:val="32"/>
        </w:rPr>
      </w:pPr>
      <w:r>
        <w:rPr>
          <w:rFonts w:hint="eastAsia" w:ascii="方正仿宋_GBK" w:hAnsi="方正仿宋_GBK" w:eastAsia="方正仿宋_GBK" w:cs="方正仿宋_GBK"/>
          <w:kern w:val="0"/>
          <w:sz w:val="32"/>
          <w:szCs w:val="32"/>
          <w:shd w:val="clear" w:color="auto" w:fill="FFFFFF"/>
        </w:rPr>
        <w:t>通过对区域内的生态文明建设知晓率和满意度的调查，</w:t>
      </w:r>
      <w:r>
        <w:rPr>
          <w:rFonts w:hint="eastAsia" w:ascii="方正仿宋_GBK" w:hAnsi="方正仿宋_GBK" w:eastAsia="方正仿宋_GBK" w:cs="方正仿宋_GBK"/>
          <w:kern w:val="0"/>
          <w:sz w:val="32"/>
          <w:szCs w:val="32"/>
          <w:shd w:val="clear" w:color="auto" w:fill="FFFFFF"/>
          <w:lang w:eastAsia="zh-CN"/>
        </w:rPr>
        <w:t>合理地采取</w:t>
      </w:r>
      <w:r>
        <w:rPr>
          <w:rFonts w:hint="eastAsia" w:ascii="方正仿宋_GBK" w:hAnsi="方正仿宋_GBK" w:eastAsia="方正仿宋_GBK" w:cs="方正仿宋_GBK"/>
          <w:kern w:val="0"/>
          <w:sz w:val="32"/>
          <w:szCs w:val="32"/>
          <w:shd w:val="clear" w:color="auto" w:fill="FFFFFF"/>
        </w:rPr>
        <w:t>了多位的生态文明宣传，积极改善生态环境，提升群众居住环境质量，提高群众居住幸福度。根据评价标准，该指标得100%权重分。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本单位职工满意度</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通过对本单位内的全体职工的满意度调查，发现问题、解决问题，接受职工合理建议，促进职工工作积极性。根据评价标准，该指标得100%权重分。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取得监测数据</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检测数据是对环境质量进行评估的一大重要因素，预期取得的检测数据为1</w:t>
      </w:r>
      <w:r>
        <w:rPr>
          <w:rFonts w:ascii="方正仿宋_GBK" w:hAnsi="方正仿宋_GBK" w:eastAsia="方正仿宋_GBK" w:cs="方正仿宋_GBK"/>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0000个，实际取得检测数据</w:t>
      </w:r>
      <w:r>
        <w:rPr>
          <w:rFonts w:hint="eastAsia" w:ascii="方正仿宋_GBK" w:hAnsi="方正仿宋_GBK" w:eastAsia="方正仿宋_GBK" w:cs="方正仿宋_GBK"/>
          <w:kern w:val="0"/>
          <w:sz w:val="32"/>
          <w:szCs w:val="32"/>
          <w:shd w:val="clear" w:color="auto" w:fill="FFFFFF"/>
          <w:lang w:val="en-US" w:eastAsia="zh-CN"/>
        </w:rPr>
        <w:t>15</w:t>
      </w:r>
      <w:r>
        <w:rPr>
          <w:rFonts w:hint="eastAsia" w:ascii="方正仿宋_GBK" w:hAnsi="方正仿宋_GBK" w:eastAsia="方正仿宋_GBK" w:cs="方正仿宋_GBK"/>
          <w:kern w:val="0"/>
          <w:sz w:val="32"/>
          <w:szCs w:val="32"/>
          <w:shd w:val="clear" w:color="auto" w:fill="FFFFFF"/>
        </w:rPr>
        <w:t>0000个，达到预期值，据评价标准，该指标得100%权重分。</w:t>
      </w:r>
    </w:p>
    <w:p>
      <w:pPr>
        <w:widowControl/>
        <w:numPr>
          <w:ilvl w:val="0"/>
          <w:numId w:val="1"/>
        </w:numPr>
        <w:shd w:val="clear" w:color="auto" w:fill="FFFFFF"/>
        <w:adjustRightInd w:val="0"/>
        <w:snapToGrid w:val="0"/>
        <w:spacing w:line="60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完成环境投诉处理</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600" w:lineRule="exact"/>
        <w:ind w:firstLine="640" w:firstLineChars="200"/>
      </w:pPr>
      <w:r>
        <w:rPr>
          <w:rFonts w:hint="eastAsia" w:ascii="方正仿宋_GBK" w:hAnsi="方正仿宋_GBK" w:eastAsia="方正仿宋_GBK" w:cs="方正仿宋_GBK"/>
          <w:kern w:val="0"/>
          <w:sz w:val="32"/>
          <w:szCs w:val="32"/>
          <w:shd w:val="clear" w:color="auto" w:fill="FFFFFF"/>
        </w:rPr>
        <w:t>通过对区域内群众对环境问题投诉情况进行统计、分析并解决问题，改善生态环境，提升居民满意度。根据评价标准，该指标得</w:t>
      </w:r>
      <w:r>
        <w:rPr>
          <w:rFonts w:ascii="方正仿宋_GBK" w:hAnsi="方正仿宋_GBK" w:eastAsia="方正仿宋_GBK" w:cs="方正仿宋_GBK"/>
          <w:kern w:val="0"/>
          <w:sz w:val="32"/>
          <w:szCs w:val="32"/>
          <w:shd w:val="clear" w:color="auto" w:fill="FFFFFF"/>
        </w:rPr>
        <w:t>100%</w:t>
      </w:r>
      <w:r>
        <w:rPr>
          <w:rFonts w:hint="eastAsia" w:ascii="方正仿宋_GBK" w:hAnsi="方正仿宋_GBK" w:eastAsia="方正仿宋_GBK" w:cs="方正仿宋_GBK"/>
          <w:kern w:val="0"/>
          <w:sz w:val="32"/>
          <w:szCs w:val="32"/>
          <w:shd w:val="clear" w:color="auto" w:fill="FFFFFF"/>
        </w:rPr>
        <w:t>权重分。</w:t>
      </w:r>
    </w:p>
    <w:p>
      <w:pPr>
        <w:pStyle w:val="3"/>
        <w:spacing w:line="600" w:lineRule="exact"/>
        <w:ind w:firstLine="640"/>
      </w:pPr>
      <w:bookmarkStart w:id="8" w:name="_Toc23904"/>
      <w:r>
        <w:rPr>
          <w:rFonts w:hint="eastAsia"/>
        </w:rPr>
        <w:t>四、</w:t>
      </w:r>
      <w:r>
        <w:t>主要经验及做法</w:t>
      </w:r>
      <w:bookmarkEnd w:id="8"/>
    </w:p>
    <w:p>
      <w:pPr>
        <w:widowControl/>
        <w:shd w:val="clear" w:color="auto" w:fill="FFFFFF"/>
        <w:adjustRightInd w:val="0"/>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1、制定项目绩效管理制度明确项目绩效目标编制及审批</w:t>
      </w:r>
    </w:p>
    <w:p>
      <w:pPr>
        <w:widowControl/>
        <w:shd w:val="clear" w:color="auto" w:fill="FFFFFF"/>
        <w:adjustRightInd w:val="0"/>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流程，规范绩效指标设置。</w:t>
      </w:r>
    </w:p>
    <w:p>
      <w:pPr>
        <w:widowControl/>
        <w:shd w:val="clear" w:color="auto" w:fill="FFFFFF"/>
        <w:adjustRightInd w:val="0"/>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2、强化预算绩效双监控，从项目期中已实现的产出成果</w:t>
      </w:r>
    </w:p>
    <w:p>
      <w:pPr>
        <w:widowControl/>
        <w:shd w:val="clear" w:color="auto" w:fill="FFFFFF"/>
        <w:adjustRightInd w:val="0"/>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widowControl/>
        <w:shd w:val="clear" w:color="auto" w:fill="FFFFFF"/>
        <w:adjustRightInd w:val="0"/>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坚持方向不变、力度不减，突出精准治污、科学治污、依法治污，接续扎实打好污染防治攻坚战，推动生态环境质量持续改善，生态系统质量和稳定性持续提升，生态环境治理体系更加完善，生态文明建设实现新进步；继续深入开展生态环境损害赔偿工作，进一步加大生态文明责任追究力度，做到“应赔尽赔”；强化统筹调度和宣传引导，抓好各类督察问题整改，确保重点问题序时推进，已整改问题不出现反弹；建立健全全区环境治理的领导责任体系、企业责任体系、全民行动体系、监管体系、市场体系、信用体系等。</w:t>
      </w:r>
    </w:p>
    <w:p>
      <w:pPr>
        <w:pStyle w:val="3"/>
        <w:spacing w:line="600" w:lineRule="exact"/>
        <w:ind w:firstLine="640"/>
      </w:pPr>
      <w:bookmarkStart w:id="9" w:name="_Toc13691"/>
      <w:r>
        <w:rPr>
          <w:rFonts w:hint="eastAsia"/>
        </w:rPr>
        <w:t>五、</w:t>
      </w:r>
      <w:r>
        <w:t>存在的问题和建议</w:t>
      </w:r>
      <w:bookmarkEnd w:id="9"/>
    </w:p>
    <w:p>
      <w:pPr>
        <w:pStyle w:val="4"/>
        <w:spacing w:line="600" w:lineRule="exact"/>
        <w:ind w:firstLine="640"/>
      </w:pPr>
      <w:bookmarkStart w:id="10" w:name="_Toc16715"/>
      <w:bookmarkStart w:id="11" w:name="_Toc17714"/>
      <w:r>
        <w:t>（一）</w:t>
      </w:r>
      <w:r>
        <w:rPr>
          <w:rFonts w:hint="eastAsia"/>
        </w:rPr>
        <w:t>存在的问题</w:t>
      </w:r>
      <w:bookmarkEnd w:id="10"/>
      <w:bookmarkEnd w:id="11"/>
    </w:p>
    <w:p>
      <w:pPr>
        <w:widowControl/>
        <w:autoSpaceDE w:val="0"/>
        <w:autoSpaceDN w:val="0"/>
        <w:spacing w:line="600" w:lineRule="exact"/>
        <w:ind w:firstLine="640" w:firstLineChars="200"/>
        <w:rPr>
          <w:rFonts w:hint="eastAsia" w:ascii="方正仿宋_GBK" w:hAnsi="方正仿宋_GBK" w:eastAsia="方正仿宋_GBK" w:cs="方正仿宋_GBK"/>
          <w:kern w:val="0"/>
          <w:sz w:val="32"/>
          <w:szCs w:val="32"/>
          <w:shd w:val="clear" w:color="auto" w:fill="FFFFFF"/>
        </w:rPr>
      </w:pPr>
      <w:bookmarkStart w:id="12" w:name="_Toc16456"/>
      <w:bookmarkStart w:id="13" w:name="_Toc4640"/>
      <w:r>
        <w:rPr>
          <w:rFonts w:hint="eastAsia" w:ascii="方正仿宋_GBK" w:hAnsi="方正仿宋_GBK" w:eastAsia="方正仿宋_GBK" w:cs="方正仿宋_GBK"/>
          <w:kern w:val="0"/>
          <w:sz w:val="32"/>
          <w:szCs w:val="32"/>
          <w:shd w:val="clear" w:color="auto" w:fill="FFFFFF"/>
        </w:rPr>
        <w:t>1、</w:t>
      </w:r>
      <w:bookmarkEnd w:id="12"/>
      <w:bookmarkEnd w:id="13"/>
      <w:r>
        <w:rPr>
          <w:rFonts w:hint="eastAsia" w:ascii="方正仿宋_GBK" w:hAnsi="方正仿宋_GBK" w:eastAsia="方正仿宋_GBK" w:cs="方正仿宋_GBK"/>
          <w:kern w:val="0"/>
          <w:sz w:val="32"/>
          <w:szCs w:val="32"/>
          <w:shd w:val="clear" w:color="auto" w:fill="FFFFFF"/>
        </w:rPr>
        <w:t>经济社会快速发展加剧环境承载压力。</w:t>
      </w:r>
    </w:p>
    <w:p>
      <w:pPr>
        <w:widowControl/>
        <w:autoSpaceDE w:val="0"/>
        <w:autoSpaceDN w:val="0"/>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随着新机场、重庆中医院学院等项目落地开工，加之同城化先行区建设推进，璧山迎来了千载难逢的新机遇，在百万级中心城区人口聚集过程中，璧山原本就十分有限的环境容量，将面临更加严峻的挑战。</w:t>
      </w:r>
    </w:p>
    <w:p>
      <w:pPr>
        <w:widowControl/>
        <w:autoSpaceDE w:val="0"/>
        <w:autoSpaceDN w:val="0"/>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2、生态环境质量持续改善压力较大。</w:t>
      </w:r>
    </w:p>
    <w:p>
      <w:pPr>
        <w:widowControl/>
        <w:autoSpaceDE w:val="0"/>
        <w:autoSpaceDN w:val="0"/>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大气和水环境仍然是短板；解决臭氧污染问题的针对性和科学性不足，臭氧污染防治欠缺根本性治理措施；地表水环境质量改善压力大，璧南河两河口仍有部分月份水质超标，要稳定达到Ⅲ类水质考核要求的压力依然存在。</w:t>
      </w:r>
    </w:p>
    <w:p>
      <w:pPr>
        <w:pStyle w:val="4"/>
        <w:spacing w:line="600" w:lineRule="exact"/>
        <w:ind w:firstLine="640"/>
      </w:pPr>
      <w:bookmarkStart w:id="14" w:name="_Toc10918"/>
      <w:bookmarkStart w:id="15" w:name="_Toc7591"/>
      <w:r>
        <w:t>（</w:t>
      </w:r>
      <w:r>
        <w:rPr>
          <w:rFonts w:hint="eastAsia"/>
        </w:rPr>
        <w:t>二</w:t>
      </w:r>
      <w:r>
        <w:t>）</w:t>
      </w:r>
      <w:r>
        <w:rPr>
          <w:rFonts w:hint="eastAsia"/>
        </w:rPr>
        <w:t>建议</w:t>
      </w:r>
      <w:bookmarkEnd w:id="14"/>
      <w:bookmarkEnd w:id="15"/>
    </w:p>
    <w:p>
      <w:pPr>
        <w:widowControl/>
        <w:autoSpaceDE w:val="0"/>
        <w:autoSpaceDN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1、建议增强对新机场、重庆中医院学院等项目的建设监管力度，在把握经济社会快速发展中新机遇的同时加强对生态环境的保护，合理利用环境，严格把控项目实施的合理性，完善实施方案。</w:t>
      </w:r>
    </w:p>
    <w:p>
      <w:pPr>
        <w:widowControl/>
        <w:autoSpaceDE w:val="0"/>
        <w:autoSpaceDN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rPr>
        <w:t>、建议加强对大气和水环境的保护，提高臭氧污染问题方面业务人员的专业度，有针对性和科学性的解决臭氧污染问题，提出臭氧污染防治根本性治理措施，改善地表水环境质量。</w:t>
      </w:r>
    </w:p>
    <w:sectPr>
      <w:footerReference r:id="rId4" w:type="default"/>
      <w:pgSz w:w="11906" w:h="16838"/>
      <w:pgMar w:top="1588" w:right="1474" w:bottom="1588"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7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0A37"/>
    <w:multiLevelType w:val="singleLevel"/>
    <w:tmpl w:val="806D0A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ZTVlYmUzMWJhODM3Nzg0YTY4MzMwMTNiZmVkNTgifQ=="/>
  </w:docVars>
  <w:rsids>
    <w:rsidRoot w:val="00806865"/>
    <w:rsid w:val="0003175D"/>
    <w:rsid w:val="00043A15"/>
    <w:rsid w:val="000575E2"/>
    <w:rsid w:val="00063B15"/>
    <w:rsid w:val="0009607E"/>
    <w:rsid w:val="000B5DB9"/>
    <w:rsid w:val="000C0972"/>
    <w:rsid w:val="00141AD3"/>
    <w:rsid w:val="00171AB3"/>
    <w:rsid w:val="001A3AE8"/>
    <w:rsid w:val="001C1E27"/>
    <w:rsid w:val="001C3D64"/>
    <w:rsid w:val="001C641A"/>
    <w:rsid w:val="001C6822"/>
    <w:rsid w:val="001C729C"/>
    <w:rsid w:val="001E256D"/>
    <w:rsid w:val="001E2D5B"/>
    <w:rsid w:val="001F1B2F"/>
    <w:rsid w:val="001F354F"/>
    <w:rsid w:val="00201561"/>
    <w:rsid w:val="00241F65"/>
    <w:rsid w:val="00247BB1"/>
    <w:rsid w:val="002571F7"/>
    <w:rsid w:val="002641A6"/>
    <w:rsid w:val="0027558F"/>
    <w:rsid w:val="00281C50"/>
    <w:rsid w:val="002834C5"/>
    <w:rsid w:val="002866DB"/>
    <w:rsid w:val="00293914"/>
    <w:rsid w:val="002C141E"/>
    <w:rsid w:val="002D7C0A"/>
    <w:rsid w:val="002F5AB7"/>
    <w:rsid w:val="002F6627"/>
    <w:rsid w:val="00304656"/>
    <w:rsid w:val="003141D0"/>
    <w:rsid w:val="00330AE8"/>
    <w:rsid w:val="00333D24"/>
    <w:rsid w:val="003532F1"/>
    <w:rsid w:val="00357647"/>
    <w:rsid w:val="00365C0E"/>
    <w:rsid w:val="00381982"/>
    <w:rsid w:val="00381F5B"/>
    <w:rsid w:val="00384864"/>
    <w:rsid w:val="003A1466"/>
    <w:rsid w:val="003B01B9"/>
    <w:rsid w:val="003B07A6"/>
    <w:rsid w:val="003E4915"/>
    <w:rsid w:val="003E75C4"/>
    <w:rsid w:val="003F4939"/>
    <w:rsid w:val="00401B11"/>
    <w:rsid w:val="00413662"/>
    <w:rsid w:val="00422429"/>
    <w:rsid w:val="00423680"/>
    <w:rsid w:val="0043034C"/>
    <w:rsid w:val="00443E03"/>
    <w:rsid w:val="004466EB"/>
    <w:rsid w:val="00467010"/>
    <w:rsid w:val="00487348"/>
    <w:rsid w:val="004878FA"/>
    <w:rsid w:val="00497B55"/>
    <w:rsid w:val="004A5F86"/>
    <w:rsid w:val="004C051C"/>
    <w:rsid w:val="004D6FEF"/>
    <w:rsid w:val="004F189B"/>
    <w:rsid w:val="004F3E6D"/>
    <w:rsid w:val="0050524C"/>
    <w:rsid w:val="00516F77"/>
    <w:rsid w:val="00543E25"/>
    <w:rsid w:val="00547BAD"/>
    <w:rsid w:val="00550210"/>
    <w:rsid w:val="005516E1"/>
    <w:rsid w:val="00563118"/>
    <w:rsid w:val="00584F77"/>
    <w:rsid w:val="00596273"/>
    <w:rsid w:val="005A221A"/>
    <w:rsid w:val="005A5419"/>
    <w:rsid w:val="005B5ED1"/>
    <w:rsid w:val="005D67EB"/>
    <w:rsid w:val="005E1A80"/>
    <w:rsid w:val="00606BA5"/>
    <w:rsid w:val="00616149"/>
    <w:rsid w:val="00634B36"/>
    <w:rsid w:val="006354B2"/>
    <w:rsid w:val="006417E5"/>
    <w:rsid w:val="0064309B"/>
    <w:rsid w:val="00671481"/>
    <w:rsid w:val="00671BB5"/>
    <w:rsid w:val="006772C6"/>
    <w:rsid w:val="006B538E"/>
    <w:rsid w:val="006C7720"/>
    <w:rsid w:val="006C793C"/>
    <w:rsid w:val="006D100A"/>
    <w:rsid w:val="006E6E29"/>
    <w:rsid w:val="00704B56"/>
    <w:rsid w:val="00725E01"/>
    <w:rsid w:val="00732DA5"/>
    <w:rsid w:val="00763782"/>
    <w:rsid w:val="0077005B"/>
    <w:rsid w:val="00770339"/>
    <w:rsid w:val="0077453E"/>
    <w:rsid w:val="00774A9C"/>
    <w:rsid w:val="00797440"/>
    <w:rsid w:val="007B27A0"/>
    <w:rsid w:val="007B3A76"/>
    <w:rsid w:val="007C2693"/>
    <w:rsid w:val="007D04AB"/>
    <w:rsid w:val="007D4F8B"/>
    <w:rsid w:val="007D7B0E"/>
    <w:rsid w:val="007E54DF"/>
    <w:rsid w:val="00806211"/>
    <w:rsid w:val="00806865"/>
    <w:rsid w:val="0081273A"/>
    <w:rsid w:val="0081605D"/>
    <w:rsid w:val="0082343D"/>
    <w:rsid w:val="00825B2C"/>
    <w:rsid w:val="00831BF0"/>
    <w:rsid w:val="00837D1D"/>
    <w:rsid w:val="00844EE6"/>
    <w:rsid w:val="00871B89"/>
    <w:rsid w:val="00880010"/>
    <w:rsid w:val="008A7625"/>
    <w:rsid w:val="008D02AF"/>
    <w:rsid w:val="008D1030"/>
    <w:rsid w:val="008D25A0"/>
    <w:rsid w:val="009036DD"/>
    <w:rsid w:val="009108DF"/>
    <w:rsid w:val="009157BA"/>
    <w:rsid w:val="0095060C"/>
    <w:rsid w:val="0096185E"/>
    <w:rsid w:val="0096284D"/>
    <w:rsid w:val="00974291"/>
    <w:rsid w:val="009A0411"/>
    <w:rsid w:val="009A23DE"/>
    <w:rsid w:val="009C3277"/>
    <w:rsid w:val="009E5BB5"/>
    <w:rsid w:val="00A00DBD"/>
    <w:rsid w:val="00A1162E"/>
    <w:rsid w:val="00A1196F"/>
    <w:rsid w:val="00A22825"/>
    <w:rsid w:val="00A27343"/>
    <w:rsid w:val="00A3725D"/>
    <w:rsid w:val="00A45BE4"/>
    <w:rsid w:val="00A62C1C"/>
    <w:rsid w:val="00AC33E4"/>
    <w:rsid w:val="00AD0DAD"/>
    <w:rsid w:val="00AE43F0"/>
    <w:rsid w:val="00AF31E0"/>
    <w:rsid w:val="00B07031"/>
    <w:rsid w:val="00B17BC3"/>
    <w:rsid w:val="00B26EA9"/>
    <w:rsid w:val="00B3171B"/>
    <w:rsid w:val="00B34D05"/>
    <w:rsid w:val="00B4057D"/>
    <w:rsid w:val="00B73B38"/>
    <w:rsid w:val="00B77953"/>
    <w:rsid w:val="00B85927"/>
    <w:rsid w:val="00BC3295"/>
    <w:rsid w:val="00BD1848"/>
    <w:rsid w:val="00BD287A"/>
    <w:rsid w:val="00BE02F2"/>
    <w:rsid w:val="00BE30DB"/>
    <w:rsid w:val="00BF6FF2"/>
    <w:rsid w:val="00C214AE"/>
    <w:rsid w:val="00C26004"/>
    <w:rsid w:val="00C31CE4"/>
    <w:rsid w:val="00C77086"/>
    <w:rsid w:val="00C858DD"/>
    <w:rsid w:val="00C91126"/>
    <w:rsid w:val="00C9428F"/>
    <w:rsid w:val="00CD33CE"/>
    <w:rsid w:val="00CD5D19"/>
    <w:rsid w:val="00CE5918"/>
    <w:rsid w:val="00CF26C3"/>
    <w:rsid w:val="00CF3425"/>
    <w:rsid w:val="00D0716B"/>
    <w:rsid w:val="00D60F0F"/>
    <w:rsid w:val="00D610B4"/>
    <w:rsid w:val="00D82B10"/>
    <w:rsid w:val="00D86135"/>
    <w:rsid w:val="00D942CD"/>
    <w:rsid w:val="00DD3E05"/>
    <w:rsid w:val="00E05A32"/>
    <w:rsid w:val="00E225F8"/>
    <w:rsid w:val="00E25A0F"/>
    <w:rsid w:val="00E3078E"/>
    <w:rsid w:val="00E42BE7"/>
    <w:rsid w:val="00E55405"/>
    <w:rsid w:val="00E652A2"/>
    <w:rsid w:val="00E72086"/>
    <w:rsid w:val="00E739D3"/>
    <w:rsid w:val="00E91393"/>
    <w:rsid w:val="00EA5999"/>
    <w:rsid w:val="00EB0A75"/>
    <w:rsid w:val="00EB285D"/>
    <w:rsid w:val="00EC0BDF"/>
    <w:rsid w:val="00EC1262"/>
    <w:rsid w:val="00ED68FC"/>
    <w:rsid w:val="00EE559B"/>
    <w:rsid w:val="00EF2A45"/>
    <w:rsid w:val="00EF6D8D"/>
    <w:rsid w:val="00F0366D"/>
    <w:rsid w:val="00F66CE2"/>
    <w:rsid w:val="00F70C2E"/>
    <w:rsid w:val="00F9262E"/>
    <w:rsid w:val="00F92E40"/>
    <w:rsid w:val="00F93438"/>
    <w:rsid w:val="00FA41F0"/>
    <w:rsid w:val="00FA7406"/>
    <w:rsid w:val="00FD0041"/>
    <w:rsid w:val="00FE19E9"/>
    <w:rsid w:val="00FE38F2"/>
    <w:rsid w:val="03863E70"/>
    <w:rsid w:val="06EC66E0"/>
    <w:rsid w:val="081D7AE0"/>
    <w:rsid w:val="089332B7"/>
    <w:rsid w:val="0B924F3C"/>
    <w:rsid w:val="0C1C7A68"/>
    <w:rsid w:val="11E92A7D"/>
    <w:rsid w:val="13C14191"/>
    <w:rsid w:val="16683FED"/>
    <w:rsid w:val="17B40B54"/>
    <w:rsid w:val="17C73B8D"/>
    <w:rsid w:val="19033B41"/>
    <w:rsid w:val="190E2B30"/>
    <w:rsid w:val="1B9C545C"/>
    <w:rsid w:val="1C073948"/>
    <w:rsid w:val="1D044DC0"/>
    <w:rsid w:val="1D953CF2"/>
    <w:rsid w:val="1EBB288A"/>
    <w:rsid w:val="1F897A12"/>
    <w:rsid w:val="22644610"/>
    <w:rsid w:val="22EA36DF"/>
    <w:rsid w:val="26A67592"/>
    <w:rsid w:val="27EB5D07"/>
    <w:rsid w:val="281C69CE"/>
    <w:rsid w:val="284D3120"/>
    <w:rsid w:val="2FDD1B7F"/>
    <w:rsid w:val="31C37EBA"/>
    <w:rsid w:val="324A3FB8"/>
    <w:rsid w:val="324F79A0"/>
    <w:rsid w:val="32891103"/>
    <w:rsid w:val="32DB1E15"/>
    <w:rsid w:val="34DB15D1"/>
    <w:rsid w:val="35531555"/>
    <w:rsid w:val="35DF4A23"/>
    <w:rsid w:val="3772660A"/>
    <w:rsid w:val="37CE1367"/>
    <w:rsid w:val="38606463"/>
    <w:rsid w:val="39D62CD1"/>
    <w:rsid w:val="3C0269D0"/>
    <w:rsid w:val="3CB669F0"/>
    <w:rsid w:val="3CC64D02"/>
    <w:rsid w:val="3D764477"/>
    <w:rsid w:val="3E2671E9"/>
    <w:rsid w:val="46EA7EDB"/>
    <w:rsid w:val="487D6BBD"/>
    <w:rsid w:val="48F84495"/>
    <w:rsid w:val="4A72164F"/>
    <w:rsid w:val="4B416C8E"/>
    <w:rsid w:val="4BC863A1"/>
    <w:rsid w:val="4C717508"/>
    <w:rsid w:val="4C7D6B0F"/>
    <w:rsid w:val="4D8D0E92"/>
    <w:rsid w:val="4DB210B7"/>
    <w:rsid w:val="4E465EC0"/>
    <w:rsid w:val="50B60EBE"/>
    <w:rsid w:val="51196B7F"/>
    <w:rsid w:val="511B3686"/>
    <w:rsid w:val="51DB1DFE"/>
    <w:rsid w:val="528154FB"/>
    <w:rsid w:val="56120C9B"/>
    <w:rsid w:val="56E20D30"/>
    <w:rsid w:val="57EC1669"/>
    <w:rsid w:val="59387870"/>
    <w:rsid w:val="5A7D0C9E"/>
    <w:rsid w:val="61DA0784"/>
    <w:rsid w:val="62BB0009"/>
    <w:rsid w:val="63087AA2"/>
    <w:rsid w:val="646F6B02"/>
    <w:rsid w:val="64B625E5"/>
    <w:rsid w:val="65C5461A"/>
    <w:rsid w:val="65FC7E82"/>
    <w:rsid w:val="6A150CDB"/>
    <w:rsid w:val="6AA30543"/>
    <w:rsid w:val="6E514E37"/>
    <w:rsid w:val="6E8421A4"/>
    <w:rsid w:val="6F9C0BD2"/>
    <w:rsid w:val="733A72D5"/>
    <w:rsid w:val="74CE7AAB"/>
    <w:rsid w:val="74F311C2"/>
    <w:rsid w:val="76F65C09"/>
    <w:rsid w:val="77063A92"/>
    <w:rsid w:val="7A341A8C"/>
    <w:rsid w:val="7AA250E0"/>
    <w:rsid w:val="7AB34C3E"/>
    <w:rsid w:val="7BE2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spacing w:line="596" w:lineRule="exact"/>
      <w:ind w:firstLine="200" w:firstLineChars="200"/>
      <w:outlineLvl w:val="0"/>
    </w:pPr>
    <w:rPr>
      <w:rFonts w:eastAsia="方正黑体_GBK"/>
      <w:sz w:val="32"/>
      <w:szCs w:val="32"/>
    </w:rPr>
  </w:style>
  <w:style w:type="paragraph" w:styleId="4">
    <w:name w:val="heading 2"/>
    <w:basedOn w:val="1"/>
    <w:next w:val="1"/>
    <w:link w:val="23"/>
    <w:unhideWhenUsed/>
    <w:qFormat/>
    <w:uiPriority w:val="9"/>
    <w:pPr>
      <w:keepNext/>
      <w:keepLines/>
      <w:spacing w:line="596" w:lineRule="exact"/>
      <w:ind w:firstLine="200" w:firstLineChars="200"/>
      <w:outlineLvl w:val="1"/>
    </w:pPr>
    <w:rPr>
      <w:rFonts w:eastAsia="方正仿宋_GBK" w:asciiTheme="majorHAnsi" w:hAnsiTheme="majorHAnsi" w:cstheme="majorBidi"/>
      <w:bCs/>
      <w:sz w:val="32"/>
      <w:szCs w:val="32"/>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0"/>
    <w:rPr>
      <w:rFonts w:eastAsia="仿宋_GB2312"/>
      <w:sz w:val="32"/>
      <w:szCs w:val="33"/>
    </w:r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Normal (Web)"/>
    <w:basedOn w:val="1"/>
    <w:qFormat/>
    <w:uiPriority w:val="0"/>
    <w:pPr>
      <w:spacing w:beforeAutospacing="1" w:afterAutospacing="1"/>
      <w:jc w:val="left"/>
    </w:pPr>
    <w:rPr>
      <w:kern w:val="0"/>
      <w:sz w:val="24"/>
    </w:rPr>
  </w:style>
  <w:style w:type="character" w:styleId="14">
    <w:name w:val="Hyperlink"/>
    <w:basedOn w:val="13"/>
    <w:unhideWhenUsed/>
    <w:qFormat/>
    <w:uiPriority w:val="99"/>
    <w:rPr>
      <w:color w:val="0000FF"/>
      <w:u w:val="single"/>
    </w:rPr>
  </w:style>
  <w:style w:type="paragraph" w:styleId="15">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正文文本 字符"/>
    <w:basedOn w:val="13"/>
    <w:link w:val="5"/>
    <w:qFormat/>
    <w:uiPriority w:val="0"/>
    <w:rPr>
      <w:rFonts w:ascii="Times New Roman" w:hAnsi="Times New Roman" w:eastAsia="仿宋_GB2312" w:cs="Times New Roman"/>
      <w:kern w:val="2"/>
      <w:sz w:val="32"/>
      <w:szCs w:val="33"/>
    </w:rPr>
  </w:style>
  <w:style w:type="character" w:customStyle="1" w:styleId="21">
    <w:name w:val="标题 1 字符"/>
    <w:basedOn w:val="13"/>
    <w:link w:val="3"/>
    <w:qFormat/>
    <w:uiPriority w:val="9"/>
    <w:rPr>
      <w:rFonts w:ascii="Times New Roman" w:hAnsi="Times New Roman" w:eastAsia="方正黑体_GBK" w:cs="Times New Roman"/>
      <w:kern w:val="2"/>
      <w:sz w:val="32"/>
      <w:szCs w:val="32"/>
    </w:rPr>
  </w:style>
  <w:style w:type="paragraph" w:customStyle="1" w:styleId="22">
    <w:name w:val="TOC Heading"/>
    <w:basedOn w:val="3"/>
    <w:next w:val="1"/>
    <w:unhideWhenUsed/>
    <w:qFormat/>
    <w:uiPriority w:val="39"/>
    <w:pPr>
      <w:widowControl/>
      <w:spacing w:before="240" w:line="259" w:lineRule="auto"/>
      <w:jc w:val="left"/>
      <w:outlineLvl w:val="9"/>
    </w:pPr>
    <w:rPr>
      <w:rFonts w:asciiTheme="majorHAnsi" w:hAnsiTheme="majorHAnsi" w:eastAsiaTheme="majorEastAsia" w:cstheme="majorBidi"/>
      <w:b/>
      <w:bCs/>
      <w:color w:val="376092" w:themeColor="accent1" w:themeShade="BF"/>
      <w:kern w:val="0"/>
    </w:rPr>
  </w:style>
  <w:style w:type="character" w:customStyle="1" w:styleId="23">
    <w:name w:val="标题 2 字符"/>
    <w:basedOn w:val="13"/>
    <w:link w:val="4"/>
    <w:qFormat/>
    <w:uiPriority w:val="9"/>
    <w:rPr>
      <w:rFonts w:eastAsia="方正仿宋_GBK"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A0C8D-EBEF-499D-9A4C-ABC21FE83CB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6479</Words>
  <Characters>6739</Characters>
  <Lines>55</Lines>
  <Paragraphs>15</Paragraphs>
  <TotalTime>4</TotalTime>
  <ScaleCrop>false</ScaleCrop>
  <LinksUpToDate>false</LinksUpToDate>
  <CharactersWithSpaces>6756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2022-03-23T00:58:00Z</dcterms:created>
  <dc:creator>Administrator</dc:creator>
  <cp:lastModifiedBy>Administrator</cp:lastModifiedBy>
  <cp:lastPrinted>2022-10-14T02:43:44Z</cp:lastPrinted>
  <dcterms:modified xsi:type="dcterms:W3CDTF">2022-10-14T03:03:14Z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B1F7E4DD39334781A08366B91305DFFE</vt:lpwstr>
  </property>
</Properties>
</file>