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FC89E" w14:textId="77777777" w:rsidR="001640AE" w:rsidRPr="00E54A4D" w:rsidRDefault="001640AE" w:rsidP="00613B68">
      <w:pPr>
        <w:spacing w:line="560" w:lineRule="exact"/>
      </w:pPr>
    </w:p>
    <w:p w14:paraId="56800D25" w14:textId="73ADDB28" w:rsidR="001640AE" w:rsidRPr="00613B68" w:rsidRDefault="001640AE" w:rsidP="00D57685">
      <w:pPr>
        <w:spacing w:line="560" w:lineRule="exact"/>
        <w:jc w:val="center"/>
        <w:rPr>
          <w:rFonts w:ascii="方正小标宋_GBK" w:eastAsia="方正小标宋_GBK" w:hAnsi="黑体" w:cs="方正小标宋_GBK"/>
          <w:bCs/>
          <w:sz w:val="44"/>
          <w:szCs w:val="44"/>
        </w:rPr>
      </w:pPr>
      <w:r w:rsidRPr="00613B68">
        <w:rPr>
          <w:rFonts w:ascii="方正小标宋_GBK" w:eastAsia="方正小标宋_GBK" w:hAnsi="黑体" w:cs="方正小标宋_GBK" w:hint="eastAsia"/>
          <w:bCs/>
          <w:sz w:val="44"/>
          <w:szCs w:val="44"/>
        </w:rPr>
        <w:t>重庆市</w:t>
      </w:r>
      <w:proofErr w:type="gramStart"/>
      <w:r w:rsidRPr="00613B68">
        <w:rPr>
          <w:rFonts w:ascii="方正小标宋_GBK" w:eastAsia="方正小标宋_GBK" w:hAnsi="黑体" w:cs="方正小标宋_GBK" w:hint="eastAsia"/>
          <w:bCs/>
          <w:sz w:val="44"/>
          <w:szCs w:val="44"/>
        </w:rPr>
        <w:t>璧</w:t>
      </w:r>
      <w:proofErr w:type="gramEnd"/>
      <w:r w:rsidRPr="00613B68">
        <w:rPr>
          <w:rFonts w:ascii="方正小标宋_GBK" w:eastAsia="方正小标宋_GBK" w:hAnsi="黑体" w:cs="方正小标宋_GBK" w:hint="eastAsia"/>
          <w:bCs/>
          <w:sz w:val="44"/>
          <w:szCs w:val="44"/>
        </w:rPr>
        <w:t>山区生态环境局</w:t>
      </w:r>
    </w:p>
    <w:p w14:paraId="098523AE" w14:textId="6880141D" w:rsidR="001640AE" w:rsidRPr="00613B68" w:rsidRDefault="00E54A4D" w:rsidP="00D57685">
      <w:pPr>
        <w:spacing w:line="560" w:lineRule="exact"/>
        <w:jc w:val="center"/>
        <w:rPr>
          <w:rFonts w:ascii="方正小标宋_GBK" w:eastAsia="方正小标宋_GBK" w:hAnsi="黑体" w:cs="方正小标宋_GBK"/>
          <w:bCs/>
          <w:sz w:val="44"/>
          <w:szCs w:val="44"/>
        </w:rPr>
      </w:pPr>
      <w:r w:rsidRPr="00613B68">
        <w:rPr>
          <w:rFonts w:ascii="方正小标宋_GBK" w:eastAsia="方正小标宋_GBK" w:hAnsi="黑体" w:cs="方正小标宋_GBK" w:hint="eastAsia"/>
          <w:bCs/>
          <w:sz w:val="44"/>
          <w:szCs w:val="44"/>
        </w:rPr>
        <w:t>2021年度</w:t>
      </w:r>
      <w:r w:rsidR="001640AE" w:rsidRPr="00613B68">
        <w:rPr>
          <w:rFonts w:ascii="方正小标宋_GBK" w:eastAsia="方正小标宋_GBK" w:hAnsi="黑体" w:cs="方正小标宋_GBK" w:hint="eastAsia"/>
          <w:bCs/>
          <w:sz w:val="44"/>
          <w:szCs w:val="44"/>
        </w:rPr>
        <w:t>部门整体</w:t>
      </w:r>
      <w:r w:rsidRPr="00613B68">
        <w:rPr>
          <w:rFonts w:ascii="方正小标宋_GBK" w:eastAsia="方正小标宋_GBK" w:hAnsi="黑体" w:cs="方正小标宋_GBK" w:hint="eastAsia"/>
          <w:bCs/>
          <w:sz w:val="44"/>
          <w:szCs w:val="44"/>
        </w:rPr>
        <w:t>支出</w:t>
      </w:r>
      <w:r w:rsidR="001640AE" w:rsidRPr="00613B68">
        <w:rPr>
          <w:rFonts w:ascii="方正小标宋_GBK" w:eastAsia="方正小标宋_GBK" w:hAnsi="黑体" w:cs="方正小标宋_GBK" w:hint="eastAsia"/>
          <w:bCs/>
          <w:sz w:val="44"/>
          <w:szCs w:val="44"/>
        </w:rPr>
        <w:t>绩效评价报告</w:t>
      </w:r>
    </w:p>
    <w:p w14:paraId="5EE47A29" w14:textId="77777777" w:rsidR="00E54A4D" w:rsidRPr="00613B68" w:rsidRDefault="00E54A4D" w:rsidP="00D57685">
      <w:pPr>
        <w:spacing w:line="560" w:lineRule="exact"/>
        <w:jc w:val="center"/>
        <w:rPr>
          <w:rFonts w:ascii="方正小标宋_GBK" w:eastAsia="方正小标宋_GBK" w:hAnsi="黑体" w:cs="方正小标宋_GBK"/>
          <w:bCs/>
          <w:sz w:val="44"/>
          <w:szCs w:val="44"/>
        </w:rPr>
      </w:pPr>
    </w:p>
    <w:p w14:paraId="51399A4C" w14:textId="776ABB51" w:rsidR="00E54A4D" w:rsidRPr="00A734D0" w:rsidRDefault="00E54A4D" w:rsidP="00D57685">
      <w:pPr>
        <w:pStyle w:val="ad"/>
        <w:numPr>
          <w:ilvl w:val="0"/>
          <w:numId w:val="5"/>
        </w:numPr>
        <w:spacing w:line="560" w:lineRule="exact"/>
        <w:ind w:firstLineChars="0"/>
        <w:rPr>
          <w:rFonts w:ascii="方正黑体_GBK" w:eastAsia="方正黑体_GBK" w:hAnsi="仿宋_GB2312" w:cs="仿宋_GB2312"/>
          <w:sz w:val="32"/>
          <w:szCs w:val="32"/>
        </w:rPr>
      </w:pPr>
      <w:r w:rsidRPr="00A734D0">
        <w:rPr>
          <w:rFonts w:ascii="方正黑体_GBK" w:eastAsia="方正黑体_GBK" w:hAnsi="仿宋_GB2312" w:cs="仿宋_GB2312" w:hint="eastAsia"/>
          <w:sz w:val="32"/>
          <w:szCs w:val="32"/>
        </w:rPr>
        <w:t>部门基本情况</w:t>
      </w:r>
    </w:p>
    <w:p w14:paraId="3816A25D" w14:textId="455116A3" w:rsidR="00B165A0" w:rsidRPr="008E506D" w:rsidRDefault="00B165A0" w:rsidP="00D57685">
      <w:pPr>
        <w:spacing w:line="560" w:lineRule="exact"/>
        <w:ind w:firstLineChars="200" w:firstLine="640"/>
        <w:rPr>
          <w:rFonts w:ascii="方正仿宋_GBK" w:eastAsia="方正仿宋_GBK" w:hAnsi="方正仿宋_GBK" w:cs="方正仿宋_GBK"/>
          <w:sz w:val="32"/>
          <w:szCs w:val="32"/>
        </w:rPr>
      </w:pPr>
      <w:r w:rsidRPr="008E506D">
        <w:rPr>
          <w:rFonts w:ascii="方正仿宋_GBK" w:eastAsia="方正仿宋_GBK" w:hAnsi="方正仿宋_GBK" w:cs="方正仿宋_GBK" w:hint="eastAsia"/>
          <w:sz w:val="32"/>
          <w:szCs w:val="32"/>
        </w:rPr>
        <w:t>重庆市</w:t>
      </w:r>
      <w:proofErr w:type="gramStart"/>
      <w:r w:rsidRPr="008E506D">
        <w:rPr>
          <w:rFonts w:ascii="方正仿宋_GBK" w:eastAsia="方正仿宋_GBK" w:hAnsi="方正仿宋_GBK" w:cs="方正仿宋_GBK" w:hint="eastAsia"/>
          <w:sz w:val="32"/>
          <w:szCs w:val="32"/>
        </w:rPr>
        <w:t>璧</w:t>
      </w:r>
      <w:proofErr w:type="gramEnd"/>
      <w:r w:rsidRPr="008E506D">
        <w:rPr>
          <w:rFonts w:ascii="方正仿宋_GBK" w:eastAsia="方正仿宋_GBK" w:hAnsi="方正仿宋_GBK" w:cs="方正仿宋_GBK" w:hint="eastAsia"/>
          <w:sz w:val="32"/>
          <w:szCs w:val="32"/>
        </w:rPr>
        <w:t>山区生态环境局是区政府工作部门，为正处级，</w:t>
      </w:r>
      <w:proofErr w:type="gramStart"/>
      <w:r w:rsidRPr="008E506D">
        <w:rPr>
          <w:rFonts w:ascii="方正仿宋_GBK" w:eastAsia="方正仿宋_GBK" w:hAnsi="方正仿宋_GBK" w:cs="方正仿宋_GBK" w:hint="eastAsia"/>
          <w:sz w:val="32"/>
          <w:szCs w:val="32"/>
        </w:rPr>
        <w:t>设下列</w:t>
      </w:r>
      <w:proofErr w:type="gramEnd"/>
      <w:r w:rsidRPr="008E506D">
        <w:rPr>
          <w:rFonts w:ascii="方正仿宋_GBK" w:eastAsia="方正仿宋_GBK" w:hAnsi="方正仿宋_GBK" w:cs="方正仿宋_GBK" w:hint="eastAsia"/>
          <w:sz w:val="32"/>
          <w:szCs w:val="32"/>
        </w:rPr>
        <w:t>内设机构：办公室、环境综合科、水生态环境科、大气环境与</w:t>
      </w:r>
      <w:proofErr w:type="gramStart"/>
      <w:r w:rsidRPr="008E506D">
        <w:rPr>
          <w:rFonts w:ascii="方正仿宋_GBK" w:eastAsia="方正仿宋_GBK" w:hAnsi="方正仿宋_GBK" w:cs="方正仿宋_GBK" w:hint="eastAsia"/>
          <w:sz w:val="32"/>
          <w:szCs w:val="32"/>
        </w:rPr>
        <w:t>园区管</w:t>
      </w:r>
      <w:proofErr w:type="gramEnd"/>
      <w:r w:rsidRPr="008E506D">
        <w:rPr>
          <w:rFonts w:ascii="方正仿宋_GBK" w:eastAsia="方正仿宋_GBK" w:hAnsi="方正仿宋_GBK" w:cs="方正仿宋_GBK" w:hint="eastAsia"/>
          <w:sz w:val="32"/>
          <w:szCs w:val="32"/>
        </w:rPr>
        <w:t>理科、辐射与土壤生态环境科、自然生态保护科、行政审批科。区生态环境局下属机构2个事业单位：重庆市</w:t>
      </w:r>
      <w:proofErr w:type="gramStart"/>
      <w:r w:rsidRPr="008E506D">
        <w:rPr>
          <w:rFonts w:ascii="方正仿宋_GBK" w:eastAsia="方正仿宋_GBK" w:hAnsi="方正仿宋_GBK" w:cs="方正仿宋_GBK" w:hint="eastAsia"/>
          <w:sz w:val="32"/>
          <w:szCs w:val="32"/>
        </w:rPr>
        <w:t>璧</w:t>
      </w:r>
      <w:proofErr w:type="gramEnd"/>
      <w:r w:rsidRPr="008E506D">
        <w:rPr>
          <w:rFonts w:ascii="方正仿宋_GBK" w:eastAsia="方正仿宋_GBK" w:hAnsi="方正仿宋_GBK" w:cs="方正仿宋_GBK" w:hint="eastAsia"/>
          <w:sz w:val="32"/>
          <w:szCs w:val="32"/>
        </w:rPr>
        <w:t>山区生态环境保护综合行政执法支队、重庆市</w:t>
      </w:r>
      <w:proofErr w:type="gramStart"/>
      <w:r w:rsidRPr="008E506D">
        <w:rPr>
          <w:rFonts w:ascii="方正仿宋_GBK" w:eastAsia="方正仿宋_GBK" w:hAnsi="方正仿宋_GBK" w:cs="方正仿宋_GBK" w:hint="eastAsia"/>
          <w:sz w:val="32"/>
          <w:szCs w:val="32"/>
        </w:rPr>
        <w:t>璧</w:t>
      </w:r>
      <w:proofErr w:type="gramEnd"/>
      <w:r w:rsidRPr="008E506D">
        <w:rPr>
          <w:rFonts w:ascii="方正仿宋_GBK" w:eastAsia="方正仿宋_GBK" w:hAnsi="方正仿宋_GBK" w:cs="方正仿宋_GBK" w:hint="eastAsia"/>
          <w:sz w:val="32"/>
          <w:szCs w:val="32"/>
        </w:rPr>
        <w:t>山区生态环境监测站。</w:t>
      </w:r>
    </w:p>
    <w:p w14:paraId="4265D8B6" w14:textId="77777777" w:rsidR="00E85083" w:rsidRPr="008E506D" w:rsidRDefault="00E85083" w:rsidP="00D57685">
      <w:pPr>
        <w:spacing w:line="560" w:lineRule="exact"/>
        <w:ind w:firstLineChars="200" w:firstLine="640"/>
        <w:rPr>
          <w:rFonts w:ascii="方正仿宋_GBK" w:eastAsia="方正仿宋_GBK" w:hAnsi="Times New Roman"/>
          <w:bCs/>
          <w:color w:val="000000" w:themeColor="text1"/>
          <w:sz w:val="32"/>
          <w:szCs w:val="32"/>
        </w:rPr>
      </w:pPr>
      <w:r w:rsidRPr="008E506D">
        <w:rPr>
          <w:rFonts w:ascii="方正仿宋_GBK" w:eastAsia="方正仿宋_GBK" w:hAnsi="Times New Roman" w:hint="eastAsia"/>
          <w:bCs/>
          <w:color w:val="000000" w:themeColor="text1"/>
          <w:sz w:val="32"/>
          <w:szCs w:val="32"/>
        </w:rPr>
        <w:t>区生态环境局贯彻落实党中央和市委关于生态环境保护工作的方针政策和决策部署，在履行职责过程中坚持和加强党对生态环境保护工作的集中统一领导。主要职责是：</w:t>
      </w:r>
    </w:p>
    <w:p w14:paraId="58378838" w14:textId="77777777" w:rsidR="00E85083" w:rsidRPr="008E506D" w:rsidRDefault="00E85083" w:rsidP="00D57685">
      <w:pPr>
        <w:spacing w:line="560" w:lineRule="exact"/>
        <w:ind w:firstLineChars="200" w:firstLine="640"/>
        <w:rPr>
          <w:rFonts w:ascii="方正仿宋_GBK" w:eastAsia="方正仿宋_GBK" w:hAnsi="Times New Roman"/>
          <w:bCs/>
          <w:color w:val="000000" w:themeColor="text1"/>
          <w:sz w:val="32"/>
          <w:szCs w:val="32"/>
        </w:rPr>
      </w:pPr>
      <w:r w:rsidRPr="008E506D">
        <w:rPr>
          <w:rFonts w:ascii="方正仿宋_GBK" w:eastAsia="方正仿宋_GBK" w:hAnsi="Times New Roman" w:hint="eastAsia"/>
          <w:bCs/>
          <w:color w:val="000000" w:themeColor="text1"/>
          <w:sz w:val="32"/>
          <w:szCs w:val="32"/>
        </w:rPr>
        <w:t>1、负责贯彻执行国家生态环境基本制度。负责贯彻执行生态环境法律法规、规章、标准和方针政策，根据职责和授权拟订有关规范性文件并组织实施。会同有关部门拟订生态环境规划并组织实施。会同有关部门划定环境功能区划并组织实施。</w:t>
      </w:r>
    </w:p>
    <w:p w14:paraId="6571BED5" w14:textId="77777777" w:rsidR="00E85083" w:rsidRPr="008E506D" w:rsidRDefault="00E85083" w:rsidP="00D57685">
      <w:pPr>
        <w:spacing w:line="560" w:lineRule="exact"/>
        <w:ind w:firstLineChars="200" w:firstLine="640"/>
        <w:rPr>
          <w:rFonts w:ascii="方正仿宋_GBK" w:eastAsia="方正仿宋_GBK" w:hAnsi="Times New Roman"/>
          <w:bCs/>
          <w:color w:val="000000" w:themeColor="text1"/>
          <w:sz w:val="32"/>
          <w:szCs w:val="32"/>
        </w:rPr>
      </w:pPr>
      <w:r w:rsidRPr="008E506D">
        <w:rPr>
          <w:rFonts w:ascii="方正仿宋_GBK" w:eastAsia="方正仿宋_GBK" w:hAnsi="Times New Roman" w:hint="eastAsia"/>
          <w:bCs/>
          <w:color w:val="000000" w:themeColor="text1"/>
          <w:sz w:val="32"/>
          <w:szCs w:val="32"/>
        </w:rPr>
        <w:t>2、负责重大生态环境问题的统筹协调和监督管理。建立健全突发生态环境事件的应急预警机制。牵头协调环境污染事件和生态破坏事件的调查处理，负责突发生态环境事件的应急、预警工作。牵头指导和实施生态环境损害赔偿制度，协调解决环境污染纠纷。统筹协调重点区域、流域生态环境保护工作。</w:t>
      </w:r>
    </w:p>
    <w:p w14:paraId="57B2E032" w14:textId="77777777" w:rsidR="00E85083" w:rsidRPr="008E506D" w:rsidRDefault="00E85083" w:rsidP="00D57685">
      <w:pPr>
        <w:spacing w:line="560" w:lineRule="exact"/>
        <w:ind w:firstLineChars="200" w:firstLine="640"/>
        <w:rPr>
          <w:rFonts w:ascii="方正仿宋_GBK" w:eastAsia="方正仿宋_GBK" w:hAnsi="Times New Roman"/>
          <w:bCs/>
          <w:color w:val="000000" w:themeColor="text1"/>
          <w:sz w:val="32"/>
          <w:szCs w:val="32"/>
        </w:rPr>
      </w:pPr>
      <w:r w:rsidRPr="008E506D">
        <w:rPr>
          <w:rFonts w:ascii="方正仿宋_GBK" w:eastAsia="方正仿宋_GBK" w:hAnsi="Times New Roman" w:hint="eastAsia"/>
          <w:bCs/>
          <w:color w:val="000000" w:themeColor="text1"/>
          <w:sz w:val="32"/>
          <w:szCs w:val="32"/>
        </w:rPr>
        <w:t>3、负责监督管理减排目标的落实。监督实施各类污染物排</w:t>
      </w:r>
      <w:r w:rsidRPr="008E506D">
        <w:rPr>
          <w:rFonts w:ascii="方正仿宋_GBK" w:eastAsia="方正仿宋_GBK" w:hAnsi="Times New Roman" w:hint="eastAsia"/>
          <w:bCs/>
          <w:color w:val="000000" w:themeColor="text1"/>
          <w:sz w:val="32"/>
          <w:szCs w:val="32"/>
        </w:rPr>
        <w:lastRenderedPageBreak/>
        <w:t>放总量控制、排污许可证制度，配合确定水、大气等纳污能力，负责完成污染物减排任务，实施生态环境保护目标责任制。</w:t>
      </w:r>
    </w:p>
    <w:p w14:paraId="044FD0CF" w14:textId="77777777" w:rsidR="00E85083" w:rsidRPr="008E506D" w:rsidRDefault="00E85083" w:rsidP="00D57685">
      <w:pPr>
        <w:spacing w:line="560" w:lineRule="exact"/>
        <w:ind w:firstLineChars="200" w:firstLine="640"/>
        <w:rPr>
          <w:rFonts w:ascii="方正仿宋_GBK" w:eastAsia="方正仿宋_GBK" w:hAnsi="Times New Roman"/>
          <w:bCs/>
          <w:color w:val="000000" w:themeColor="text1"/>
          <w:sz w:val="32"/>
          <w:szCs w:val="32"/>
        </w:rPr>
      </w:pPr>
      <w:r w:rsidRPr="008E506D">
        <w:rPr>
          <w:rFonts w:ascii="方正仿宋_GBK" w:eastAsia="方正仿宋_GBK" w:hAnsi="Times New Roman" w:hint="eastAsia"/>
          <w:bCs/>
          <w:color w:val="000000" w:themeColor="text1"/>
          <w:sz w:val="32"/>
          <w:szCs w:val="32"/>
        </w:rPr>
        <w:t>4、负责提出生态环境领域固定资产投资规模和方向、财政性资金安排的意见，配合有关部门做好组织实施和监督工作。</w:t>
      </w:r>
    </w:p>
    <w:p w14:paraId="050A453B" w14:textId="77777777" w:rsidR="00E85083" w:rsidRPr="008E506D" w:rsidRDefault="00E85083" w:rsidP="00D57685">
      <w:pPr>
        <w:spacing w:line="560" w:lineRule="exact"/>
        <w:ind w:firstLineChars="200" w:firstLine="640"/>
        <w:rPr>
          <w:rFonts w:ascii="方正仿宋_GBK" w:eastAsia="方正仿宋_GBK" w:hAnsi="Times New Roman"/>
          <w:bCs/>
          <w:color w:val="000000" w:themeColor="text1"/>
          <w:sz w:val="32"/>
          <w:szCs w:val="32"/>
        </w:rPr>
      </w:pPr>
      <w:r w:rsidRPr="008E506D">
        <w:rPr>
          <w:rFonts w:ascii="方正仿宋_GBK" w:eastAsia="方正仿宋_GBK" w:hAnsi="Times New Roman" w:hint="eastAsia"/>
          <w:bCs/>
          <w:color w:val="000000" w:themeColor="text1"/>
          <w:sz w:val="32"/>
          <w:szCs w:val="32"/>
        </w:rPr>
        <w:t>5、负责环境污染防治的监督管理。拟订水、大气、土壤、固体废物、化学品、机动车、噪声、光、恶臭等污染防治管理制度并监督实施。会同有关部门监督管理饮用水水源地生态环境保护工作，负责流域水环境保护，监督防止地下水污染。负责入河排污口的设置管理。组织指导城乡生态环境综合整治工作，监督指导农业面源污染治理工作。监督指导区域大气环境保护工作，组织实施区域大气污染联防联控协作机制。</w:t>
      </w:r>
    </w:p>
    <w:p w14:paraId="760EAC77" w14:textId="77777777" w:rsidR="00E85083" w:rsidRPr="008E506D" w:rsidRDefault="00E85083" w:rsidP="00D57685">
      <w:pPr>
        <w:spacing w:line="560" w:lineRule="exact"/>
        <w:ind w:firstLineChars="200" w:firstLine="640"/>
        <w:rPr>
          <w:rFonts w:ascii="方正仿宋_GBK" w:eastAsia="方正仿宋_GBK" w:hAnsi="Times New Roman"/>
          <w:bCs/>
          <w:color w:val="000000" w:themeColor="text1"/>
          <w:sz w:val="32"/>
          <w:szCs w:val="32"/>
        </w:rPr>
      </w:pPr>
      <w:r w:rsidRPr="008E506D">
        <w:rPr>
          <w:rFonts w:ascii="方正仿宋_GBK" w:eastAsia="方正仿宋_GBK" w:hAnsi="Times New Roman" w:hint="eastAsia"/>
          <w:bCs/>
          <w:color w:val="000000" w:themeColor="text1"/>
          <w:sz w:val="32"/>
          <w:szCs w:val="32"/>
        </w:rPr>
        <w:t>6、负责城乡污水处理的监督管理。拟订城乡污水处理措施、标准、规划并监督实施。负责城乡生活污水处理设施的建设维护（城区污水处理厂的建设除外），负责污水处理厂的监管。</w:t>
      </w:r>
    </w:p>
    <w:p w14:paraId="2BFB4EBD" w14:textId="77777777" w:rsidR="00E85083" w:rsidRPr="008E506D" w:rsidRDefault="00E85083" w:rsidP="00D57685">
      <w:pPr>
        <w:spacing w:line="560" w:lineRule="exact"/>
        <w:ind w:firstLineChars="200" w:firstLine="640"/>
        <w:rPr>
          <w:rFonts w:ascii="方正仿宋_GBK" w:eastAsia="方正仿宋_GBK" w:hAnsi="Times New Roman"/>
          <w:bCs/>
          <w:color w:val="000000" w:themeColor="text1"/>
          <w:sz w:val="32"/>
          <w:szCs w:val="32"/>
        </w:rPr>
      </w:pPr>
      <w:r w:rsidRPr="008E506D">
        <w:rPr>
          <w:rFonts w:ascii="方正仿宋_GBK" w:eastAsia="方正仿宋_GBK" w:hAnsi="Times New Roman" w:hint="eastAsia"/>
          <w:bCs/>
          <w:color w:val="000000" w:themeColor="text1"/>
          <w:sz w:val="32"/>
          <w:szCs w:val="32"/>
        </w:rPr>
        <w:t>7、指导协调和监督生态保护修复工作。组织编制生态保护规划，监督对生态环境有影响的自然资源开发利用活动、重要生态环境建设和生态破坏恢复工作。组织拟订各类自然保护地生态环境监管制度并监督执法。监督野生动植物保护、湿地生态环境保护、荒漠化防治等工作。指导协调和监督农村生态环境保护工作。监督生物技术环境安全，牵头生物物种（含遗传资源）工作，组织协调生物多样性保护工作。参与生态保护补偿工作。</w:t>
      </w:r>
    </w:p>
    <w:p w14:paraId="630865BA" w14:textId="77777777" w:rsidR="00E85083" w:rsidRPr="008E506D" w:rsidRDefault="00E85083" w:rsidP="00D57685">
      <w:pPr>
        <w:spacing w:line="560" w:lineRule="exact"/>
        <w:ind w:firstLineChars="200" w:firstLine="640"/>
        <w:rPr>
          <w:rFonts w:ascii="方正仿宋_GBK" w:eastAsia="方正仿宋_GBK" w:hAnsi="Times New Roman"/>
          <w:bCs/>
          <w:color w:val="000000" w:themeColor="text1"/>
          <w:sz w:val="32"/>
          <w:szCs w:val="32"/>
        </w:rPr>
      </w:pPr>
      <w:r w:rsidRPr="008E506D">
        <w:rPr>
          <w:rFonts w:ascii="方正仿宋_GBK" w:eastAsia="方正仿宋_GBK" w:hAnsi="Times New Roman" w:hint="eastAsia"/>
          <w:bCs/>
          <w:color w:val="000000" w:themeColor="text1"/>
          <w:sz w:val="32"/>
          <w:szCs w:val="32"/>
        </w:rPr>
        <w:t>8、负责核与辐射安全的监督管理。牵头负责核安全工作协调机制有关工作。监督管理核安全和放射源安全，监督管理电</w:t>
      </w:r>
      <w:r w:rsidRPr="008E506D">
        <w:rPr>
          <w:rFonts w:ascii="方正仿宋_GBK" w:eastAsia="方正仿宋_GBK" w:hAnsi="Times New Roman" w:hint="eastAsia"/>
          <w:bCs/>
          <w:color w:val="000000" w:themeColor="text1"/>
          <w:sz w:val="32"/>
          <w:szCs w:val="32"/>
        </w:rPr>
        <w:lastRenderedPageBreak/>
        <w:t>磁辐射、核技术应用、伴有放射性矿产资源开发利用中的污染防治。组织开展核与辐射环境监测工作。负责辐射环境事故应急处理，参与核事故应急处理。</w:t>
      </w:r>
    </w:p>
    <w:p w14:paraId="54336BD5" w14:textId="77777777" w:rsidR="00E85083" w:rsidRPr="008E506D" w:rsidRDefault="00E85083" w:rsidP="00D57685">
      <w:pPr>
        <w:spacing w:line="560" w:lineRule="exact"/>
        <w:ind w:firstLineChars="200" w:firstLine="640"/>
        <w:rPr>
          <w:rFonts w:ascii="方正仿宋_GBK" w:eastAsia="方正仿宋_GBK" w:hAnsi="Times New Roman"/>
          <w:bCs/>
          <w:color w:val="000000" w:themeColor="text1"/>
          <w:sz w:val="32"/>
          <w:szCs w:val="32"/>
        </w:rPr>
      </w:pPr>
      <w:r w:rsidRPr="008E506D">
        <w:rPr>
          <w:rFonts w:ascii="方正仿宋_GBK" w:eastAsia="方正仿宋_GBK" w:hAnsi="Times New Roman" w:hint="eastAsia"/>
          <w:bCs/>
          <w:color w:val="000000" w:themeColor="text1"/>
          <w:sz w:val="32"/>
          <w:szCs w:val="32"/>
        </w:rPr>
        <w:t>9、负责生态环境准入的监督管理。受区政府委托对重大经济和技术政策、发展规划以及重大经济开发计划进行环境影响评价，按规定审批或审查重大开发建设区域、规划、项目环境影响评价文件，组织实施生态环境准入清单。</w:t>
      </w:r>
    </w:p>
    <w:p w14:paraId="53BCAD5C" w14:textId="77777777" w:rsidR="00E85083" w:rsidRPr="008E506D" w:rsidRDefault="00E85083" w:rsidP="00D57685">
      <w:pPr>
        <w:spacing w:line="560" w:lineRule="exact"/>
        <w:ind w:firstLineChars="200" w:firstLine="640"/>
        <w:rPr>
          <w:rFonts w:ascii="方正仿宋_GBK" w:eastAsia="方正仿宋_GBK" w:hAnsi="Times New Roman"/>
          <w:bCs/>
          <w:color w:val="000000" w:themeColor="text1"/>
          <w:sz w:val="32"/>
          <w:szCs w:val="32"/>
        </w:rPr>
      </w:pPr>
      <w:r w:rsidRPr="008E506D">
        <w:rPr>
          <w:rFonts w:ascii="方正仿宋_GBK" w:eastAsia="方正仿宋_GBK" w:hAnsi="Times New Roman" w:hint="eastAsia"/>
          <w:bCs/>
          <w:color w:val="000000" w:themeColor="text1"/>
          <w:sz w:val="32"/>
          <w:szCs w:val="32"/>
        </w:rPr>
        <w:t>10、负责生态环境监测工作。贯彻执行生态环境监测制度、规范和相关标准。组织建设和管理生态环境监测网，会同有关部门统一规划生态环境质量监测站点设置。组织实施生态环境质量监测、污染源监督性监测、温室气体减排监测、应急监测。组织开展生态环境质量状况调查评价、预测预警。建立和实行生态环境质量公告制度，统一发布生态环境质量状况和重大生态环境信息。</w:t>
      </w:r>
    </w:p>
    <w:p w14:paraId="08537A3E" w14:textId="77777777" w:rsidR="00E85083" w:rsidRPr="008E506D" w:rsidRDefault="00E85083" w:rsidP="00D57685">
      <w:pPr>
        <w:spacing w:line="560" w:lineRule="exact"/>
        <w:ind w:firstLineChars="200" w:firstLine="640"/>
        <w:rPr>
          <w:rFonts w:ascii="方正仿宋_GBK" w:eastAsia="方正仿宋_GBK" w:hAnsi="Times New Roman"/>
          <w:bCs/>
          <w:color w:val="000000" w:themeColor="text1"/>
          <w:sz w:val="32"/>
          <w:szCs w:val="32"/>
        </w:rPr>
      </w:pPr>
      <w:r w:rsidRPr="008E506D">
        <w:rPr>
          <w:rFonts w:ascii="方正仿宋_GBK" w:eastAsia="方正仿宋_GBK" w:hAnsi="Times New Roman" w:hint="eastAsia"/>
          <w:bCs/>
          <w:color w:val="000000" w:themeColor="text1"/>
          <w:sz w:val="32"/>
          <w:szCs w:val="32"/>
        </w:rPr>
        <w:t>11、负责应对气候变化工作。贯彻执行应对气候变化及温室气体减</w:t>
      </w:r>
      <w:proofErr w:type="gramStart"/>
      <w:r w:rsidRPr="008E506D">
        <w:rPr>
          <w:rFonts w:ascii="方正仿宋_GBK" w:eastAsia="方正仿宋_GBK" w:hAnsi="Times New Roman" w:hint="eastAsia"/>
          <w:bCs/>
          <w:color w:val="000000" w:themeColor="text1"/>
          <w:sz w:val="32"/>
          <w:szCs w:val="32"/>
        </w:rPr>
        <w:t>排重大</w:t>
      </w:r>
      <w:proofErr w:type="gramEnd"/>
      <w:r w:rsidRPr="008E506D">
        <w:rPr>
          <w:rFonts w:ascii="方正仿宋_GBK" w:eastAsia="方正仿宋_GBK" w:hAnsi="Times New Roman" w:hint="eastAsia"/>
          <w:bCs/>
          <w:color w:val="000000" w:themeColor="text1"/>
          <w:sz w:val="32"/>
          <w:szCs w:val="32"/>
        </w:rPr>
        <w:t>战略、规划和政策，承担国家履行联合国气候变化框架公约在我区的相关工作，组织开展应对气候变化对外交流与合作。</w:t>
      </w:r>
    </w:p>
    <w:p w14:paraId="05854B82" w14:textId="77777777" w:rsidR="00E85083" w:rsidRPr="008E506D" w:rsidRDefault="00E85083" w:rsidP="00D57685">
      <w:pPr>
        <w:spacing w:line="560" w:lineRule="exact"/>
        <w:ind w:firstLineChars="200" w:firstLine="640"/>
        <w:rPr>
          <w:rFonts w:ascii="方正仿宋_GBK" w:eastAsia="方正仿宋_GBK" w:hAnsi="Times New Roman"/>
          <w:bCs/>
          <w:color w:val="000000" w:themeColor="text1"/>
          <w:sz w:val="32"/>
          <w:szCs w:val="32"/>
        </w:rPr>
      </w:pPr>
      <w:r w:rsidRPr="008E506D">
        <w:rPr>
          <w:rFonts w:ascii="方正仿宋_GBK" w:eastAsia="方正仿宋_GBK" w:hAnsi="Times New Roman" w:hint="eastAsia"/>
          <w:bCs/>
          <w:color w:val="000000" w:themeColor="text1"/>
          <w:sz w:val="32"/>
          <w:szCs w:val="32"/>
        </w:rPr>
        <w:t>12、承接生态环境保护督察。承接中央生态环境保护督察、重庆市生态环境保护督察有关工作，组织协调区级生态环境保护督察工作，根据授权对镇街、区级有关部门、相关单位贯彻落实生态环境保护决策部署情况进行督察问责。</w:t>
      </w:r>
    </w:p>
    <w:p w14:paraId="65AE696E" w14:textId="77777777" w:rsidR="00E85083" w:rsidRPr="008E506D" w:rsidRDefault="00E85083" w:rsidP="00D57685">
      <w:pPr>
        <w:spacing w:line="560" w:lineRule="exact"/>
        <w:ind w:firstLineChars="200" w:firstLine="640"/>
        <w:rPr>
          <w:rFonts w:ascii="方正仿宋_GBK" w:eastAsia="方正仿宋_GBK" w:hAnsi="Times New Roman"/>
          <w:bCs/>
          <w:color w:val="000000" w:themeColor="text1"/>
          <w:sz w:val="32"/>
          <w:szCs w:val="32"/>
        </w:rPr>
      </w:pPr>
      <w:r w:rsidRPr="008E506D">
        <w:rPr>
          <w:rFonts w:ascii="方正仿宋_GBK" w:eastAsia="方正仿宋_GBK" w:hAnsi="Times New Roman" w:hint="eastAsia"/>
          <w:bCs/>
          <w:color w:val="000000" w:themeColor="text1"/>
          <w:sz w:val="32"/>
          <w:szCs w:val="32"/>
        </w:rPr>
        <w:t>13、负责生态环境监督执法。组织开展生态环境保护执法检查活动，查处生态环境违法问题，具体执法交由相关执法队</w:t>
      </w:r>
      <w:r w:rsidRPr="008E506D">
        <w:rPr>
          <w:rFonts w:ascii="方正仿宋_GBK" w:eastAsia="方正仿宋_GBK" w:hAnsi="Times New Roman" w:hint="eastAsia"/>
          <w:bCs/>
          <w:color w:val="000000" w:themeColor="text1"/>
          <w:sz w:val="32"/>
          <w:szCs w:val="32"/>
        </w:rPr>
        <w:lastRenderedPageBreak/>
        <w:t>伍承担，并以部门名义统一执法。</w:t>
      </w:r>
    </w:p>
    <w:p w14:paraId="6F0F8B6E" w14:textId="77777777" w:rsidR="00E85083" w:rsidRPr="008E506D" w:rsidRDefault="00E85083" w:rsidP="00D57685">
      <w:pPr>
        <w:spacing w:line="560" w:lineRule="exact"/>
        <w:ind w:firstLineChars="200" w:firstLine="640"/>
        <w:rPr>
          <w:rFonts w:ascii="方正仿宋_GBK" w:eastAsia="方正仿宋_GBK" w:hAnsi="Times New Roman"/>
          <w:bCs/>
          <w:color w:val="000000" w:themeColor="text1"/>
          <w:sz w:val="32"/>
          <w:szCs w:val="32"/>
        </w:rPr>
      </w:pPr>
      <w:r w:rsidRPr="008E506D">
        <w:rPr>
          <w:rFonts w:ascii="方正仿宋_GBK" w:eastAsia="方正仿宋_GBK" w:hAnsi="Times New Roman" w:hint="eastAsia"/>
          <w:bCs/>
          <w:color w:val="000000" w:themeColor="text1"/>
          <w:sz w:val="32"/>
          <w:szCs w:val="32"/>
        </w:rPr>
        <w:t>14、负责开展生态环境科技工作。组织开展生态环境科学研究和技术工程示范，推动生态环境技术管理体系建设。参与指导推动循环经济和生态环保产业发展。</w:t>
      </w:r>
    </w:p>
    <w:p w14:paraId="4264FF6F" w14:textId="77777777" w:rsidR="00E85083" w:rsidRPr="008E506D" w:rsidRDefault="00E85083" w:rsidP="00D57685">
      <w:pPr>
        <w:spacing w:line="560" w:lineRule="exact"/>
        <w:ind w:firstLineChars="200" w:firstLine="640"/>
        <w:rPr>
          <w:rFonts w:ascii="方正仿宋_GBK" w:eastAsia="方正仿宋_GBK" w:hAnsi="Times New Roman"/>
          <w:bCs/>
          <w:color w:val="000000" w:themeColor="text1"/>
          <w:sz w:val="32"/>
          <w:szCs w:val="32"/>
        </w:rPr>
      </w:pPr>
      <w:r w:rsidRPr="008E506D">
        <w:rPr>
          <w:rFonts w:ascii="方正仿宋_GBK" w:eastAsia="方正仿宋_GBK" w:hAnsi="Times New Roman" w:hint="eastAsia"/>
          <w:bCs/>
          <w:color w:val="000000" w:themeColor="text1"/>
          <w:sz w:val="32"/>
          <w:szCs w:val="32"/>
        </w:rPr>
        <w:t>15、组织开展生态环境宣传教育工作。组织实施生态环境保护宣传教育纲要，推动社会组织和公众参与生态环境保护。</w:t>
      </w:r>
    </w:p>
    <w:p w14:paraId="37A8248F" w14:textId="77777777" w:rsidR="00E85083" w:rsidRPr="008E506D" w:rsidRDefault="00E85083" w:rsidP="00D57685">
      <w:pPr>
        <w:spacing w:line="560" w:lineRule="exact"/>
        <w:ind w:firstLineChars="200" w:firstLine="640"/>
        <w:rPr>
          <w:rFonts w:ascii="方正仿宋_GBK" w:eastAsia="方正仿宋_GBK" w:hAnsi="Times New Roman"/>
          <w:bCs/>
          <w:color w:val="000000" w:themeColor="text1"/>
          <w:sz w:val="32"/>
          <w:szCs w:val="32"/>
        </w:rPr>
      </w:pPr>
      <w:r w:rsidRPr="008E506D">
        <w:rPr>
          <w:rFonts w:ascii="方正仿宋_GBK" w:eastAsia="方正仿宋_GBK" w:hAnsi="Times New Roman" w:hint="eastAsia"/>
          <w:bCs/>
          <w:color w:val="000000" w:themeColor="text1"/>
          <w:sz w:val="32"/>
          <w:szCs w:val="32"/>
        </w:rPr>
        <w:t>16、承担重庆市</w:t>
      </w:r>
      <w:proofErr w:type="gramStart"/>
      <w:r w:rsidRPr="008E506D">
        <w:rPr>
          <w:rFonts w:ascii="方正仿宋_GBK" w:eastAsia="方正仿宋_GBK" w:hAnsi="Times New Roman" w:hint="eastAsia"/>
          <w:bCs/>
          <w:color w:val="000000" w:themeColor="text1"/>
          <w:sz w:val="32"/>
          <w:szCs w:val="32"/>
        </w:rPr>
        <w:t>璧</w:t>
      </w:r>
      <w:proofErr w:type="gramEnd"/>
      <w:r w:rsidRPr="008E506D">
        <w:rPr>
          <w:rFonts w:ascii="方正仿宋_GBK" w:eastAsia="方正仿宋_GBK" w:hAnsi="Times New Roman" w:hint="eastAsia"/>
          <w:bCs/>
          <w:color w:val="000000" w:themeColor="text1"/>
          <w:sz w:val="32"/>
          <w:szCs w:val="32"/>
        </w:rPr>
        <w:t>山区生态环境委员会的日常工作。</w:t>
      </w:r>
    </w:p>
    <w:p w14:paraId="488F569E" w14:textId="77777777" w:rsidR="00E85083" w:rsidRPr="008E506D" w:rsidRDefault="00E85083" w:rsidP="00D57685">
      <w:pPr>
        <w:spacing w:line="560" w:lineRule="exact"/>
        <w:ind w:firstLineChars="200" w:firstLine="640"/>
        <w:rPr>
          <w:rFonts w:ascii="方正仿宋_GBK" w:eastAsia="方正仿宋_GBK" w:hAnsi="Times New Roman"/>
          <w:bCs/>
          <w:color w:val="000000" w:themeColor="text1"/>
          <w:sz w:val="32"/>
          <w:szCs w:val="32"/>
        </w:rPr>
      </w:pPr>
      <w:r w:rsidRPr="008E506D">
        <w:rPr>
          <w:rFonts w:ascii="方正仿宋_GBK" w:eastAsia="方正仿宋_GBK" w:hAnsi="Times New Roman" w:hint="eastAsia"/>
          <w:bCs/>
          <w:color w:val="000000" w:themeColor="text1"/>
          <w:sz w:val="32"/>
          <w:szCs w:val="32"/>
        </w:rPr>
        <w:t>17、负责机关及下属事业单位的党建工作。</w:t>
      </w:r>
    </w:p>
    <w:p w14:paraId="3DFACEFB" w14:textId="77777777" w:rsidR="00E85083" w:rsidRPr="008E506D" w:rsidRDefault="00E85083" w:rsidP="00D57685">
      <w:pPr>
        <w:spacing w:line="560" w:lineRule="exact"/>
        <w:ind w:firstLineChars="200" w:firstLine="640"/>
        <w:rPr>
          <w:rFonts w:ascii="方正仿宋_GBK" w:eastAsia="方正仿宋_GBK" w:hAnsi="Times New Roman"/>
          <w:bCs/>
          <w:color w:val="000000" w:themeColor="text1"/>
          <w:sz w:val="32"/>
          <w:szCs w:val="32"/>
        </w:rPr>
      </w:pPr>
      <w:r w:rsidRPr="008E506D">
        <w:rPr>
          <w:rFonts w:ascii="方正仿宋_GBK" w:eastAsia="方正仿宋_GBK" w:hAnsi="Times New Roman" w:hint="eastAsia"/>
          <w:bCs/>
          <w:color w:val="000000" w:themeColor="text1"/>
          <w:sz w:val="32"/>
          <w:szCs w:val="32"/>
        </w:rPr>
        <w:t>18、完成区委和区政府交办的其他任务。</w:t>
      </w:r>
    </w:p>
    <w:p w14:paraId="59E33605" w14:textId="77777777" w:rsidR="00E85083" w:rsidRPr="008E506D" w:rsidRDefault="00E85083" w:rsidP="00D57685">
      <w:pPr>
        <w:spacing w:line="560" w:lineRule="exact"/>
        <w:ind w:firstLineChars="200" w:firstLine="640"/>
        <w:rPr>
          <w:rFonts w:ascii="方正仿宋_GBK" w:eastAsia="方正仿宋_GBK" w:hAnsi="Times New Roman"/>
          <w:bCs/>
          <w:color w:val="000000" w:themeColor="text1"/>
          <w:sz w:val="32"/>
          <w:szCs w:val="32"/>
        </w:rPr>
      </w:pPr>
      <w:r w:rsidRPr="008E506D">
        <w:rPr>
          <w:rFonts w:ascii="方正仿宋_GBK" w:eastAsia="方正仿宋_GBK" w:hAnsi="Times New Roman" w:hint="eastAsia"/>
          <w:bCs/>
          <w:color w:val="000000" w:themeColor="text1"/>
          <w:sz w:val="32"/>
          <w:szCs w:val="32"/>
        </w:rPr>
        <w:t>19、职能转变。区生态环境局统一行使生态和城乡各类污染排放监管与行政执法职责，切实履行监管责任，全面落实水、大气、土壤污染防治行动计划。构建政府为主导、企业为主体、社会组织和公众共同参与的生态环境治理体系，实行最严格的生态环境保护制度，严守生态保护红线和环境质量底线，坚决打好污染防治攻坚战，保障生态安全，建设山清水秀美丽之地。</w:t>
      </w:r>
    </w:p>
    <w:p w14:paraId="1DF7AEE0" w14:textId="52D705C6" w:rsidR="00E54A4D" w:rsidRPr="00A734D0" w:rsidRDefault="00DB333E" w:rsidP="00D57685">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bCs/>
          <w:sz w:val="32"/>
          <w:szCs w:val="32"/>
        </w:rPr>
        <w:t>二</w:t>
      </w:r>
      <w:r w:rsidR="00E54A4D" w:rsidRPr="00A734D0">
        <w:rPr>
          <w:rFonts w:ascii="方正黑体_GBK" w:eastAsia="方正黑体_GBK" w:hAnsi="Times New Roman" w:cs="Times New Roman" w:hint="eastAsia"/>
          <w:sz w:val="32"/>
          <w:szCs w:val="32"/>
        </w:rPr>
        <w:t>、评价情况</w:t>
      </w:r>
    </w:p>
    <w:p w14:paraId="5C1CD8E8" w14:textId="4C9E05FA" w:rsidR="00E54A4D" w:rsidRPr="008E506D" w:rsidRDefault="00E54A4D" w:rsidP="00D57685">
      <w:pPr>
        <w:spacing w:line="560" w:lineRule="exact"/>
        <w:ind w:firstLineChars="200" w:firstLine="640"/>
        <w:rPr>
          <w:rFonts w:ascii="方正仿宋_GBK" w:eastAsia="方正仿宋_GBK" w:hAnsi="Times New Roman" w:cs="Times New Roman"/>
          <w:sz w:val="32"/>
          <w:szCs w:val="32"/>
        </w:rPr>
      </w:pPr>
      <w:r w:rsidRPr="008E506D">
        <w:rPr>
          <w:rFonts w:ascii="方正仿宋_GBK" w:eastAsia="方正仿宋_GBK" w:hAnsi="Times New Roman" w:cs="Times New Roman" w:hint="eastAsia"/>
          <w:bCs/>
          <w:color w:val="000000"/>
          <w:sz w:val="32"/>
          <w:szCs w:val="32"/>
        </w:rPr>
        <w:t>经评定，本次绩效评价以区生态环境局2021年度部门整体为主要评价对象。经评价，区生态环境局综合评价得分89.25分，评价等级为“良”。</w:t>
      </w:r>
    </w:p>
    <w:p w14:paraId="7E2F54C7" w14:textId="4C3DC7FD" w:rsidR="00E54A4D" w:rsidRPr="00A734D0" w:rsidRDefault="00DB333E" w:rsidP="00D57685">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三</w:t>
      </w:r>
      <w:r w:rsidR="00E54A4D" w:rsidRPr="00A734D0">
        <w:rPr>
          <w:rFonts w:ascii="方正黑体_GBK" w:eastAsia="方正黑体_GBK" w:hAnsi="Times New Roman" w:cs="Times New Roman" w:hint="eastAsia"/>
          <w:sz w:val="32"/>
          <w:szCs w:val="32"/>
        </w:rPr>
        <w:t>、存在的问题</w:t>
      </w:r>
    </w:p>
    <w:p w14:paraId="376636B0" w14:textId="77777777" w:rsidR="00E54A4D" w:rsidRPr="00A734D0" w:rsidRDefault="00E54A4D" w:rsidP="00D57685">
      <w:pPr>
        <w:spacing w:line="560" w:lineRule="exact"/>
        <w:ind w:firstLineChars="200" w:firstLine="640"/>
        <w:rPr>
          <w:rFonts w:ascii="方正楷体_GBK" w:eastAsia="方正楷体_GBK" w:hAnsi="Times New Roman" w:cs="Times New Roman"/>
          <w:bCs/>
          <w:color w:val="000000"/>
          <w:sz w:val="32"/>
          <w:szCs w:val="32"/>
        </w:rPr>
      </w:pPr>
      <w:r w:rsidRPr="00A734D0">
        <w:rPr>
          <w:rFonts w:ascii="方正楷体_GBK" w:eastAsia="方正楷体_GBK" w:hAnsi="Times New Roman" w:cs="Times New Roman" w:hint="eastAsia"/>
          <w:bCs/>
          <w:color w:val="000000"/>
          <w:sz w:val="32"/>
          <w:szCs w:val="32"/>
        </w:rPr>
        <w:t>（一）未按合同支付款项的问题。</w:t>
      </w:r>
    </w:p>
    <w:p w14:paraId="674CC56B" w14:textId="02C3440B" w:rsidR="00E54A4D" w:rsidRPr="008E506D" w:rsidRDefault="00E54A4D" w:rsidP="00D57685">
      <w:pPr>
        <w:spacing w:line="560" w:lineRule="exact"/>
        <w:ind w:firstLineChars="200" w:firstLine="640"/>
        <w:rPr>
          <w:rFonts w:ascii="方正仿宋_GBK" w:eastAsia="方正仿宋_GBK" w:hAnsi="Times New Roman" w:cs="Times New Roman"/>
          <w:bCs/>
          <w:color w:val="000000"/>
          <w:sz w:val="32"/>
          <w:szCs w:val="32"/>
        </w:rPr>
      </w:pPr>
      <w:r w:rsidRPr="008E506D">
        <w:rPr>
          <w:rFonts w:ascii="方正仿宋_GBK" w:eastAsia="方正仿宋_GBK" w:hAnsi="Times New Roman" w:cs="Times New Roman" w:hint="eastAsia"/>
          <w:bCs/>
          <w:color w:val="000000"/>
          <w:sz w:val="32"/>
          <w:szCs w:val="32"/>
        </w:rPr>
        <w:t>会计记账凭证2021年6月60号凭证列支项目支出系统运维服务支出金额22.8万元付款日期为2021年6月15日，根据合同签订的付款日期为甲方验收合格后30日内支付合同价款的</w:t>
      </w:r>
      <w:r w:rsidRPr="008E506D">
        <w:rPr>
          <w:rFonts w:ascii="方正仿宋_GBK" w:eastAsia="方正仿宋_GBK" w:hAnsi="Times New Roman" w:cs="Times New Roman" w:hint="eastAsia"/>
          <w:bCs/>
          <w:color w:val="000000"/>
          <w:sz w:val="32"/>
          <w:szCs w:val="32"/>
        </w:rPr>
        <w:lastRenderedPageBreak/>
        <w:t>60%金额；根据项目验收报告单记载验收合格时间为2021年4月6日，应在2021年5月6日支付合同款。本项目未遵守合同条款。违反《民法典》第六百二十八条</w:t>
      </w:r>
      <w:r w:rsidR="00613B68">
        <w:rPr>
          <w:rFonts w:ascii="方正仿宋_GBK" w:eastAsia="方正仿宋_GBK" w:hAnsi="Times New Roman" w:cs="Times New Roman" w:hint="eastAsia"/>
          <w:bCs/>
          <w:color w:val="000000"/>
          <w:sz w:val="32"/>
          <w:szCs w:val="32"/>
        </w:rPr>
        <w:t>：</w:t>
      </w:r>
      <w:r w:rsidRPr="008E506D">
        <w:rPr>
          <w:rFonts w:ascii="方正仿宋_GBK" w:eastAsia="方正仿宋_GBK" w:hAnsi="仿宋_GB2312" w:cs="仿宋_GB2312" w:hint="eastAsia"/>
          <w:bCs/>
          <w:color w:val="000000"/>
          <w:sz w:val="32"/>
          <w:szCs w:val="32"/>
        </w:rPr>
        <w:t>买受人应当按照约定的时间支付价款。</w:t>
      </w:r>
    </w:p>
    <w:p w14:paraId="073E7EA7" w14:textId="77777777" w:rsidR="00E54A4D" w:rsidRPr="00A734D0" w:rsidRDefault="00E54A4D" w:rsidP="00D57685">
      <w:pPr>
        <w:spacing w:line="560" w:lineRule="exact"/>
        <w:ind w:firstLineChars="200" w:firstLine="640"/>
        <w:rPr>
          <w:rFonts w:ascii="方正楷体_GBK" w:eastAsia="方正楷体_GBK" w:hAnsi="Times New Roman" w:cs="Times New Roman"/>
          <w:bCs/>
          <w:color w:val="000000"/>
          <w:sz w:val="32"/>
          <w:szCs w:val="32"/>
        </w:rPr>
      </w:pPr>
      <w:r w:rsidRPr="00A734D0">
        <w:rPr>
          <w:rFonts w:ascii="方正楷体_GBK" w:eastAsia="方正楷体_GBK" w:hAnsi="Times New Roman" w:cs="Times New Roman" w:hint="eastAsia"/>
          <w:bCs/>
          <w:color w:val="000000"/>
          <w:sz w:val="32"/>
          <w:szCs w:val="32"/>
        </w:rPr>
        <w:t>（二）年度项目计划制定不准确项目预算金额变动过大的问题</w:t>
      </w:r>
    </w:p>
    <w:p w14:paraId="038D8BE9" w14:textId="77777777" w:rsidR="00E54A4D" w:rsidRPr="008E506D" w:rsidRDefault="00E54A4D" w:rsidP="00D57685">
      <w:pPr>
        <w:spacing w:line="560" w:lineRule="exact"/>
        <w:ind w:firstLineChars="200" w:firstLine="640"/>
        <w:rPr>
          <w:rFonts w:ascii="方正仿宋_GBK" w:eastAsia="方正仿宋_GBK" w:hAnsi="Times New Roman" w:cs="Times New Roman"/>
          <w:bCs/>
          <w:color w:val="000000"/>
          <w:sz w:val="32"/>
          <w:szCs w:val="32"/>
        </w:rPr>
      </w:pPr>
      <w:r w:rsidRPr="008E506D">
        <w:rPr>
          <w:rFonts w:ascii="方正仿宋_GBK" w:eastAsia="方正仿宋_GBK" w:hAnsi="Times New Roman" w:cs="Times New Roman" w:hint="eastAsia"/>
          <w:bCs/>
          <w:color w:val="000000"/>
          <w:sz w:val="32"/>
          <w:szCs w:val="32"/>
        </w:rPr>
        <w:t>区生态环境局2021年年</w:t>
      </w:r>
      <w:proofErr w:type="gramStart"/>
      <w:r w:rsidRPr="008E506D">
        <w:rPr>
          <w:rFonts w:ascii="方正仿宋_GBK" w:eastAsia="方正仿宋_GBK" w:hAnsi="Times New Roman" w:cs="Times New Roman" w:hint="eastAsia"/>
          <w:bCs/>
          <w:color w:val="000000"/>
          <w:sz w:val="32"/>
          <w:szCs w:val="32"/>
        </w:rPr>
        <w:t>初计划</w:t>
      </w:r>
      <w:proofErr w:type="gramEnd"/>
      <w:r w:rsidRPr="008E506D">
        <w:rPr>
          <w:rFonts w:ascii="方正仿宋_GBK" w:eastAsia="方正仿宋_GBK" w:hAnsi="Times New Roman" w:cs="Times New Roman" w:hint="eastAsia"/>
          <w:bCs/>
          <w:color w:val="000000"/>
          <w:sz w:val="32"/>
          <w:szCs w:val="32"/>
        </w:rPr>
        <w:t>执行预算项目63个，2021年共计调整取消22个项目，调整新增27个项目调整后项目总数68个。年初项目预算金额85,590,999.78元，决算金额69,134,183.59，调整金额16,456,816.19元。未按照年初申报的项目执行，年初预算缺乏科学性和严谨性。</w:t>
      </w:r>
    </w:p>
    <w:p w14:paraId="683D28CF" w14:textId="77777777" w:rsidR="00E54A4D" w:rsidRPr="00A734D0" w:rsidRDefault="00E54A4D" w:rsidP="00D57685">
      <w:pPr>
        <w:spacing w:line="560" w:lineRule="exact"/>
        <w:ind w:firstLineChars="200" w:firstLine="640"/>
        <w:rPr>
          <w:rFonts w:ascii="方正楷体_GBK" w:eastAsia="方正楷体_GBK" w:hAnsi="Times New Roman" w:cs="Times New Roman"/>
          <w:bCs/>
          <w:color w:val="000000"/>
          <w:sz w:val="32"/>
          <w:szCs w:val="32"/>
        </w:rPr>
      </w:pPr>
      <w:r w:rsidRPr="00A734D0">
        <w:rPr>
          <w:rFonts w:ascii="方正楷体_GBK" w:eastAsia="方正楷体_GBK" w:hAnsi="Times New Roman" w:cs="Times New Roman" w:hint="eastAsia"/>
          <w:bCs/>
          <w:color w:val="000000"/>
          <w:sz w:val="32"/>
          <w:szCs w:val="32"/>
        </w:rPr>
        <w:t>（三）固定资产管理问题</w:t>
      </w:r>
    </w:p>
    <w:p w14:paraId="0D536BC3" w14:textId="18161438" w:rsidR="00E54A4D" w:rsidRPr="008E506D" w:rsidRDefault="00E54A4D" w:rsidP="00D57685">
      <w:pPr>
        <w:spacing w:line="560" w:lineRule="exact"/>
        <w:ind w:firstLineChars="200" w:firstLine="640"/>
        <w:rPr>
          <w:rFonts w:ascii="方正仿宋_GBK" w:eastAsia="方正仿宋_GBK" w:hAnsi="Times New Roman" w:cs="Times New Roman"/>
          <w:bCs/>
          <w:color w:val="000000"/>
          <w:sz w:val="32"/>
          <w:szCs w:val="32"/>
        </w:rPr>
      </w:pPr>
      <w:r w:rsidRPr="008E506D">
        <w:rPr>
          <w:rFonts w:ascii="方正仿宋_GBK" w:eastAsia="方正仿宋_GBK" w:hAnsi="Times New Roman" w:cs="Times New Roman" w:hint="eastAsia"/>
          <w:bCs/>
          <w:color w:val="000000"/>
          <w:sz w:val="32"/>
          <w:szCs w:val="32"/>
        </w:rPr>
        <w:t>1.</w:t>
      </w:r>
      <w:r w:rsidR="00613B68">
        <w:rPr>
          <w:rFonts w:ascii="方正仿宋_GBK" w:eastAsia="方正仿宋_GBK" w:hAnsi="Times New Roman" w:cs="Times New Roman" w:hint="eastAsia"/>
          <w:bCs/>
          <w:color w:val="000000"/>
          <w:sz w:val="32"/>
          <w:szCs w:val="32"/>
        </w:rPr>
        <w:t xml:space="preserve"> </w:t>
      </w:r>
      <w:r w:rsidRPr="008E506D">
        <w:rPr>
          <w:rFonts w:ascii="方正仿宋_GBK" w:eastAsia="方正仿宋_GBK" w:hAnsi="Times New Roman" w:cs="Times New Roman" w:hint="eastAsia"/>
          <w:bCs/>
          <w:color w:val="000000"/>
          <w:sz w:val="32"/>
          <w:szCs w:val="32"/>
        </w:rPr>
        <w:t>区生态环境局固定资产配置标准未严格执行重庆市财政局关于印发《重庆市市级行政事业单位通用办公设备家具配置标准（试行）》的通知（</w:t>
      </w:r>
      <w:proofErr w:type="gramStart"/>
      <w:r w:rsidRPr="008E506D">
        <w:rPr>
          <w:rFonts w:ascii="方正仿宋_GBK" w:eastAsia="方正仿宋_GBK" w:hAnsi="Times New Roman" w:cs="Times New Roman" w:hint="eastAsia"/>
          <w:bCs/>
          <w:color w:val="000000"/>
          <w:sz w:val="32"/>
          <w:szCs w:val="32"/>
        </w:rPr>
        <w:t>渝财资产</w:t>
      </w:r>
      <w:proofErr w:type="gramEnd"/>
      <w:r w:rsidRPr="008E506D">
        <w:rPr>
          <w:rFonts w:ascii="方正仿宋_GBK" w:eastAsia="方正仿宋_GBK" w:hAnsi="Times New Roman" w:cs="Times New Roman" w:hint="eastAsia"/>
          <w:bCs/>
          <w:color w:val="000000"/>
          <w:sz w:val="32"/>
          <w:szCs w:val="32"/>
        </w:rPr>
        <w:t>〔2020〕19号）文件相关规定，配置超标。</w:t>
      </w:r>
    </w:p>
    <w:p w14:paraId="5459D428" w14:textId="77777777" w:rsidR="00E54A4D" w:rsidRPr="008E506D" w:rsidRDefault="00E54A4D" w:rsidP="00D57685">
      <w:pPr>
        <w:spacing w:line="560" w:lineRule="exact"/>
        <w:ind w:firstLineChars="200" w:firstLine="640"/>
        <w:rPr>
          <w:rFonts w:ascii="方正仿宋_GBK" w:eastAsia="方正仿宋_GBK" w:hAnsi="Times New Roman" w:cs="Times New Roman"/>
          <w:bCs/>
          <w:color w:val="000000"/>
          <w:sz w:val="32"/>
          <w:szCs w:val="32"/>
        </w:rPr>
      </w:pPr>
      <w:r w:rsidRPr="008E506D">
        <w:rPr>
          <w:rFonts w:ascii="方正仿宋_GBK" w:eastAsia="方正仿宋_GBK" w:hAnsi="Times New Roman" w:cs="Times New Roman" w:hint="eastAsia"/>
          <w:bCs/>
          <w:color w:val="000000"/>
          <w:sz w:val="32"/>
          <w:szCs w:val="32"/>
        </w:rPr>
        <w:t xml:space="preserve">（1）通用设备便携式（含平板）配置数量51台，根据文件计算应为40台，超11台。 </w:t>
      </w:r>
    </w:p>
    <w:p w14:paraId="152CE4D7" w14:textId="77777777" w:rsidR="00E54A4D" w:rsidRPr="008E506D" w:rsidRDefault="00E54A4D" w:rsidP="00D57685">
      <w:pPr>
        <w:spacing w:line="560" w:lineRule="exact"/>
        <w:ind w:firstLineChars="200" w:firstLine="640"/>
        <w:rPr>
          <w:rFonts w:ascii="方正仿宋_GBK" w:eastAsia="方正仿宋_GBK" w:hAnsi="Times New Roman" w:cs="Times New Roman"/>
          <w:bCs/>
          <w:color w:val="000000"/>
          <w:sz w:val="32"/>
          <w:szCs w:val="32"/>
        </w:rPr>
      </w:pPr>
      <w:r w:rsidRPr="008E506D">
        <w:rPr>
          <w:rFonts w:ascii="方正仿宋_GBK" w:eastAsia="方正仿宋_GBK" w:hAnsi="Times New Roman" w:cs="Times New Roman" w:hint="eastAsia"/>
          <w:bCs/>
          <w:color w:val="000000"/>
          <w:sz w:val="32"/>
          <w:szCs w:val="32"/>
        </w:rPr>
        <w:t>（2）通用设备打印机67台，根据文件计算应为63台，超4台。</w:t>
      </w:r>
    </w:p>
    <w:p w14:paraId="7653CB91" w14:textId="77777777" w:rsidR="00E54A4D" w:rsidRPr="008E506D" w:rsidRDefault="00E54A4D" w:rsidP="00D57685">
      <w:pPr>
        <w:spacing w:line="560" w:lineRule="exact"/>
        <w:ind w:firstLineChars="200" w:firstLine="640"/>
        <w:rPr>
          <w:rFonts w:ascii="方正仿宋_GBK" w:eastAsia="方正仿宋_GBK" w:hAnsi="Times New Roman" w:cs="Times New Roman"/>
          <w:bCs/>
          <w:color w:val="000000"/>
          <w:sz w:val="32"/>
          <w:szCs w:val="32"/>
        </w:rPr>
      </w:pPr>
      <w:r w:rsidRPr="008E506D">
        <w:rPr>
          <w:rFonts w:ascii="方正仿宋_GBK" w:eastAsia="方正仿宋_GBK" w:hAnsi="Times New Roman" w:cs="Times New Roman" w:hint="eastAsia"/>
          <w:bCs/>
          <w:color w:val="000000"/>
          <w:sz w:val="32"/>
          <w:szCs w:val="32"/>
        </w:rPr>
        <w:t>（3）通用设备照相机配置数量34台，</w:t>
      </w:r>
      <w:r w:rsidRPr="008E506D">
        <w:rPr>
          <w:rFonts w:ascii="方正仿宋_GBK" w:eastAsia="方正仿宋_GBK" w:hAnsi="Nirmala UI" w:cs="Nirmala UI" w:hint="eastAsia"/>
          <w:bCs/>
          <w:color w:val="000000"/>
          <w:sz w:val="32"/>
          <w:szCs w:val="32"/>
        </w:rPr>
        <w:t>单位新闻宣传部门只可配置一台，超33台。</w:t>
      </w:r>
    </w:p>
    <w:p w14:paraId="07B5741D" w14:textId="221260FE" w:rsidR="00E54A4D" w:rsidRPr="008E506D" w:rsidRDefault="00E54A4D" w:rsidP="00D57685">
      <w:pPr>
        <w:spacing w:line="560" w:lineRule="exact"/>
        <w:ind w:firstLineChars="200" w:firstLine="640"/>
        <w:rPr>
          <w:rFonts w:ascii="方正仿宋_GBK" w:eastAsia="方正仿宋_GBK" w:hAnsi="Times New Roman" w:cs="Times New Roman"/>
          <w:bCs/>
          <w:color w:val="000000"/>
          <w:sz w:val="32"/>
          <w:szCs w:val="32"/>
        </w:rPr>
      </w:pPr>
      <w:r w:rsidRPr="008E506D">
        <w:rPr>
          <w:rFonts w:ascii="方正仿宋_GBK" w:eastAsia="方正仿宋_GBK" w:hAnsi="Times New Roman" w:cs="Times New Roman" w:hint="eastAsia"/>
          <w:bCs/>
          <w:color w:val="000000"/>
          <w:sz w:val="32"/>
          <w:szCs w:val="32"/>
        </w:rPr>
        <w:t>2.</w:t>
      </w:r>
      <w:r w:rsidR="00613B68">
        <w:rPr>
          <w:rFonts w:ascii="方正仿宋_GBK" w:eastAsia="方正仿宋_GBK" w:hAnsi="Times New Roman" w:cs="Times New Roman" w:hint="eastAsia"/>
          <w:bCs/>
          <w:color w:val="000000"/>
          <w:sz w:val="32"/>
          <w:szCs w:val="32"/>
        </w:rPr>
        <w:t xml:space="preserve"> </w:t>
      </w:r>
      <w:r w:rsidRPr="008E506D">
        <w:rPr>
          <w:rFonts w:ascii="方正仿宋_GBK" w:eastAsia="方正仿宋_GBK" w:hAnsi="Times New Roman" w:cs="Times New Roman" w:hint="eastAsia"/>
          <w:bCs/>
          <w:color w:val="000000"/>
          <w:sz w:val="32"/>
          <w:szCs w:val="32"/>
        </w:rPr>
        <w:t>固定资产管理方面</w:t>
      </w:r>
    </w:p>
    <w:p w14:paraId="5734285E" w14:textId="77777777" w:rsidR="00E54A4D" w:rsidRPr="008E506D" w:rsidRDefault="00E54A4D" w:rsidP="00D57685">
      <w:pPr>
        <w:spacing w:line="560" w:lineRule="exact"/>
        <w:ind w:firstLineChars="200" w:firstLine="640"/>
        <w:rPr>
          <w:rFonts w:ascii="方正仿宋_GBK" w:eastAsia="方正仿宋_GBK" w:hAnsi="Times New Roman" w:cs="Times New Roman"/>
          <w:bCs/>
          <w:color w:val="000000"/>
          <w:sz w:val="32"/>
          <w:szCs w:val="32"/>
        </w:rPr>
      </w:pPr>
      <w:r w:rsidRPr="008E506D">
        <w:rPr>
          <w:rFonts w:ascii="方正仿宋_GBK" w:eastAsia="方正仿宋_GBK" w:hAnsi="Times New Roman" w:cs="Times New Roman" w:hint="eastAsia"/>
          <w:bCs/>
          <w:color w:val="000000"/>
          <w:sz w:val="32"/>
          <w:szCs w:val="32"/>
        </w:rPr>
        <w:t>未严格执行重庆市财政局关于转发《财政部关于加强 行政</w:t>
      </w:r>
      <w:r w:rsidRPr="008E506D">
        <w:rPr>
          <w:rFonts w:ascii="方正仿宋_GBK" w:eastAsia="方正仿宋_GBK" w:hAnsi="Times New Roman" w:cs="Times New Roman" w:hint="eastAsia"/>
          <w:bCs/>
          <w:color w:val="000000"/>
          <w:sz w:val="32"/>
          <w:szCs w:val="32"/>
        </w:rPr>
        <w:lastRenderedPageBreak/>
        <w:t>事业单位固定资产管理的通知》的通知(</w:t>
      </w:r>
      <w:proofErr w:type="gramStart"/>
      <w:r w:rsidRPr="008E506D">
        <w:rPr>
          <w:rFonts w:ascii="方正仿宋_GBK" w:eastAsia="方正仿宋_GBK" w:hAnsi="Times New Roman" w:cs="Times New Roman" w:hint="eastAsia"/>
          <w:bCs/>
          <w:color w:val="000000"/>
          <w:sz w:val="32"/>
          <w:szCs w:val="32"/>
        </w:rPr>
        <w:t>渝财资产</w:t>
      </w:r>
      <w:proofErr w:type="gramEnd"/>
      <w:r w:rsidRPr="008E506D">
        <w:rPr>
          <w:rFonts w:ascii="方正仿宋_GBK" w:eastAsia="方正仿宋_GBK" w:hAnsi="Times New Roman" w:cs="Times New Roman" w:hint="eastAsia"/>
          <w:bCs/>
          <w:color w:val="000000"/>
          <w:sz w:val="32"/>
          <w:szCs w:val="32"/>
        </w:rPr>
        <w:t>〔2020〕22号 2020年11月4日)文件相关规定。</w:t>
      </w:r>
    </w:p>
    <w:p w14:paraId="06FD81F5" w14:textId="77777777" w:rsidR="00E54A4D" w:rsidRPr="008E506D" w:rsidRDefault="00E54A4D" w:rsidP="00D57685">
      <w:pPr>
        <w:spacing w:line="560" w:lineRule="exact"/>
        <w:ind w:firstLineChars="200" w:firstLine="640"/>
        <w:rPr>
          <w:rFonts w:ascii="方正仿宋_GBK" w:eastAsia="方正仿宋_GBK" w:hAnsi="Times New Roman" w:cs="Times New Roman"/>
          <w:bCs/>
          <w:color w:val="000000"/>
          <w:sz w:val="32"/>
          <w:szCs w:val="32"/>
        </w:rPr>
      </w:pPr>
      <w:r w:rsidRPr="008E506D">
        <w:rPr>
          <w:rFonts w:ascii="方正仿宋_GBK" w:eastAsia="方正仿宋_GBK" w:hAnsi="Times New Roman" w:cs="Times New Roman" w:hint="eastAsia"/>
          <w:bCs/>
          <w:color w:val="000000"/>
          <w:sz w:val="32"/>
          <w:szCs w:val="32"/>
        </w:rPr>
        <w:t>未严格执行年</w:t>
      </w:r>
      <w:proofErr w:type="gramStart"/>
      <w:r w:rsidRPr="008E506D">
        <w:rPr>
          <w:rFonts w:ascii="方正仿宋_GBK" w:eastAsia="方正仿宋_GBK" w:hAnsi="Times New Roman" w:cs="Times New Roman" w:hint="eastAsia"/>
          <w:bCs/>
          <w:color w:val="000000"/>
          <w:sz w:val="32"/>
          <w:szCs w:val="32"/>
        </w:rPr>
        <w:t>末必</w:t>
      </w:r>
      <w:proofErr w:type="gramEnd"/>
      <w:r w:rsidRPr="008E506D">
        <w:rPr>
          <w:rFonts w:ascii="方正仿宋_GBK" w:eastAsia="方正仿宋_GBK" w:hAnsi="Times New Roman" w:cs="Times New Roman" w:hint="eastAsia"/>
          <w:bCs/>
          <w:color w:val="000000"/>
          <w:sz w:val="32"/>
          <w:szCs w:val="32"/>
        </w:rPr>
        <w:t>须对固定资产进行一次全面清查盘点，清查盘点情况报同级财政部门或国有资产管理部门备案。</w:t>
      </w:r>
    </w:p>
    <w:p w14:paraId="466F4562" w14:textId="77777777" w:rsidR="00E54A4D" w:rsidRPr="00A734D0" w:rsidRDefault="00E54A4D" w:rsidP="00D57685">
      <w:pPr>
        <w:spacing w:line="560" w:lineRule="exact"/>
        <w:ind w:firstLineChars="200" w:firstLine="640"/>
        <w:rPr>
          <w:rFonts w:ascii="方正楷体_GBK" w:eastAsia="方正楷体_GBK" w:hAnsi="Times New Roman" w:cs="Times New Roman"/>
          <w:bCs/>
          <w:color w:val="000000"/>
          <w:sz w:val="32"/>
          <w:szCs w:val="32"/>
        </w:rPr>
      </w:pPr>
      <w:r w:rsidRPr="00A734D0">
        <w:rPr>
          <w:rFonts w:ascii="方正楷体_GBK" w:eastAsia="方正楷体_GBK" w:hAnsi="Times New Roman" w:cs="Times New Roman" w:hint="eastAsia"/>
          <w:bCs/>
          <w:color w:val="000000"/>
          <w:sz w:val="32"/>
          <w:szCs w:val="32"/>
        </w:rPr>
        <w:t>（四）档案管理问题</w:t>
      </w:r>
    </w:p>
    <w:p w14:paraId="35C58EFA" w14:textId="77777777" w:rsidR="00E54A4D" w:rsidRPr="008E506D" w:rsidRDefault="00E54A4D" w:rsidP="00D57685">
      <w:pPr>
        <w:spacing w:line="560" w:lineRule="exact"/>
        <w:ind w:firstLineChars="200" w:firstLine="640"/>
        <w:rPr>
          <w:rFonts w:ascii="方正仿宋_GBK" w:eastAsia="方正仿宋_GBK" w:hAnsi="Times New Roman" w:cs="Times New Roman"/>
          <w:bCs/>
          <w:color w:val="000000"/>
          <w:sz w:val="32"/>
          <w:szCs w:val="32"/>
        </w:rPr>
      </w:pPr>
      <w:r w:rsidRPr="008E506D">
        <w:rPr>
          <w:rFonts w:ascii="方正仿宋_GBK" w:eastAsia="方正仿宋_GBK" w:hAnsi="Times New Roman" w:cs="Times New Roman" w:hint="eastAsia"/>
          <w:bCs/>
          <w:color w:val="000000"/>
          <w:sz w:val="32"/>
          <w:szCs w:val="32"/>
        </w:rPr>
        <w:t>本次抽查的2021年度区生态环境局项目档案，均保存在各个业务科室，违反《重庆市实施〈中华人民共和国档案法〉办法》第十一条：机关、团体、企业事业单位和其他组织及其工作人员在公务活动中形成的材料，按照国家规定应当归档的，由文秘或者其他业务部门整理立卷，按时向本单位档案机构移交，集中管理，不得拒绝归档。</w:t>
      </w:r>
    </w:p>
    <w:p w14:paraId="770AE682" w14:textId="77777777" w:rsidR="00E54A4D" w:rsidRPr="00A734D0" w:rsidRDefault="00E54A4D" w:rsidP="00D57685">
      <w:pPr>
        <w:spacing w:line="560" w:lineRule="exact"/>
        <w:ind w:firstLineChars="200" w:firstLine="640"/>
        <w:rPr>
          <w:rFonts w:ascii="方正楷体_GBK" w:eastAsia="方正楷体_GBK" w:hAnsi="Times New Roman" w:cs="Times New Roman"/>
          <w:bCs/>
          <w:color w:val="000000"/>
          <w:sz w:val="32"/>
          <w:szCs w:val="32"/>
        </w:rPr>
      </w:pPr>
      <w:r w:rsidRPr="00A734D0">
        <w:rPr>
          <w:rFonts w:ascii="方正楷体_GBK" w:eastAsia="方正楷体_GBK" w:hAnsi="Times New Roman" w:cs="Times New Roman" w:hint="eastAsia"/>
          <w:bCs/>
          <w:color w:val="000000"/>
          <w:sz w:val="32"/>
          <w:szCs w:val="32"/>
        </w:rPr>
        <w:t>（五）群众知晓率过低的问题</w:t>
      </w:r>
    </w:p>
    <w:p w14:paraId="196E9636" w14:textId="7839F352" w:rsidR="00E54A4D" w:rsidRPr="008E506D" w:rsidRDefault="00E54A4D" w:rsidP="00D57685">
      <w:pPr>
        <w:spacing w:line="560" w:lineRule="exact"/>
        <w:ind w:firstLineChars="200" w:firstLine="640"/>
        <w:rPr>
          <w:rFonts w:ascii="方正仿宋_GBK" w:eastAsia="方正仿宋_GBK" w:hAnsi="Times New Roman" w:cs="Times New Roman"/>
          <w:sz w:val="32"/>
          <w:szCs w:val="32"/>
        </w:rPr>
      </w:pPr>
      <w:r w:rsidRPr="008E506D">
        <w:rPr>
          <w:rFonts w:ascii="方正仿宋_GBK" w:eastAsia="方正仿宋_GBK" w:hAnsi="Times New Roman" w:cs="Times New Roman" w:hint="eastAsia"/>
          <w:bCs/>
          <w:color w:val="000000"/>
          <w:sz w:val="32"/>
          <w:szCs w:val="32"/>
        </w:rPr>
        <w:t>区生态环境局2021年全年开展社会宣传活动数和标准培训场次均达到甚至超出上级规定的次数，但通过活动的宣传力度均没有达到理想程度，通过社会调查群众知晓率仅40%。</w:t>
      </w:r>
    </w:p>
    <w:p w14:paraId="3A3AEFC7" w14:textId="7A37680B" w:rsidR="00E54A4D" w:rsidRPr="00A734D0" w:rsidRDefault="00DB333E" w:rsidP="00D57685">
      <w:pPr>
        <w:spacing w:beforeLines="50" w:before="156" w:afterLines="50" w:after="156"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四</w:t>
      </w:r>
      <w:r w:rsidR="00E54A4D" w:rsidRPr="00A734D0">
        <w:rPr>
          <w:rFonts w:ascii="方正黑体_GBK" w:eastAsia="方正黑体_GBK" w:hAnsi="Times New Roman" w:cs="Times New Roman" w:hint="eastAsia"/>
          <w:sz w:val="32"/>
          <w:szCs w:val="32"/>
        </w:rPr>
        <w:t>、有关建议</w:t>
      </w:r>
    </w:p>
    <w:p w14:paraId="2464EC63" w14:textId="77777777" w:rsidR="00E54A4D" w:rsidRPr="00A734D0" w:rsidRDefault="00E54A4D" w:rsidP="00D57685">
      <w:pPr>
        <w:spacing w:line="560" w:lineRule="exact"/>
        <w:ind w:firstLineChars="200" w:firstLine="640"/>
        <w:rPr>
          <w:rFonts w:ascii="方正楷体_GBK" w:eastAsia="方正楷体_GBK" w:hAnsi="Times New Roman" w:cs="Times New Roman"/>
          <w:bCs/>
          <w:color w:val="000000"/>
          <w:sz w:val="32"/>
          <w:szCs w:val="32"/>
        </w:rPr>
      </w:pPr>
      <w:r w:rsidRPr="00A734D0">
        <w:rPr>
          <w:rFonts w:ascii="方正楷体_GBK" w:eastAsia="方正楷体_GBK" w:hAnsi="Times New Roman" w:cs="Times New Roman" w:hint="eastAsia"/>
          <w:bCs/>
          <w:color w:val="000000"/>
          <w:sz w:val="32"/>
          <w:szCs w:val="32"/>
        </w:rPr>
        <w:t>（一）未按合同支付款项建议</w:t>
      </w:r>
    </w:p>
    <w:p w14:paraId="4ECD577F" w14:textId="77777777" w:rsidR="00E54A4D" w:rsidRPr="008E506D" w:rsidRDefault="00E54A4D" w:rsidP="00D57685">
      <w:pPr>
        <w:spacing w:line="560" w:lineRule="exact"/>
        <w:ind w:firstLineChars="200" w:firstLine="640"/>
        <w:rPr>
          <w:rFonts w:ascii="方正仿宋_GBK" w:eastAsia="方正仿宋_GBK" w:hAnsi="Times New Roman" w:cs="Times New Roman"/>
          <w:bCs/>
          <w:color w:val="000000"/>
          <w:sz w:val="32"/>
          <w:szCs w:val="32"/>
        </w:rPr>
      </w:pPr>
      <w:r w:rsidRPr="008E506D">
        <w:rPr>
          <w:rFonts w:ascii="方正仿宋_GBK" w:eastAsia="方正仿宋_GBK" w:hAnsi="Times New Roman" w:cs="Times New Roman" w:hint="eastAsia"/>
          <w:bCs/>
          <w:color w:val="000000"/>
          <w:sz w:val="32"/>
          <w:szCs w:val="32"/>
        </w:rPr>
        <w:t>应严格遵守《民法典》第六百二十八条：买受人应当按照约定的时间支付价款。避免产生相应的法律风险。对于财政资金紧张的问题应硬化支出预算执行约束，严控预算追加事项。严把支出政策关口，强化财政可承受能力评估，凡是不具备实施条件、超出财力可能的支出政策，一律不得实施。切实保障“三保”支出需求。</w:t>
      </w:r>
    </w:p>
    <w:p w14:paraId="36A2928E" w14:textId="77777777" w:rsidR="00E54A4D" w:rsidRPr="00A734D0" w:rsidRDefault="00E54A4D" w:rsidP="00D57685">
      <w:pPr>
        <w:spacing w:line="560" w:lineRule="exact"/>
        <w:ind w:firstLineChars="200" w:firstLine="640"/>
        <w:rPr>
          <w:rFonts w:ascii="方正楷体_GBK" w:eastAsia="方正楷体_GBK" w:hAnsi="Times New Roman" w:cs="Times New Roman"/>
          <w:bCs/>
          <w:color w:val="000000"/>
          <w:sz w:val="32"/>
          <w:szCs w:val="32"/>
        </w:rPr>
      </w:pPr>
      <w:r w:rsidRPr="00A734D0">
        <w:rPr>
          <w:rFonts w:ascii="方正楷体_GBK" w:eastAsia="方正楷体_GBK" w:hAnsi="Times New Roman" w:cs="Times New Roman" w:hint="eastAsia"/>
          <w:bCs/>
          <w:color w:val="000000"/>
          <w:sz w:val="32"/>
          <w:szCs w:val="32"/>
        </w:rPr>
        <w:lastRenderedPageBreak/>
        <w:t>（二）年度项目计划制定不准确项目预算金额变动过大的建议</w:t>
      </w:r>
    </w:p>
    <w:p w14:paraId="15DD2F40" w14:textId="77777777" w:rsidR="00E54A4D" w:rsidRPr="008E506D" w:rsidRDefault="00E54A4D" w:rsidP="00D57685">
      <w:pPr>
        <w:spacing w:line="560" w:lineRule="exact"/>
        <w:ind w:firstLineChars="200" w:firstLine="640"/>
        <w:rPr>
          <w:rFonts w:ascii="方正仿宋_GBK" w:eastAsia="方正仿宋_GBK" w:hAnsi="Times New Roman" w:cs="Times New Roman"/>
          <w:bCs/>
          <w:color w:val="000000"/>
          <w:sz w:val="32"/>
          <w:szCs w:val="32"/>
        </w:rPr>
      </w:pPr>
      <w:r w:rsidRPr="008E506D">
        <w:rPr>
          <w:rFonts w:ascii="方正仿宋_GBK" w:eastAsia="方正仿宋_GBK" w:hAnsi="Times New Roman" w:cs="Times New Roman" w:hint="eastAsia"/>
          <w:bCs/>
          <w:color w:val="000000"/>
          <w:sz w:val="32"/>
          <w:szCs w:val="32"/>
        </w:rPr>
        <w:t>年度预算经过人大会议审批后应按照批复通过的预算项目执行，应该结合上年的实际花费情况更加科学的编制当年的预算，对于具体的项目预算建议选择第三</w:t>
      </w:r>
      <w:proofErr w:type="gramStart"/>
      <w:r w:rsidRPr="008E506D">
        <w:rPr>
          <w:rFonts w:ascii="方正仿宋_GBK" w:eastAsia="方正仿宋_GBK" w:hAnsi="Times New Roman" w:cs="Times New Roman" w:hint="eastAsia"/>
          <w:bCs/>
          <w:color w:val="000000"/>
          <w:sz w:val="32"/>
          <w:szCs w:val="32"/>
        </w:rPr>
        <w:t>方专业</w:t>
      </w:r>
      <w:proofErr w:type="gramEnd"/>
      <w:r w:rsidRPr="008E506D">
        <w:rPr>
          <w:rFonts w:ascii="方正仿宋_GBK" w:eastAsia="方正仿宋_GBK" w:hAnsi="Times New Roman" w:cs="Times New Roman" w:hint="eastAsia"/>
          <w:bCs/>
          <w:color w:val="000000"/>
          <w:sz w:val="32"/>
          <w:szCs w:val="32"/>
        </w:rPr>
        <w:t>机构制定详细的项目预算，确保项目预算的独立科学公正。</w:t>
      </w:r>
    </w:p>
    <w:p w14:paraId="616A5FAC" w14:textId="77777777" w:rsidR="00E54A4D" w:rsidRPr="00A734D0" w:rsidRDefault="00E54A4D" w:rsidP="00D57685">
      <w:pPr>
        <w:spacing w:line="560" w:lineRule="exact"/>
        <w:ind w:firstLineChars="200" w:firstLine="640"/>
        <w:rPr>
          <w:rFonts w:ascii="方正楷体_GBK" w:eastAsia="方正楷体_GBK" w:hAnsi="Times New Roman" w:cs="Times New Roman"/>
          <w:bCs/>
          <w:color w:val="000000"/>
          <w:sz w:val="32"/>
          <w:szCs w:val="32"/>
        </w:rPr>
      </w:pPr>
      <w:r w:rsidRPr="00A734D0">
        <w:rPr>
          <w:rFonts w:ascii="方正楷体_GBK" w:eastAsia="方正楷体_GBK" w:hAnsi="Times New Roman" w:cs="Times New Roman" w:hint="eastAsia"/>
          <w:bCs/>
          <w:color w:val="000000"/>
          <w:sz w:val="32"/>
          <w:szCs w:val="32"/>
        </w:rPr>
        <w:t>（三）固定资产管理建议</w:t>
      </w:r>
    </w:p>
    <w:p w14:paraId="48E536E1" w14:textId="361FC70B" w:rsidR="00E54A4D" w:rsidRPr="008E506D" w:rsidRDefault="00E54A4D" w:rsidP="00D57685">
      <w:pPr>
        <w:spacing w:line="560" w:lineRule="exact"/>
        <w:ind w:firstLineChars="200" w:firstLine="640"/>
        <w:rPr>
          <w:rFonts w:ascii="方正仿宋_GBK" w:eastAsia="方正仿宋_GBK" w:hAnsi="Times New Roman" w:cs="Times New Roman"/>
          <w:bCs/>
          <w:color w:val="000000"/>
          <w:sz w:val="32"/>
          <w:szCs w:val="32"/>
        </w:rPr>
      </w:pPr>
      <w:r w:rsidRPr="008E506D">
        <w:rPr>
          <w:rFonts w:ascii="方正仿宋_GBK" w:eastAsia="方正仿宋_GBK" w:hAnsi="Times New Roman" w:cs="Times New Roman" w:hint="eastAsia"/>
          <w:bCs/>
          <w:color w:val="000000"/>
          <w:sz w:val="32"/>
          <w:szCs w:val="32"/>
        </w:rPr>
        <w:t>1.</w:t>
      </w:r>
      <w:r w:rsidR="00613B68">
        <w:rPr>
          <w:rFonts w:ascii="方正仿宋_GBK" w:eastAsia="方正仿宋_GBK" w:hAnsi="Times New Roman" w:cs="Times New Roman" w:hint="eastAsia"/>
          <w:bCs/>
          <w:color w:val="000000"/>
          <w:sz w:val="32"/>
          <w:szCs w:val="32"/>
        </w:rPr>
        <w:t xml:space="preserve"> </w:t>
      </w:r>
      <w:r w:rsidRPr="008E506D">
        <w:rPr>
          <w:rFonts w:ascii="方正仿宋_GBK" w:eastAsia="方正仿宋_GBK" w:hAnsi="Times New Roman" w:cs="Times New Roman" w:hint="eastAsia"/>
          <w:bCs/>
          <w:color w:val="000000"/>
          <w:sz w:val="32"/>
          <w:szCs w:val="32"/>
        </w:rPr>
        <w:t>固定资产管理按《财政部关于加强行政事业单位固定资产管理的通知》（财资〔2020〕97号）文件相关规定，建立健全和执行固定资产管理实施办法或分类制定固定资产管理规定。</w:t>
      </w:r>
    </w:p>
    <w:p w14:paraId="1C773713" w14:textId="77777777" w:rsidR="00E54A4D" w:rsidRPr="008E506D" w:rsidRDefault="00E54A4D" w:rsidP="00D57685">
      <w:pPr>
        <w:spacing w:line="560" w:lineRule="exact"/>
        <w:ind w:firstLineChars="200" w:firstLine="640"/>
        <w:rPr>
          <w:rFonts w:ascii="方正仿宋_GBK" w:eastAsia="方正仿宋_GBK" w:hAnsi="Times New Roman" w:cs="Times New Roman"/>
          <w:bCs/>
          <w:color w:val="000000"/>
          <w:sz w:val="32"/>
          <w:szCs w:val="32"/>
        </w:rPr>
      </w:pPr>
      <w:r w:rsidRPr="008E506D">
        <w:rPr>
          <w:rFonts w:ascii="方正仿宋_GBK" w:eastAsia="方正仿宋_GBK" w:hAnsi="Times New Roman" w:cs="Times New Roman" w:hint="eastAsia"/>
          <w:bCs/>
          <w:color w:val="000000"/>
          <w:sz w:val="32"/>
          <w:szCs w:val="32"/>
        </w:rPr>
        <w:t>严格执行年末固定资产全面清查盘点，清查盘点情况报同级财政部门或国有资产管理部门备案；</w:t>
      </w:r>
    </w:p>
    <w:p w14:paraId="24888582" w14:textId="7C23B182" w:rsidR="00E54A4D" w:rsidRPr="008E506D" w:rsidRDefault="00E54A4D" w:rsidP="00D57685">
      <w:pPr>
        <w:spacing w:line="560" w:lineRule="exact"/>
        <w:ind w:firstLineChars="200" w:firstLine="640"/>
        <w:rPr>
          <w:rFonts w:ascii="方正仿宋_GBK" w:eastAsia="方正仿宋_GBK" w:hAnsi="Times New Roman" w:cs="Times New Roman"/>
          <w:bCs/>
          <w:color w:val="000000"/>
          <w:sz w:val="32"/>
          <w:szCs w:val="32"/>
        </w:rPr>
      </w:pPr>
      <w:r w:rsidRPr="008E506D">
        <w:rPr>
          <w:rFonts w:ascii="方正仿宋_GBK" w:eastAsia="方正仿宋_GBK" w:hAnsi="Times New Roman" w:cs="Times New Roman" w:hint="eastAsia"/>
          <w:bCs/>
          <w:color w:val="000000"/>
          <w:sz w:val="32"/>
          <w:szCs w:val="32"/>
        </w:rPr>
        <w:t>2.</w:t>
      </w:r>
      <w:r w:rsidR="00613B68">
        <w:rPr>
          <w:rFonts w:ascii="方正仿宋_GBK" w:eastAsia="方正仿宋_GBK" w:hAnsi="Times New Roman" w:cs="Times New Roman" w:hint="eastAsia"/>
          <w:bCs/>
          <w:color w:val="000000"/>
          <w:sz w:val="32"/>
          <w:szCs w:val="32"/>
        </w:rPr>
        <w:t xml:space="preserve"> </w:t>
      </w:r>
      <w:r w:rsidRPr="008E506D">
        <w:rPr>
          <w:rFonts w:ascii="方正仿宋_GBK" w:eastAsia="方正仿宋_GBK" w:hAnsi="Times New Roman" w:cs="Times New Roman" w:hint="eastAsia"/>
          <w:bCs/>
          <w:color w:val="000000"/>
          <w:sz w:val="32"/>
          <w:szCs w:val="32"/>
        </w:rPr>
        <w:t>固定资产配置标准严格执行重庆市财政局关于印发《重庆市市级行政事业单位通用办公设备家具配置标准（试行）》的通知（</w:t>
      </w:r>
      <w:proofErr w:type="gramStart"/>
      <w:r w:rsidRPr="008E506D">
        <w:rPr>
          <w:rFonts w:ascii="方正仿宋_GBK" w:eastAsia="方正仿宋_GBK" w:hAnsi="Times New Roman" w:cs="Times New Roman" w:hint="eastAsia"/>
          <w:bCs/>
          <w:color w:val="000000"/>
          <w:sz w:val="32"/>
          <w:szCs w:val="32"/>
        </w:rPr>
        <w:t>渝财资产</w:t>
      </w:r>
      <w:proofErr w:type="gramEnd"/>
      <w:r w:rsidRPr="008E506D">
        <w:rPr>
          <w:rFonts w:ascii="方正仿宋_GBK" w:eastAsia="方正仿宋_GBK" w:hAnsi="Times New Roman" w:cs="Times New Roman" w:hint="eastAsia"/>
          <w:bCs/>
          <w:color w:val="000000"/>
          <w:sz w:val="32"/>
          <w:szCs w:val="32"/>
        </w:rPr>
        <w:t xml:space="preserve">〔2020〕19号）文件相关规定，对数量和单价进行控制，提高固定资产利用率。 </w:t>
      </w:r>
    </w:p>
    <w:p w14:paraId="24768925" w14:textId="77777777" w:rsidR="00E54A4D" w:rsidRPr="00A734D0" w:rsidRDefault="00E54A4D" w:rsidP="00D57685">
      <w:pPr>
        <w:spacing w:line="560" w:lineRule="exact"/>
        <w:ind w:firstLineChars="200" w:firstLine="640"/>
        <w:rPr>
          <w:rFonts w:ascii="方正楷体_GBK" w:eastAsia="方正楷体_GBK" w:hAnsi="Times New Roman" w:cs="Times New Roman"/>
          <w:bCs/>
          <w:color w:val="000000"/>
          <w:sz w:val="32"/>
          <w:szCs w:val="32"/>
        </w:rPr>
      </w:pPr>
      <w:r w:rsidRPr="00A734D0">
        <w:rPr>
          <w:rFonts w:ascii="方正楷体_GBK" w:eastAsia="方正楷体_GBK" w:hAnsi="Times New Roman" w:cs="Times New Roman" w:hint="eastAsia"/>
          <w:bCs/>
          <w:color w:val="000000"/>
          <w:sz w:val="32"/>
          <w:szCs w:val="32"/>
        </w:rPr>
        <w:t>（四）档案管理建议</w:t>
      </w:r>
    </w:p>
    <w:p w14:paraId="72781DC4" w14:textId="77777777" w:rsidR="00E54A4D" w:rsidRPr="008E506D" w:rsidRDefault="00E54A4D" w:rsidP="00D57685">
      <w:pPr>
        <w:spacing w:line="560" w:lineRule="exact"/>
        <w:ind w:firstLineChars="200" w:firstLine="640"/>
        <w:rPr>
          <w:rFonts w:ascii="方正仿宋_GBK" w:eastAsia="方正仿宋_GBK" w:hAnsi="Times New Roman" w:cs="Times New Roman"/>
          <w:bCs/>
          <w:color w:val="000000"/>
          <w:sz w:val="32"/>
          <w:szCs w:val="32"/>
        </w:rPr>
      </w:pPr>
      <w:r w:rsidRPr="008E506D">
        <w:rPr>
          <w:rFonts w:ascii="方正仿宋_GBK" w:eastAsia="方正仿宋_GBK" w:hAnsi="Times New Roman" w:cs="Times New Roman" w:hint="eastAsia"/>
          <w:bCs/>
          <w:color w:val="000000"/>
          <w:sz w:val="32"/>
          <w:szCs w:val="32"/>
        </w:rPr>
        <w:t>严格遵守《重庆市实施〈中华人民共和国档案法〉办法》第十一条：机关、团体、企业事业单位和其他组织及其工作人员在公务活动中形成的材料，按照国家规定应当归档的，由文秘或者其他业务部门整理立卷，按时向本单位档案机构移交，集中管理。</w:t>
      </w:r>
    </w:p>
    <w:p w14:paraId="051AD36E" w14:textId="77777777" w:rsidR="00E54A4D" w:rsidRPr="00A734D0" w:rsidRDefault="00E54A4D" w:rsidP="00D57685">
      <w:pPr>
        <w:spacing w:line="560" w:lineRule="exact"/>
        <w:ind w:firstLineChars="200" w:firstLine="640"/>
        <w:rPr>
          <w:rFonts w:ascii="方正楷体_GBK" w:eastAsia="方正楷体_GBK" w:hAnsi="Times New Roman" w:cs="Times New Roman"/>
          <w:bCs/>
          <w:color w:val="000000"/>
          <w:sz w:val="32"/>
          <w:szCs w:val="32"/>
        </w:rPr>
      </w:pPr>
      <w:r w:rsidRPr="00A734D0">
        <w:rPr>
          <w:rFonts w:ascii="方正楷体_GBK" w:eastAsia="方正楷体_GBK" w:hAnsi="Times New Roman" w:cs="Times New Roman" w:hint="eastAsia"/>
          <w:bCs/>
          <w:color w:val="000000"/>
          <w:sz w:val="32"/>
          <w:szCs w:val="32"/>
        </w:rPr>
        <w:t>（五）群众知晓率过低建议</w:t>
      </w:r>
    </w:p>
    <w:p w14:paraId="712DD3BD" w14:textId="77777777" w:rsidR="00E54A4D" w:rsidRPr="008E506D" w:rsidRDefault="00E54A4D" w:rsidP="00D57685">
      <w:pPr>
        <w:spacing w:line="560" w:lineRule="exact"/>
        <w:ind w:firstLineChars="200" w:firstLine="640"/>
        <w:rPr>
          <w:rFonts w:ascii="方正仿宋_GBK" w:eastAsia="方正仿宋_GBK" w:hAnsi="Times New Roman" w:cs="Times New Roman"/>
          <w:bCs/>
          <w:color w:val="000000"/>
          <w:sz w:val="32"/>
          <w:szCs w:val="32"/>
        </w:rPr>
      </w:pPr>
      <w:r w:rsidRPr="008E506D">
        <w:rPr>
          <w:rFonts w:ascii="方正仿宋_GBK" w:eastAsia="方正仿宋_GBK" w:hAnsi="Times New Roman" w:cs="Times New Roman" w:hint="eastAsia"/>
          <w:bCs/>
          <w:color w:val="000000"/>
          <w:sz w:val="32"/>
          <w:szCs w:val="32"/>
        </w:rPr>
        <w:t>机关单位应深入群众通过多渠道多形式的进行活动宣传</w:t>
      </w:r>
      <w:bookmarkStart w:id="0" w:name="_GoBack"/>
      <w:r w:rsidRPr="008E506D">
        <w:rPr>
          <w:rFonts w:ascii="方正仿宋_GBK" w:eastAsia="方正仿宋_GBK" w:hAnsi="Times New Roman" w:cs="Times New Roman" w:hint="eastAsia"/>
          <w:bCs/>
          <w:color w:val="000000"/>
          <w:sz w:val="32"/>
          <w:szCs w:val="32"/>
        </w:rPr>
        <w:t>，</w:t>
      </w:r>
      <w:bookmarkEnd w:id="0"/>
      <w:r w:rsidRPr="008E506D">
        <w:rPr>
          <w:rFonts w:ascii="方正仿宋_GBK" w:eastAsia="方正仿宋_GBK" w:hAnsi="Times New Roman" w:cs="Times New Roman" w:hint="eastAsia"/>
          <w:bCs/>
          <w:color w:val="000000"/>
          <w:sz w:val="32"/>
          <w:szCs w:val="32"/>
        </w:rPr>
        <w:lastRenderedPageBreak/>
        <w:t>比如在活动前借助“抖音”等新媒体平台向璧山区内的手机IP投放活动宣传视频；或是联合其他机关共同开展相关的宣传活动，比如“光盘行动”、“世界地球日”可联合教育委员会深入校园进行活动宣传，扩大学生群体及家长的传播力。避免搞形式主义，保障宣传活动应该有的活动效果。</w:t>
      </w:r>
    </w:p>
    <w:sectPr w:rsidR="00E54A4D" w:rsidRPr="008E506D">
      <w:footerReference w:type="default" r:id="rId8"/>
      <w:pgSz w:w="11906" w:h="16838"/>
      <w:pgMar w:top="1701" w:right="1588" w:bottom="1418" w:left="1474"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16BE08" w14:textId="77777777" w:rsidR="005D4398" w:rsidRDefault="005D4398">
      <w:r>
        <w:separator/>
      </w:r>
    </w:p>
  </w:endnote>
  <w:endnote w:type="continuationSeparator" w:id="0">
    <w:p w14:paraId="08DC532C" w14:textId="77777777" w:rsidR="005D4398" w:rsidRDefault="005D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Nirmala UI">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200343"/>
      <w:docPartObj>
        <w:docPartGallery w:val="Page Numbers (Bottom of Page)"/>
        <w:docPartUnique/>
      </w:docPartObj>
    </w:sdtPr>
    <w:sdtEndPr>
      <w:rPr>
        <w:rFonts w:ascii="Times New Roman" w:hAnsi="Times New Roman" w:cs="Times New Roman"/>
        <w:sz w:val="32"/>
        <w:szCs w:val="32"/>
      </w:rPr>
    </w:sdtEndPr>
    <w:sdtContent>
      <w:p w14:paraId="21C6AF08" w14:textId="478F32F8" w:rsidR="007F109C" w:rsidRPr="007F109C" w:rsidRDefault="007F109C">
        <w:pPr>
          <w:pStyle w:val="a6"/>
          <w:jc w:val="center"/>
          <w:rPr>
            <w:rFonts w:ascii="Times New Roman" w:hAnsi="Times New Roman" w:cs="Times New Roman"/>
            <w:sz w:val="32"/>
            <w:szCs w:val="32"/>
          </w:rPr>
        </w:pPr>
        <w:r w:rsidRPr="007F109C">
          <w:rPr>
            <w:rFonts w:ascii="Times New Roman" w:hAnsi="Times New Roman" w:cs="Times New Roman"/>
            <w:sz w:val="32"/>
            <w:szCs w:val="32"/>
          </w:rPr>
          <w:fldChar w:fldCharType="begin"/>
        </w:r>
        <w:r w:rsidRPr="007F109C">
          <w:rPr>
            <w:rFonts w:ascii="Times New Roman" w:hAnsi="Times New Roman" w:cs="Times New Roman"/>
            <w:sz w:val="32"/>
            <w:szCs w:val="32"/>
          </w:rPr>
          <w:instrText>PAGE   \* MERGEFORMAT</w:instrText>
        </w:r>
        <w:r w:rsidRPr="007F109C">
          <w:rPr>
            <w:rFonts w:ascii="Times New Roman" w:hAnsi="Times New Roman" w:cs="Times New Roman"/>
            <w:sz w:val="32"/>
            <w:szCs w:val="32"/>
          </w:rPr>
          <w:fldChar w:fldCharType="separate"/>
        </w:r>
        <w:r w:rsidRPr="007F109C">
          <w:rPr>
            <w:rFonts w:ascii="Times New Roman" w:hAnsi="Times New Roman" w:cs="Times New Roman"/>
            <w:noProof/>
            <w:sz w:val="32"/>
            <w:szCs w:val="32"/>
            <w:lang w:val="zh-CN"/>
          </w:rPr>
          <w:t>8</w:t>
        </w:r>
        <w:r w:rsidRPr="007F109C">
          <w:rPr>
            <w:rFonts w:ascii="Times New Roman" w:hAnsi="Times New Roman" w:cs="Times New Roman"/>
            <w:sz w:val="32"/>
            <w:szCs w:val="3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CCC47" w14:textId="77777777" w:rsidR="005D4398" w:rsidRDefault="005D4398">
      <w:r>
        <w:separator/>
      </w:r>
    </w:p>
  </w:footnote>
  <w:footnote w:type="continuationSeparator" w:id="0">
    <w:p w14:paraId="7DA977AA" w14:textId="77777777" w:rsidR="005D4398" w:rsidRDefault="005D43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85ACC"/>
    <w:multiLevelType w:val="hybridMultilevel"/>
    <w:tmpl w:val="6DDE48F2"/>
    <w:lvl w:ilvl="0" w:tplc="8E0C0C5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8063716"/>
    <w:multiLevelType w:val="hybridMultilevel"/>
    <w:tmpl w:val="63AAD9F8"/>
    <w:lvl w:ilvl="0" w:tplc="9B2C961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54A041DE"/>
    <w:multiLevelType w:val="hybridMultilevel"/>
    <w:tmpl w:val="240427C6"/>
    <w:lvl w:ilvl="0" w:tplc="6660E46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597E121B"/>
    <w:multiLevelType w:val="hybridMultilevel"/>
    <w:tmpl w:val="01DEFDF4"/>
    <w:lvl w:ilvl="0" w:tplc="89DEA994">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6277CB7A"/>
    <w:multiLevelType w:val="singleLevel"/>
    <w:tmpl w:val="6277CB7A"/>
    <w:lvl w:ilvl="0">
      <w:start w:val="12"/>
      <w:numFmt w:val="decimal"/>
      <w:suff w:val="nothing"/>
      <w:lvlText w:val="（%1）"/>
      <w:lvlJc w:val="left"/>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0AE"/>
    <w:rsid w:val="00001F13"/>
    <w:rsid w:val="00002D0B"/>
    <w:rsid w:val="000103A7"/>
    <w:rsid w:val="00014484"/>
    <w:rsid w:val="000144EB"/>
    <w:rsid w:val="0002036E"/>
    <w:rsid w:val="0003568D"/>
    <w:rsid w:val="00041852"/>
    <w:rsid w:val="00042763"/>
    <w:rsid w:val="000552B1"/>
    <w:rsid w:val="00061307"/>
    <w:rsid w:val="00063187"/>
    <w:rsid w:val="00065F68"/>
    <w:rsid w:val="00072B30"/>
    <w:rsid w:val="00082F8C"/>
    <w:rsid w:val="0008588F"/>
    <w:rsid w:val="000B42A5"/>
    <w:rsid w:val="000B5807"/>
    <w:rsid w:val="000D0567"/>
    <w:rsid w:val="000D3EAE"/>
    <w:rsid w:val="000D5173"/>
    <w:rsid w:val="000D7774"/>
    <w:rsid w:val="000E18CA"/>
    <w:rsid w:val="000E209D"/>
    <w:rsid w:val="000E7F18"/>
    <w:rsid w:val="000F16E5"/>
    <w:rsid w:val="00101BC0"/>
    <w:rsid w:val="00102EDF"/>
    <w:rsid w:val="0010733F"/>
    <w:rsid w:val="00114689"/>
    <w:rsid w:val="001214B0"/>
    <w:rsid w:val="0012447C"/>
    <w:rsid w:val="0013360E"/>
    <w:rsid w:val="00142C9C"/>
    <w:rsid w:val="0014577C"/>
    <w:rsid w:val="00157E07"/>
    <w:rsid w:val="001612CC"/>
    <w:rsid w:val="0016223F"/>
    <w:rsid w:val="00162E27"/>
    <w:rsid w:val="001638DB"/>
    <w:rsid w:val="001640AE"/>
    <w:rsid w:val="0017089E"/>
    <w:rsid w:val="00171945"/>
    <w:rsid w:val="0017618A"/>
    <w:rsid w:val="00177EA7"/>
    <w:rsid w:val="00181E87"/>
    <w:rsid w:val="00181F9D"/>
    <w:rsid w:val="00183E45"/>
    <w:rsid w:val="001847EC"/>
    <w:rsid w:val="00185E9B"/>
    <w:rsid w:val="0019198B"/>
    <w:rsid w:val="00192AD4"/>
    <w:rsid w:val="001A2865"/>
    <w:rsid w:val="001A2BEE"/>
    <w:rsid w:val="001A5392"/>
    <w:rsid w:val="001A6138"/>
    <w:rsid w:val="001C0EC0"/>
    <w:rsid w:val="001C6FF6"/>
    <w:rsid w:val="001F0CA8"/>
    <w:rsid w:val="001F6460"/>
    <w:rsid w:val="00201AA2"/>
    <w:rsid w:val="00206BFE"/>
    <w:rsid w:val="00216149"/>
    <w:rsid w:val="0021701E"/>
    <w:rsid w:val="00221D40"/>
    <w:rsid w:val="002325BB"/>
    <w:rsid w:val="002335A1"/>
    <w:rsid w:val="00233F53"/>
    <w:rsid w:val="00247B30"/>
    <w:rsid w:val="00261029"/>
    <w:rsid w:val="00266EC5"/>
    <w:rsid w:val="00270C65"/>
    <w:rsid w:val="002746D8"/>
    <w:rsid w:val="00280206"/>
    <w:rsid w:val="002826E3"/>
    <w:rsid w:val="00283698"/>
    <w:rsid w:val="00284963"/>
    <w:rsid w:val="00296986"/>
    <w:rsid w:val="002B075B"/>
    <w:rsid w:val="002B1EA7"/>
    <w:rsid w:val="002B65D1"/>
    <w:rsid w:val="002B758A"/>
    <w:rsid w:val="002C0DE6"/>
    <w:rsid w:val="002C1B07"/>
    <w:rsid w:val="002C73B4"/>
    <w:rsid w:val="002D13EF"/>
    <w:rsid w:val="002D5461"/>
    <w:rsid w:val="002F63DF"/>
    <w:rsid w:val="00302B60"/>
    <w:rsid w:val="00304AFE"/>
    <w:rsid w:val="00306285"/>
    <w:rsid w:val="00313AC2"/>
    <w:rsid w:val="003207A1"/>
    <w:rsid w:val="00321E13"/>
    <w:rsid w:val="003367C9"/>
    <w:rsid w:val="003448D3"/>
    <w:rsid w:val="00367A12"/>
    <w:rsid w:val="003756A0"/>
    <w:rsid w:val="00381B03"/>
    <w:rsid w:val="00382585"/>
    <w:rsid w:val="0038577C"/>
    <w:rsid w:val="003932E4"/>
    <w:rsid w:val="003A1E4A"/>
    <w:rsid w:val="003A3B1B"/>
    <w:rsid w:val="003A4D83"/>
    <w:rsid w:val="003A7C9F"/>
    <w:rsid w:val="003B1F57"/>
    <w:rsid w:val="003C3C49"/>
    <w:rsid w:val="003C630B"/>
    <w:rsid w:val="003C6ABF"/>
    <w:rsid w:val="003D454E"/>
    <w:rsid w:val="003D4596"/>
    <w:rsid w:val="003D5629"/>
    <w:rsid w:val="003D7FD6"/>
    <w:rsid w:val="003E20CD"/>
    <w:rsid w:val="003E2F94"/>
    <w:rsid w:val="003F395B"/>
    <w:rsid w:val="003F6698"/>
    <w:rsid w:val="003F7533"/>
    <w:rsid w:val="00405B0D"/>
    <w:rsid w:val="004110E0"/>
    <w:rsid w:val="00413D16"/>
    <w:rsid w:val="00415501"/>
    <w:rsid w:val="0041589C"/>
    <w:rsid w:val="00415C4F"/>
    <w:rsid w:val="00416C03"/>
    <w:rsid w:val="004202BC"/>
    <w:rsid w:val="00422B0E"/>
    <w:rsid w:val="004353CB"/>
    <w:rsid w:val="0044305F"/>
    <w:rsid w:val="00443FF8"/>
    <w:rsid w:val="004461D8"/>
    <w:rsid w:val="00453C45"/>
    <w:rsid w:val="00457280"/>
    <w:rsid w:val="00457E9A"/>
    <w:rsid w:val="00461CD1"/>
    <w:rsid w:val="00461DEB"/>
    <w:rsid w:val="00462A99"/>
    <w:rsid w:val="00465F88"/>
    <w:rsid w:val="004715E1"/>
    <w:rsid w:val="0047352A"/>
    <w:rsid w:val="004821D1"/>
    <w:rsid w:val="004830E6"/>
    <w:rsid w:val="00487AC6"/>
    <w:rsid w:val="004964B3"/>
    <w:rsid w:val="004A4474"/>
    <w:rsid w:val="004B1437"/>
    <w:rsid w:val="004C167E"/>
    <w:rsid w:val="004C2226"/>
    <w:rsid w:val="004C73EB"/>
    <w:rsid w:val="004D0450"/>
    <w:rsid w:val="004D0D83"/>
    <w:rsid w:val="004D1551"/>
    <w:rsid w:val="004D1FED"/>
    <w:rsid w:val="004D478F"/>
    <w:rsid w:val="004D5B1E"/>
    <w:rsid w:val="004D7B7D"/>
    <w:rsid w:val="004E3C4E"/>
    <w:rsid w:val="004F0F1E"/>
    <w:rsid w:val="004F5A24"/>
    <w:rsid w:val="004F77CB"/>
    <w:rsid w:val="005055D0"/>
    <w:rsid w:val="00505730"/>
    <w:rsid w:val="00515916"/>
    <w:rsid w:val="00515F2B"/>
    <w:rsid w:val="00522DC7"/>
    <w:rsid w:val="00526C87"/>
    <w:rsid w:val="00535C1A"/>
    <w:rsid w:val="00567DEA"/>
    <w:rsid w:val="005704A0"/>
    <w:rsid w:val="00574A4E"/>
    <w:rsid w:val="00574CC4"/>
    <w:rsid w:val="005778AD"/>
    <w:rsid w:val="00586160"/>
    <w:rsid w:val="00587CDA"/>
    <w:rsid w:val="005919CA"/>
    <w:rsid w:val="0059472D"/>
    <w:rsid w:val="005B3B63"/>
    <w:rsid w:val="005C6F57"/>
    <w:rsid w:val="005D4398"/>
    <w:rsid w:val="005F0966"/>
    <w:rsid w:val="005F3026"/>
    <w:rsid w:val="005F4C2F"/>
    <w:rsid w:val="006048C1"/>
    <w:rsid w:val="006139ED"/>
    <w:rsid w:val="00613B68"/>
    <w:rsid w:val="00621B32"/>
    <w:rsid w:val="00626F36"/>
    <w:rsid w:val="00633E4E"/>
    <w:rsid w:val="006357DC"/>
    <w:rsid w:val="00636502"/>
    <w:rsid w:val="00637671"/>
    <w:rsid w:val="0064506B"/>
    <w:rsid w:val="006478CA"/>
    <w:rsid w:val="00647E95"/>
    <w:rsid w:val="006650FD"/>
    <w:rsid w:val="00667DF6"/>
    <w:rsid w:val="00672EB2"/>
    <w:rsid w:val="00674A66"/>
    <w:rsid w:val="006755EC"/>
    <w:rsid w:val="006768E8"/>
    <w:rsid w:val="00681079"/>
    <w:rsid w:val="00682118"/>
    <w:rsid w:val="006821A1"/>
    <w:rsid w:val="00682328"/>
    <w:rsid w:val="00684AEE"/>
    <w:rsid w:val="00692BED"/>
    <w:rsid w:val="006953F3"/>
    <w:rsid w:val="0069573C"/>
    <w:rsid w:val="006B7850"/>
    <w:rsid w:val="006C301B"/>
    <w:rsid w:val="006D61A2"/>
    <w:rsid w:val="006D64DD"/>
    <w:rsid w:val="006D7680"/>
    <w:rsid w:val="006E3E5D"/>
    <w:rsid w:val="006E709F"/>
    <w:rsid w:val="006E75CE"/>
    <w:rsid w:val="006F2D7E"/>
    <w:rsid w:val="006F4C71"/>
    <w:rsid w:val="007018FD"/>
    <w:rsid w:val="007050E3"/>
    <w:rsid w:val="00715D69"/>
    <w:rsid w:val="007231B5"/>
    <w:rsid w:val="0072601A"/>
    <w:rsid w:val="0073005A"/>
    <w:rsid w:val="00737715"/>
    <w:rsid w:val="00740513"/>
    <w:rsid w:val="0075121B"/>
    <w:rsid w:val="00754321"/>
    <w:rsid w:val="00755801"/>
    <w:rsid w:val="00760474"/>
    <w:rsid w:val="00765DD0"/>
    <w:rsid w:val="007662F4"/>
    <w:rsid w:val="00767705"/>
    <w:rsid w:val="00781ADE"/>
    <w:rsid w:val="00783AFA"/>
    <w:rsid w:val="007C4AB9"/>
    <w:rsid w:val="007C4C72"/>
    <w:rsid w:val="007C5F75"/>
    <w:rsid w:val="007D532E"/>
    <w:rsid w:val="007F109C"/>
    <w:rsid w:val="007F6F8C"/>
    <w:rsid w:val="008028C2"/>
    <w:rsid w:val="00803B8A"/>
    <w:rsid w:val="008103BF"/>
    <w:rsid w:val="008120C0"/>
    <w:rsid w:val="00831BBF"/>
    <w:rsid w:val="008348A7"/>
    <w:rsid w:val="00841081"/>
    <w:rsid w:val="00841910"/>
    <w:rsid w:val="00864416"/>
    <w:rsid w:val="0087056C"/>
    <w:rsid w:val="00874FB7"/>
    <w:rsid w:val="00875080"/>
    <w:rsid w:val="00884FE5"/>
    <w:rsid w:val="00891E64"/>
    <w:rsid w:val="008923BB"/>
    <w:rsid w:val="00895624"/>
    <w:rsid w:val="00896492"/>
    <w:rsid w:val="00896A89"/>
    <w:rsid w:val="00897A65"/>
    <w:rsid w:val="008A512A"/>
    <w:rsid w:val="008B348F"/>
    <w:rsid w:val="008B687D"/>
    <w:rsid w:val="008C7C5E"/>
    <w:rsid w:val="008D609A"/>
    <w:rsid w:val="008D7690"/>
    <w:rsid w:val="008E1C83"/>
    <w:rsid w:val="008E4701"/>
    <w:rsid w:val="008E506D"/>
    <w:rsid w:val="008F6DB7"/>
    <w:rsid w:val="009030B1"/>
    <w:rsid w:val="0090445C"/>
    <w:rsid w:val="0091701F"/>
    <w:rsid w:val="009174E7"/>
    <w:rsid w:val="009178AF"/>
    <w:rsid w:val="00920213"/>
    <w:rsid w:val="009236A6"/>
    <w:rsid w:val="00924588"/>
    <w:rsid w:val="00924B5A"/>
    <w:rsid w:val="00925D17"/>
    <w:rsid w:val="009271A6"/>
    <w:rsid w:val="009369FC"/>
    <w:rsid w:val="0094010B"/>
    <w:rsid w:val="0094375F"/>
    <w:rsid w:val="00943CE3"/>
    <w:rsid w:val="00943D76"/>
    <w:rsid w:val="00947234"/>
    <w:rsid w:val="00954604"/>
    <w:rsid w:val="00957557"/>
    <w:rsid w:val="00970BE7"/>
    <w:rsid w:val="00994A8F"/>
    <w:rsid w:val="009A2992"/>
    <w:rsid w:val="009A42DB"/>
    <w:rsid w:val="009A6D6C"/>
    <w:rsid w:val="009A770F"/>
    <w:rsid w:val="009B12BC"/>
    <w:rsid w:val="009B6C22"/>
    <w:rsid w:val="009B7211"/>
    <w:rsid w:val="009B7B49"/>
    <w:rsid w:val="009C6D27"/>
    <w:rsid w:val="009E12C1"/>
    <w:rsid w:val="009E1A6E"/>
    <w:rsid w:val="009E440D"/>
    <w:rsid w:val="009F5FF8"/>
    <w:rsid w:val="00A12BFA"/>
    <w:rsid w:val="00A2199D"/>
    <w:rsid w:val="00A30B50"/>
    <w:rsid w:val="00A30FC0"/>
    <w:rsid w:val="00A35C74"/>
    <w:rsid w:val="00A37414"/>
    <w:rsid w:val="00A408D9"/>
    <w:rsid w:val="00A5052B"/>
    <w:rsid w:val="00A51A0D"/>
    <w:rsid w:val="00A55D21"/>
    <w:rsid w:val="00A601F8"/>
    <w:rsid w:val="00A734D0"/>
    <w:rsid w:val="00A75027"/>
    <w:rsid w:val="00A76B48"/>
    <w:rsid w:val="00A80808"/>
    <w:rsid w:val="00A95728"/>
    <w:rsid w:val="00AA453A"/>
    <w:rsid w:val="00AA4C3E"/>
    <w:rsid w:val="00AA78E9"/>
    <w:rsid w:val="00AB4F10"/>
    <w:rsid w:val="00AB7970"/>
    <w:rsid w:val="00AC1C21"/>
    <w:rsid w:val="00AC507B"/>
    <w:rsid w:val="00AC5545"/>
    <w:rsid w:val="00AC795C"/>
    <w:rsid w:val="00AD1C3D"/>
    <w:rsid w:val="00AE1570"/>
    <w:rsid w:val="00AE50FD"/>
    <w:rsid w:val="00AF3C79"/>
    <w:rsid w:val="00AF4355"/>
    <w:rsid w:val="00AF440A"/>
    <w:rsid w:val="00B03ABC"/>
    <w:rsid w:val="00B04A91"/>
    <w:rsid w:val="00B10ECE"/>
    <w:rsid w:val="00B165A0"/>
    <w:rsid w:val="00B400DD"/>
    <w:rsid w:val="00B47258"/>
    <w:rsid w:val="00B4743B"/>
    <w:rsid w:val="00B53634"/>
    <w:rsid w:val="00B558FF"/>
    <w:rsid w:val="00B61AAA"/>
    <w:rsid w:val="00B931FB"/>
    <w:rsid w:val="00B94445"/>
    <w:rsid w:val="00BA1661"/>
    <w:rsid w:val="00BB5E94"/>
    <w:rsid w:val="00BD4A0C"/>
    <w:rsid w:val="00BE7C9C"/>
    <w:rsid w:val="00BF1A74"/>
    <w:rsid w:val="00C00487"/>
    <w:rsid w:val="00C01276"/>
    <w:rsid w:val="00C04EA8"/>
    <w:rsid w:val="00C14D83"/>
    <w:rsid w:val="00C20F50"/>
    <w:rsid w:val="00C21D01"/>
    <w:rsid w:val="00C2232D"/>
    <w:rsid w:val="00C22B83"/>
    <w:rsid w:val="00C22FF6"/>
    <w:rsid w:val="00C24733"/>
    <w:rsid w:val="00C32873"/>
    <w:rsid w:val="00C3698E"/>
    <w:rsid w:val="00C36DC4"/>
    <w:rsid w:val="00C42951"/>
    <w:rsid w:val="00C43A6A"/>
    <w:rsid w:val="00C44A38"/>
    <w:rsid w:val="00C50782"/>
    <w:rsid w:val="00C523D2"/>
    <w:rsid w:val="00C55C1B"/>
    <w:rsid w:val="00C81AB0"/>
    <w:rsid w:val="00C81B39"/>
    <w:rsid w:val="00C90261"/>
    <w:rsid w:val="00C919FE"/>
    <w:rsid w:val="00CA2B87"/>
    <w:rsid w:val="00CA39CB"/>
    <w:rsid w:val="00CA3C78"/>
    <w:rsid w:val="00CA7587"/>
    <w:rsid w:val="00CB0F78"/>
    <w:rsid w:val="00CB4855"/>
    <w:rsid w:val="00CC1239"/>
    <w:rsid w:val="00CC1B1B"/>
    <w:rsid w:val="00CC1B5A"/>
    <w:rsid w:val="00CD1E00"/>
    <w:rsid w:val="00CD23E8"/>
    <w:rsid w:val="00CD36E7"/>
    <w:rsid w:val="00CE5AA0"/>
    <w:rsid w:val="00CE5BDA"/>
    <w:rsid w:val="00CE5F1D"/>
    <w:rsid w:val="00CF1AEE"/>
    <w:rsid w:val="00CF549E"/>
    <w:rsid w:val="00CF59DA"/>
    <w:rsid w:val="00CF7753"/>
    <w:rsid w:val="00D0294B"/>
    <w:rsid w:val="00D213DD"/>
    <w:rsid w:val="00D25470"/>
    <w:rsid w:val="00D4238D"/>
    <w:rsid w:val="00D43BE9"/>
    <w:rsid w:val="00D47837"/>
    <w:rsid w:val="00D52F0B"/>
    <w:rsid w:val="00D555EA"/>
    <w:rsid w:val="00D57685"/>
    <w:rsid w:val="00D668ED"/>
    <w:rsid w:val="00D822DB"/>
    <w:rsid w:val="00D829C2"/>
    <w:rsid w:val="00D82EE0"/>
    <w:rsid w:val="00DA48C5"/>
    <w:rsid w:val="00DB333E"/>
    <w:rsid w:val="00DC0591"/>
    <w:rsid w:val="00DC0856"/>
    <w:rsid w:val="00DD1767"/>
    <w:rsid w:val="00DD4BDE"/>
    <w:rsid w:val="00DD75B2"/>
    <w:rsid w:val="00DF0146"/>
    <w:rsid w:val="00DF0213"/>
    <w:rsid w:val="00DF11A9"/>
    <w:rsid w:val="00DF2909"/>
    <w:rsid w:val="00DF5B2E"/>
    <w:rsid w:val="00E00DDB"/>
    <w:rsid w:val="00E01484"/>
    <w:rsid w:val="00E05B8C"/>
    <w:rsid w:val="00E149D5"/>
    <w:rsid w:val="00E278C4"/>
    <w:rsid w:val="00E32584"/>
    <w:rsid w:val="00E35128"/>
    <w:rsid w:val="00E40EAF"/>
    <w:rsid w:val="00E44AD1"/>
    <w:rsid w:val="00E514CB"/>
    <w:rsid w:val="00E51C0A"/>
    <w:rsid w:val="00E54A4D"/>
    <w:rsid w:val="00E6338D"/>
    <w:rsid w:val="00E7085F"/>
    <w:rsid w:val="00E82D0F"/>
    <w:rsid w:val="00E85083"/>
    <w:rsid w:val="00E95CE6"/>
    <w:rsid w:val="00E95F49"/>
    <w:rsid w:val="00EA09A6"/>
    <w:rsid w:val="00EA26EA"/>
    <w:rsid w:val="00EB2C8A"/>
    <w:rsid w:val="00EB35A6"/>
    <w:rsid w:val="00EB6A77"/>
    <w:rsid w:val="00EB6B8F"/>
    <w:rsid w:val="00EC0D97"/>
    <w:rsid w:val="00EC6947"/>
    <w:rsid w:val="00ED5FDB"/>
    <w:rsid w:val="00EF0892"/>
    <w:rsid w:val="00EF26C2"/>
    <w:rsid w:val="00F04F97"/>
    <w:rsid w:val="00F0586E"/>
    <w:rsid w:val="00F063F4"/>
    <w:rsid w:val="00F12318"/>
    <w:rsid w:val="00F20F52"/>
    <w:rsid w:val="00F33608"/>
    <w:rsid w:val="00F749D2"/>
    <w:rsid w:val="00F763D7"/>
    <w:rsid w:val="00F907C7"/>
    <w:rsid w:val="00F90B76"/>
    <w:rsid w:val="00F97EF0"/>
    <w:rsid w:val="00FA16D3"/>
    <w:rsid w:val="00FA6C50"/>
    <w:rsid w:val="00FC40D8"/>
    <w:rsid w:val="00FD1D80"/>
    <w:rsid w:val="00FD4250"/>
    <w:rsid w:val="00FD7657"/>
    <w:rsid w:val="00FD793F"/>
    <w:rsid w:val="00FE0698"/>
    <w:rsid w:val="00FE13FD"/>
    <w:rsid w:val="00FF1A5F"/>
    <w:rsid w:val="00FF2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56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0AE"/>
    <w:pPr>
      <w:widowControl w:val="0"/>
      <w:jc w:val="both"/>
    </w:pPr>
  </w:style>
  <w:style w:type="paragraph" w:styleId="1">
    <w:name w:val="heading 1"/>
    <w:basedOn w:val="a"/>
    <w:next w:val="a"/>
    <w:link w:val="1Char"/>
    <w:uiPriority w:val="9"/>
    <w:qFormat/>
    <w:rsid w:val="001640A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640A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640A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1640AE"/>
    <w:rPr>
      <w:b/>
      <w:bCs/>
      <w:kern w:val="44"/>
      <w:sz w:val="44"/>
      <w:szCs w:val="44"/>
    </w:rPr>
  </w:style>
  <w:style w:type="character" w:customStyle="1" w:styleId="2Char">
    <w:name w:val="标题 2 Char"/>
    <w:basedOn w:val="a0"/>
    <w:link w:val="2"/>
    <w:uiPriority w:val="9"/>
    <w:qFormat/>
    <w:rsid w:val="001640AE"/>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1640AE"/>
    <w:rPr>
      <w:b/>
      <w:bCs/>
      <w:sz w:val="32"/>
      <w:szCs w:val="32"/>
    </w:rPr>
  </w:style>
  <w:style w:type="paragraph" w:styleId="a3">
    <w:name w:val="annotation text"/>
    <w:basedOn w:val="a"/>
    <w:link w:val="Char"/>
    <w:uiPriority w:val="99"/>
    <w:unhideWhenUsed/>
    <w:rsid w:val="001640AE"/>
    <w:pPr>
      <w:jc w:val="left"/>
    </w:pPr>
  </w:style>
  <w:style w:type="character" w:customStyle="1" w:styleId="Char">
    <w:name w:val="批注文字 Char"/>
    <w:basedOn w:val="a0"/>
    <w:link w:val="a3"/>
    <w:uiPriority w:val="99"/>
    <w:rsid w:val="001640AE"/>
  </w:style>
  <w:style w:type="paragraph" w:styleId="30">
    <w:name w:val="toc 3"/>
    <w:basedOn w:val="a"/>
    <w:next w:val="a"/>
    <w:uiPriority w:val="39"/>
    <w:unhideWhenUsed/>
    <w:qFormat/>
    <w:rsid w:val="001640AE"/>
    <w:pPr>
      <w:widowControl/>
      <w:spacing w:after="100" w:line="259" w:lineRule="auto"/>
      <w:ind w:left="440"/>
      <w:jc w:val="left"/>
    </w:pPr>
    <w:rPr>
      <w:rFonts w:cs="Times New Roman"/>
      <w:kern w:val="0"/>
      <w:sz w:val="22"/>
    </w:rPr>
  </w:style>
  <w:style w:type="paragraph" w:styleId="a4">
    <w:name w:val="Plain Text"/>
    <w:basedOn w:val="a"/>
    <w:link w:val="Char0"/>
    <w:qFormat/>
    <w:rsid w:val="001640AE"/>
    <w:pPr>
      <w:widowControl/>
      <w:spacing w:line="400" w:lineRule="atLeast"/>
      <w:jc w:val="left"/>
    </w:pPr>
    <w:rPr>
      <w:rFonts w:ascii="宋体" w:hAnsi="Courier New" w:cs="宋体" w:hint="eastAsia"/>
      <w:szCs w:val="21"/>
    </w:rPr>
  </w:style>
  <w:style w:type="character" w:customStyle="1" w:styleId="Char0">
    <w:name w:val="纯文本 Char"/>
    <w:basedOn w:val="a0"/>
    <w:link w:val="a4"/>
    <w:qFormat/>
    <w:rsid w:val="001640AE"/>
    <w:rPr>
      <w:rFonts w:ascii="宋体" w:hAnsi="Courier New" w:cs="宋体"/>
      <w:szCs w:val="21"/>
    </w:rPr>
  </w:style>
  <w:style w:type="paragraph" w:styleId="a5">
    <w:name w:val="Balloon Text"/>
    <w:basedOn w:val="a"/>
    <w:link w:val="Char1"/>
    <w:uiPriority w:val="99"/>
    <w:semiHidden/>
    <w:unhideWhenUsed/>
    <w:qFormat/>
    <w:rsid w:val="001640AE"/>
    <w:rPr>
      <w:sz w:val="18"/>
      <w:szCs w:val="18"/>
    </w:rPr>
  </w:style>
  <w:style w:type="character" w:customStyle="1" w:styleId="Char1">
    <w:name w:val="批注框文本 Char"/>
    <w:basedOn w:val="a0"/>
    <w:link w:val="a5"/>
    <w:uiPriority w:val="99"/>
    <w:semiHidden/>
    <w:qFormat/>
    <w:rsid w:val="001640AE"/>
    <w:rPr>
      <w:sz w:val="18"/>
      <w:szCs w:val="18"/>
    </w:rPr>
  </w:style>
  <w:style w:type="paragraph" w:styleId="a6">
    <w:name w:val="footer"/>
    <w:basedOn w:val="a"/>
    <w:link w:val="Char2"/>
    <w:uiPriority w:val="99"/>
    <w:unhideWhenUsed/>
    <w:rsid w:val="001640AE"/>
    <w:pPr>
      <w:tabs>
        <w:tab w:val="center" w:pos="4153"/>
        <w:tab w:val="right" w:pos="8306"/>
      </w:tabs>
      <w:snapToGrid w:val="0"/>
      <w:jc w:val="left"/>
    </w:pPr>
    <w:rPr>
      <w:sz w:val="18"/>
      <w:szCs w:val="18"/>
    </w:rPr>
  </w:style>
  <w:style w:type="character" w:customStyle="1" w:styleId="Char2">
    <w:name w:val="页脚 Char"/>
    <w:basedOn w:val="a0"/>
    <w:link w:val="a6"/>
    <w:uiPriority w:val="99"/>
    <w:rsid w:val="001640AE"/>
    <w:rPr>
      <w:sz w:val="18"/>
      <w:szCs w:val="18"/>
    </w:rPr>
  </w:style>
  <w:style w:type="paragraph" w:styleId="a7">
    <w:name w:val="header"/>
    <w:basedOn w:val="a"/>
    <w:link w:val="Char3"/>
    <w:uiPriority w:val="99"/>
    <w:unhideWhenUsed/>
    <w:qFormat/>
    <w:rsid w:val="001640AE"/>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qFormat/>
    <w:rsid w:val="001640AE"/>
    <w:rPr>
      <w:sz w:val="18"/>
      <w:szCs w:val="18"/>
    </w:rPr>
  </w:style>
  <w:style w:type="paragraph" w:styleId="10">
    <w:name w:val="toc 1"/>
    <w:basedOn w:val="a"/>
    <w:next w:val="a"/>
    <w:uiPriority w:val="39"/>
    <w:unhideWhenUsed/>
    <w:qFormat/>
    <w:rsid w:val="001640AE"/>
    <w:pPr>
      <w:widowControl/>
      <w:spacing w:after="100" w:line="259" w:lineRule="auto"/>
      <w:jc w:val="left"/>
    </w:pPr>
    <w:rPr>
      <w:rFonts w:cs="Times New Roman"/>
      <w:kern w:val="0"/>
      <w:sz w:val="22"/>
    </w:rPr>
  </w:style>
  <w:style w:type="paragraph" w:styleId="20">
    <w:name w:val="toc 2"/>
    <w:basedOn w:val="a"/>
    <w:next w:val="a"/>
    <w:uiPriority w:val="39"/>
    <w:unhideWhenUsed/>
    <w:qFormat/>
    <w:rsid w:val="001640AE"/>
    <w:pPr>
      <w:widowControl/>
      <w:spacing w:after="100" w:line="259" w:lineRule="auto"/>
      <w:ind w:left="220"/>
      <w:jc w:val="left"/>
    </w:pPr>
    <w:rPr>
      <w:rFonts w:cs="Times New Roman"/>
      <w:kern w:val="0"/>
      <w:sz w:val="22"/>
    </w:rPr>
  </w:style>
  <w:style w:type="paragraph" w:styleId="a8">
    <w:name w:val="annotation subject"/>
    <w:basedOn w:val="a3"/>
    <w:next w:val="a3"/>
    <w:link w:val="Char4"/>
    <w:uiPriority w:val="99"/>
    <w:semiHidden/>
    <w:unhideWhenUsed/>
    <w:rsid w:val="001640AE"/>
    <w:rPr>
      <w:b/>
      <w:bCs/>
    </w:rPr>
  </w:style>
  <w:style w:type="character" w:customStyle="1" w:styleId="Char4">
    <w:name w:val="批注主题 Char"/>
    <w:basedOn w:val="Char"/>
    <w:link w:val="a8"/>
    <w:uiPriority w:val="99"/>
    <w:semiHidden/>
    <w:rsid w:val="001640AE"/>
    <w:rPr>
      <w:b/>
      <w:bCs/>
    </w:rPr>
  </w:style>
  <w:style w:type="table" w:styleId="a9">
    <w:name w:val="Table Grid"/>
    <w:basedOn w:val="a1"/>
    <w:uiPriority w:val="59"/>
    <w:qFormat/>
    <w:rsid w:val="001640A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1640AE"/>
    <w:rPr>
      <w:color w:val="0563C1" w:themeColor="hyperlink"/>
      <w:u w:val="single"/>
    </w:rPr>
  </w:style>
  <w:style w:type="character" w:styleId="ab">
    <w:name w:val="annotation reference"/>
    <w:basedOn w:val="a0"/>
    <w:uiPriority w:val="99"/>
    <w:semiHidden/>
    <w:unhideWhenUsed/>
    <w:rsid w:val="001640AE"/>
    <w:rPr>
      <w:sz w:val="21"/>
      <w:szCs w:val="21"/>
    </w:rPr>
  </w:style>
  <w:style w:type="paragraph" w:customStyle="1" w:styleId="31">
    <w:name w:val="立信附注正文 [3级]"/>
    <w:link w:val="3Char0"/>
    <w:qFormat/>
    <w:rsid w:val="001640AE"/>
    <w:pPr>
      <w:widowControl w:val="0"/>
      <w:tabs>
        <w:tab w:val="left" w:pos="0"/>
      </w:tabs>
      <w:adjustRightInd w:val="0"/>
      <w:snapToGrid w:val="0"/>
      <w:spacing w:line="400" w:lineRule="atLeast"/>
      <w:ind w:left="1276"/>
      <w:jc w:val="both"/>
    </w:pPr>
    <w:rPr>
      <w:rFonts w:ascii="Times New Roman" w:eastAsia="宋体" w:hAnsi="Times New Roman" w:cs="Times New Roman"/>
      <w:color w:val="000000"/>
    </w:rPr>
  </w:style>
  <w:style w:type="character" w:customStyle="1" w:styleId="3Char0">
    <w:name w:val="立信附注正文 [3级] Char"/>
    <w:basedOn w:val="a0"/>
    <w:link w:val="31"/>
    <w:rsid w:val="001640AE"/>
    <w:rPr>
      <w:rFonts w:ascii="Times New Roman" w:eastAsia="宋体" w:hAnsi="Times New Roman" w:cs="Times New Roman"/>
      <w:color w:val="000000"/>
    </w:rPr>
  </w:style>
  <w:style w:type="paragraph" w:customStyle="1" w:styleId="21">
    <w:name w:val="立信附注正文 [2级]"/>
    <w:link w:val="2Char0"/>
    <w:rsid w:val="001640AE"/>
    <w:pPr>
      <w:widowControl w:val="0"/>
      <w:tabs>
        <w:tab w:val="left" w:pos="0"/>
      </w:tabs>
      <w:adjustRightInd w:val="0"/>
      <w:snapToGrid w:val="0"/>
      <w:spacing w:line="400" w:lineRule="atLeast"/>
      <w:ind w:left="714"/>
      <w:jc w:val="both"/>
    </w:pPr>
    <w:rPr>
      <w:rFonts w:ascii="Times New Roman" w:eastAsia="宋体" w:hAnsi="Times New Roman" w:cs="Times New Roman"/>
      <w:color w:val="000000"/>
    </w:rPr>
  </w:style>
  <w:style w:type="character" w:customStyle="1" w:styleId="2Char0">
    <w:name w:val="立信附注正文 [2级] Char"/>
    <w:basedOn w:val="a0"/>
    <w:link w:val="21"/>
    <w:qFormat/>
    <w:rsid w:val="001640AE"/>
    <w:rPr>
      <w:rFonts w:ascii="Times New Roman" w:eastAsia="宋体" w:hAnsi="Times New Roman" w:cs="Times New Roman"/>
      <w:color w:val="000000"/>
    </w:rPr>
  </w:style>
  <w:style w:type="table" w:customStyle="1" w:styleId="ac">
    <w:name w:val="立信年报表格"/>
    <w:basedOn w:val="a1"/>
    <w:rsid w:val="001640AE"/>
    <w:pPr>
      <w:jc w:val="both"/>
    </w:pPr>
    <w:rPr>
      <w:rFonts w:ascii="Times New Roman" w:eastAsia="宋体" w:hAnsi="Times New Roman" w:cs="Times New Roman"/>
      <w:color w:val="000000"/>
      <w:kern w:val="0"/>
      <w:sz w:val="18"/>
      <w:szCs w:val="20"/>
    </w:rPr>
    <w:tblPr>
      <w:tblInd w:w="0" w:type="dxa"/>
      <w:tblBorders>
        <w:top w:val="single" w:sz="12" w:space="0" w:color="auto"/>
        <w:bottom w:val="single" w:sz="12" w:space="0" w:color="auto"/>
        <w:insideH w:val="dotted" w:sz="4" w:space="0" w:color="auto"/>
        <w:insideV w:val="dotted" w:sz="4" w:space="0" w:color="auto"/>
      </w:tblBorders>
      <w:tblCellMar>
        <w:top w:w="0" w:type="dxa"/>
        <w:left w:w="108" w:type="dxa"/>
        <w:bottom w:w="0" w:type="dxa"/>
        <w:right w:w="108" w:type="dxa"/>
      </w:tblCellMar>
    </w:tblPr>
    <w:tcPr>
      <w:shd w:val="clear" w:color="auto" w:fill="auto"/>
    </w:tcPr>
    <w:tblStylePr w:type="firstRow">
      <w:pPr>
        <w:spacing w:line="400" w:lineRule="atLeast"/>
      </w:pPr>
    </w:tblStylePr>
    <w:tblStylePr w:type="lastRow">
      <w:pPr>
        <w:spacing w:line="400" w:lineRule="atLeast"/>
      </w:pPr>
    </w:tblStylePr>
    <w:tblStylePr w:type="firstCol">
      <w:pPr>
        <w:spacing w:line="400" w:lineRule="atLeast"/>
      </w:pPr>
    </w:tblStylePr>
    <w:tblStylePr w:type="band1Vert">
      <w:pPr>
        <w:spacing w:line="400" w:lineRule="atLeast"/>
      </w:pPr>
    </w:tblStylePr>
    <w:tblStylePr w:type="band2Vert">
      <w:pPr>
        <w:spacing w:line="400" w:lineRule="atLeast"/>
      </w:pPr>
    </w:tblStylePr>
    <w:tblStylePr w:type="band1Horz">
      <w:pPr>
        <w:spacing w:line="400" w:lineRule="atLeast"/>
      </w:pPr>
    </w:tblStylePr>
    <w:tblStylePr w:type="band2Horz">
      <w:pPr>
        <w:spacing w:line="400" w:lineRule="atLeast"/>
      </w:pPr>
    </w:tblStylePr>
    <w:tblStylePr w:type="neCell">
      <w:pPr>
        <w:spacing w:line="400" w:lineRule="atLeast"/>
      </w:pPr>
    </w:tblStylePr>
    <w:tblStylePr w:type="nwCell">
      <w:pPr>
        <w:spacing w:line="400" w:lineRule="atLeast"/>
      </w:pPr>
    </w:tblStylePr>
    <w:tblStylePr w:type="seCell">
      <w:pPr>
        <w:spacing w:line="400" w:lineRule="atLeast"/>
      </w:pPr>
    </w:tblStylePr>
    <w:tblStylePr w:type="swCell">
      <w:pPr>
        <w:spacing w:line="400" w:lineRule="atLeast"/>
      </w:pPr>
    </w:tblStylePr>
  </w:style>
  <w:style w:type="table" w:customStyle="1" w:styleId="22">
    <w:name w:val="立信年报表格 [2级]"/>
    <w:basedOn w:val="a1"/>
    <w:qFormat/>
    <w:rsid w:val="001640AE"/>
    <w:pPr>
      <w:jc w:val="both"/>
    </w:pPr>
    <w:rPr>
      <w:rFonts w:ascii="Times New Roman" w:eastAsia="宋体" w:hAnsi="Times New Roman" w:cs="Times New Roman"/>
      <w:color w:val="000000"/>
      <w:kern w:val="0"/>
      <w:sz w:val="18"/>
      <w:szCs w:val="20"/>
    </w:rPr>
    <w:tblPr>
      <w:tblInd w:w="0" w:type="dxa"/>
      <w:tblBorders>
        <w:top w:val="single" w:sz="12" w:space="0" w:color="auto"/>
        <w:bottom w:val="single" w:sz="12" w:space="0" w:color="auto"/>
        <w:insideH w:val="dotted" w:sz="4" w:space="0" w:color="auto"/>
        <w:insideV w:val="dotted" w:sz="4" w:space="0" w:color="auto"/>
      </w:tblBorders>
      <w:tblCellMar>
        <w:top w:w="0" w:type="dxa"/>
        <w:left w:w="108" w:type="dxa"/>
        <w:bottom w:w="0" w:type="dxa"/>
        <w:right w:w="108" w:type="dxa"/>
      </w:tblCellMar>
    </w:tblPr>
    <w:tcPr>
      <w:shd w:val="clear" w:color="auto" w:fill="auto"/>
    </w:tcPr>
    <w:tblStylePr w:type="firstRow">
      <w:pPr>
        <w:spacing w:line="400" w:lineRule="atLeast"/>
      </w:pPr>
    </w:tblStylePr>
    <w:tblStylePr w:type="lastRow">
      <w:pPr>
        <w:spacing w:line="400" w:lineRule="atLeast"/>
      </w:pPr>
    </w:tblStylePr>
    <w:tblStylePr w:type="firstCol">
      <w:pPr>
        <w:spacing w:line="400" w:lineRule="atLeast"/>
      </w:pPr>
    </w:tblStylePr>
    <w:tblStylePr w:type="band1Vert">
      <w:pPr>
        <w:spacing w:line="400" w:lineRule="atLeast"/>
      </w:pPr>
    </w:tblStylePr>
    <w:tblStylePr w:type="band2Vert">
      <w:pPr>
        <w:spacing w:line="400" w:lineRule="atLeast"/>
      </w:pPr>
    </w:tblStylePr>
    <w:tblStylePr w:type="band1Horz">
      <w:pPr>
        <w:spacing w:line="400" w:lineRule="atLeast"/>
      </w:pPr>
    </w:tblStylePr>
    <w:tblStylePr w:type="band2Horz">
      <w:pPr>
        <w:spacing w:line="400" w:lineRule="atLeast"/>
      </w:pPr>
    </w:tblStylePr>
    <w:tblStylePr w:type="neCell">
      <w:pPr>
        <w:spacing w:line="400" w:lineRule="atLeast"/>
      </w:pPr>
    </w:tblStylePr>
    <w:tblStylePr w:type="nwCell">
      <w:pPr>
        <w:spacing w:line="400" w:lineRule="atLeast"/>
      </w:pPr>
    </w:tblStylePr>
    <w:tblStylePr w:type="seCell">
      <w:pPr>
        <w:spacing w:line="400" w:lineRule="atLeast"/>
      </w:pPr>
    </w:tblStylePr>
    <w:tblStylePr w:type="swCell">
      <w:pPr>
        <w:spacing w:line="400" w:lineRule="atLeast"/>
      </w:pPr>
    </w:tblStylePr>
  </w:style>
  <w:style w:type="paragraph" w:styleId="ad">
    <w:name w:val="List Paragraph"/>
    <w:basedOn w:val="a"/>
    <w:uiPriority w:val="34"/>
    <w:qFormat/>
    <w:rsid w:val="001640AE"/>
    <w:pPr>
      <w:ind w:firstLineChars="200" w:firstLine="420"/>
    </w:pPr>
  </w:style>
  <w:style w:type="character" w:customStyle="1" w:styleId="Other1">
    <w:name w:val="Other|1_"/>
    <w:basedOn w:val="a0"/>
    <w:link w:val="Other10"/>
    <w:rsid w:val="001640AE"/>
    <w:rPr>
      <w:rFonts w:ascii="宋体" w:eastAsia="宋体" w:hAnsi="宋体" w:cs="宋体"/>
      <w:color w:val="262626"/>
      <w:lang w:val="zh-TW" w:eastAsia="zh-TW" w:bidi="zh-TW"/>
    </w:rPr>
  </w:style>
  <w:style w:type="paragraph" w:customStyle="1" w:styleId="Other10">
    <w:name w:val="Other|1"/>
    <w:basedOn w:val="a"/>
    <w:link w:val="Other1"/>
    <w:rsid w:val="001640AE"/>
    <w:pPr>
      <w:spacing w:line="480" w:lineRule="auto"/>
      <w:ind w:firstLine="400"/>
      <w:jc w:val="left"/>
    </w:pPr>
    <w:rPr>
      <w:rFonts w:ascii="宋体" w:eastAsia="宋体" w:hAnsi="宋体" w:cs="宋体"/>
      <w:color w:val="262626"/>
      <w:lang w:val="zh-TW" w:eastAsia="zh-TW" w:bidi="zh-TW"/>
    </w:rPr>
  </w:style>
  <w:style w:type="character" w:customStyle="1" w:styleId="11">
    <w:name w:val="未处理的提及1"/>
    <w:basedOn w:val="a0"/>
    <w:uiPriority w:val="99"/>
    <w:semiHidden/>
    <w:unhideWhenUsed/>
    <w:rsid w:val="001640AE"/>
    <w:rPr>
      <w:color w:val="605E5C"/>
      <w:shd w:val="clear" w:color="auto" w:fill="E1DFDD"/>
    </w:rPr>
  </w:style>
  <w:style w:type="paragraph" w:customStyle="1" w:styleId="TOC1">
    <w:name w:val="TOC 标题1"/>
    <w:basedOn w:val="1"/>
    <w:next w:val="a"/>
    <w:uiPriority w:val="39"/>
    <w:unhideWhenUsed/>
    <w:qFormat/>
    <w:rsid w:val="001640AE"/>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ae">
    <w:name w:val="È¡ÀÊ¡ÎÄ¡À¾"/>
    <w:basedOn w:val="a"/>
    <w:uiPriority w:val="99"/>
    <w:qFormat/>
    <w:rsid w:val="001640AE"/>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paragraph" w:styleId="af">
    <w:name w:val="Revision"/>
    <w:hidden/>
    <w:uiPriority w:val="99"/>
    <w:semiHidden/>
    <w:rsid w:val="001640AE"/>
  </w:style>
  <w:style w:type="character" w:customStyle="1" w:styleId="23">
    <w:name w:val="未处理的提及2"/>
    <w:basedOn w:val="a0"/>
    <w:uiPriority w:val="99"/>
    <w:semiHidden/>
    <w:unhideWhenUsed/>
    <w:rsid w:val="001640AE"/>
    <w:rPr>
      <w:color w:val="605E5C"/>
      <w:shd w:val="clear" w:color="auto" w:fill="E1DFDD"/>
    </w:rPr>
  </w:style>
  <w:style w:type="paragraph" w:styleId="af0">
    <w:name w:val="Title"/>
    <w:basedOn w:val="a"/>
    <w:next w:val="a"/>
    <w:link w:val="Char5"/>
    <w:qFormat/>
    <w:rsid w:val="001640AE"/>
    <w:pPr>
      <w:spacing w:before="240" w:after="60"/>
      <w:jc w:val="center"/>
      <w:outlineLvl w:val="0"/>
    </w:pPr>
    <w:rPr>
      <w:rFonts w:ascii="Cambria" w:eastAsia="宋体" w:hAnsi="Cambria" w:cs="Times New Roman"/>
      <w:b/>
      <w:bCs/>
      <w:sz w:val="32"/>
      <w:szCs w:val="32"/>
    </w:rPr>
  </w:style>
  <w:style w:type="character" w:customStyle="1" w:styleId="af1">
    <w:name w:val="标题 字符"/>
    <w:basedOn w:val="a0"/>
    <w:uiPriority w:val="10"/>
    <w:rsid w:val="001640AE"/>
    <w:rPr>
      <w:rFonts w:asciiTheme="majorHAnsi" w:eastAsiaTheme="majorEastAsia" w:hAnsiTheme="majorHAnsi" w:cstheme="majorBidi"/>
      <w:b/>
      <w:bCs/>
      <w:sz w:val="32"/>
      <w:szCs w:val="32"/>
    </w:rPr>
  </w:style>
  <w:style w:type="character" w:customStyle="1" w:styleId="Char5">
    <w:name w:val="标题 Char"/>
    <w:link w:val="af0"/>
    <w:rsid w:val="001640AE"/>
    <w:rPr>
      <w:rFonts w:ascii="Cambria" w:eastAsia="宋体" w:hAnsi="Cambria"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0AE"/>
    <w:pPr>
      <w:widowControl w:val="0"/>
      <w:jc w:val="both"/>
    </w:pPr>
  </w:style>
  <w:style w:type="paragraph" w:styleId="1">
    <w:name w:val="heading 1"/>
    <w:basedOn w:val="a"/>
    <w:next w:val="a"/>
    <w:link w:val="1Char"/>
    <w:uiPriority w:val="9"/>
    <w:qFormat/>
    <w:rsid w:val="001640A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640A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640A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1640AE"/>
    <w:rPr>
      <w:b/>
      <w:bCs/>
      <w:kern w:val="44"/>
      <w:sz w:val="44"/>
      <w:szCs w:val="44"/>
    </w:rPr>
  </w:style>
  <w:style w:type="character" w:customStyle="1" w:styleId="2Char">
    <w:name w:val="标题 2 Char"/>
    <w:basedOn w:val="a0"/>
    <w:link w:val="2"/>
    <w:uiPriority w:val="9"/>
    <w:qFormat/>
    <w:rsid w:val="001640AE"/>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1640AE"/>
    <w:rPr>
      <w:b/>
      <w:bCs/>
      <w:sz w:val="32"/>
      <w:szCs w:val="32"/>
    </w:rPr>
  </w:style>
  <w:style w:type="paragraph" w:styleId="a3">
    <w:name w:val="annotation text"/>
    <w:basedOn w:val="a"/>
    <w:link w:val="Char"/>
    <w:uiPriority w:val="99"/>
    <w:unhideWhenUsed/>
    <w:rsid w:val="001640AE"/>
    <w:pPr>
      <w:jc w:val="left"/>
    </w:pPr>
  </w:style>
  <w:style w:type="character" w:customStyle="1" w:styleId="Char">
    <w:name w:val="批注文字 Char"/>
    <w:basedOn w:val="a0"/>
    <w:link w:val="a3"/>
    <w:uiPriority w:val="99"/>
    <w:rsid w:val="001640AE"/>
  </w:style>
  <w:style w:type="paragraph" w:styleId="30">
    <w:name w:val="toc 3"/>
    <w:basedOn w:val="a"/>
    <w:next w:val="a"/>
    <w:uiPriority w:val="39"/>
    <w:unhideWhenUsed/>
    <w:qFormat/>
    <w:rsid w:val="001640AE"/>
    <w:pPr>
      <w:widowControl/>
      <w:spacing w:after="100" w:line="259" w:lineRule="auto"/>
      <w:ind w:left="440"/>
      <w:jc w:val="left"/>
    </w:pPr>
    <w:rPr>
      <w:rFonts w:cs="Times New Roman"/>
      <w:kern w:val="0"/>
      <w:sz w:val="22"/>
    </w:rPr>
  </w:style>
  <w:style w:type="paragraph" w:styleId="a4">
    <w:name w:val="Plain Text"/>
    <w:basedOn w:val="a"/>
    <w:link w:val="Char0"/>
    <w:qFormat/>
    <w:rsid w:val="001640AE"/>
    <w:pPr>
      <w:widowControl/>
      <w:spacing w:line="400" w:lineRule="atLeast"/>
      <w:jc w:val="left"/>
    </w:pPr>
    <w:rPr>
      <w:rFonts w:ascii="宋体" w:hAnsi="Courier New" w:cs="宋体" w:hint="eastAsia"/>
      <w:szCs w:val="21"/>
    </w:rPr>
  </w:style>
  <w:style w:type="character" w:customStyle="1" w:styleId="Char0">
    <w:name w:val="纯文本 Char"/>
    <w:basedOn w:val="a0"/>
    <w:link w:val="a4"/>
    <w:qFormat/>
    <w:rsid w:val="001640AE"/>
    <w:rPr>
      <w:rFonts w:ascii="宋体" w:hAnsi="Courier New" w:cs="宋体"/>
      <w:szCs w:val="21"/>
    </w:rPr>
  </w:style>
  <w:style w:type="paragraph" w:styleId="a5">
    <w:name w:val="Balloon Text"/>
    <w:basedOn w:val="a"/>
    <w:link w:val="Char1"/>
    <w:uiPriority w:val="99"/>
    <w:semiHidden/>
    <w:unhideWhenUsed/>
    <w:qFormat/>
    <w:rsid w:val="001640AE"/>
    <w:rPr>
      <w:sz w:val="18"/>
      <w:szCs w:val="18"/>
    </w:rPr>
  </w:style>
  <w:style w:type="character" w:customStyle="1" w:styleId="Char1">
    <w:name w:val="批注框文本 Char"/>
    <w:basedOn w:val="a0"/>
    <w:link w:val="a5"/>
    <w:uiPriority w:val="99"/>
    <w:semiHidden/>
    <w:qFormat/>
    <w:rsid w:val="001640AE"/>
    <w:rPr>
      <w:sz w:val="18"/>
      <w:szCs w:val="18"/>
    </w:rPr>
  </w:style>
  <w:style w:type="paragraph" w:styleId="a6">
    <w:name w:val="footer"/>
    <w:basedOn w:val="a"/>
    <w:link w:val="Char2"/>
    <w:uiPriority w:val="99"/>
    <w:unhideWhenUsed/>
    <w:rsid w:val="001640AE"/>
    <w:pPr>
      <w:tabs>
        <w:tab w:val="center" w:pos="4153"/>
        <w:tab w:val="right" w:pos="8306"/>
      </w:tabs>
      <w:snapToGrid w:val="0"/>
      <w:jc w:val="left"/>
    </w:pPr>
    <w:rPr>
      <w:sz w:val="18"/>
      <w:szCs w:val="18"/>
    </w:rPr>
  </w:style>
  <w:style w:type="character" w:customStyle="1" w:styleId="Char2">
    <w:name w:val="页脚 Char"/>
    <w:basedOn w:val="a0"/>
    <w:link w:val="a6"/>
    <w:uiPriority w:val="99"/>
    <w:rsid w:val="001640AE"/>
    <w:rPr>
      <w:sz w:val="18"/>
      <w:szCs w:val="18"/>
    </w:rPr>
  </w:style>
  <w:style w:type="paragraph" w:styleId="a7">
    <w:name w:val="header"/>
    <w:basedOn w:val="a"/>
    <w:link w:val="Char3"/>
    <w:uiPriority w:val="99"/>
    <w:unhideWhenUsed/>
    <w:qFormat/>
    <w:rsid w:val="001640AE"/>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qFormat/>
    <w:rsid w:val="001640AE"/>
    <w:rPr>
      <w:sz w:val="18"/>
      <w:szCs w:val="18"/>
    </w:rPr>
  </w:style>
  <w:style w:type="paragraph" w:styleId="10">
    <w:name w:val="toc 1"/>
    <w:basedOn w:val="a"/>
    <w:next w:val="a"/>
    <w:uiPriority w:val="39"/>
    <w:unhideWhenUsed/>
    <w:qFormat/>
    <w:rsid w:val="001640AE"/>
    <w:pPr>
      <w:widowControl/>
      <w:spacing w:after="100" w:line="259" w:lineRule="auto"/>
      <w:jc w:val="left"/>
    </w:pPr>
    <w:rPr>
      <w:rFonts w:cs="Times New Roman"/>
      <w:kern w:val="0"/>
      <w:sz w:val="22"/>
    </w:rPr>
  </w:style>
  <w:style w:type="paragraph" w:styleId="20">
    <w:name w:val="toc 2"/>
    <w:basedOn w:val="a"/>
    <w:next w:val="a"/>
    <w:uiPriority w:val="39"/>
    <w:unhideWhenUsed/>
    <w:qFormat/>
    <w:rsid w:val="001640AE"/>
    <w:pPr>
      <w:widowControl/>
      <w:spacing w:after="100" w:line="259" w:lineRule="auto"/>
      <w:ind w:left="220"/>
      <w:jc w:val="left"/>
    </w:pPr>
    <w:rPr>
      <w:rFonts w:cs="Times New Roman"/>
      <w:kern w:val="0"/>
      <w:sz w:val="22"/>
    </w:rPr>
  </w:style>
  <w:style w:type="paragraph" w:styleId="a8">
    <w:name w:val="annotation subject"/>
    <w:basedOn w:val="a3"/>
    <w:next w:val="a3"/>
    <w:link w:val="Char4"/>
    <w:uiPriority w:val="99"/>
    <w:semiHidden/>
    <w:unhideWhenUsed/>
    <w:rsid w:val="001640AE"/>
    <w:rPr>
      <w:b/>
      <w:bCs/>
    </w:rPr>
  </w:style>
  <w:style w:type="character" w:customStyle="1" w:styleId="Char4">
    <w:name w:val="批注主题 Char"/>
    <w:basedOn w:val="Char"/>
    <w:link w:val="a8"/>
    <w:uiPriority w:val="99"/>
    <w:semiHidden/>
    <w:rsid w:val="001640AE"/>
    <w:rPr>
      <w:b/>
      <w:bCs/>
    </w:rPr>
  </w:style>
  <w:style w:type="table" w:styleId="a9">
    <w:name w:val="Table Grid"/>
    <w:basedOn w:val="a1"/>
    <w:uiPriority w:val="59"/>
    <w:qFormat/>
    <w:rsid w:val="001640A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1640AE"/>
    <w:rPr>
      <w:color w:val="0563C1" w:themeColor="hyperlink"/>
      <w:u w:val="single"/>
    </w:rPr>
  </w:style>
  <w:style w:type="character" w:styleId="ab">
    <w:name w:val="annotation reference"/>
    <w:basedOn w:val="a0"/>
    <w:uiPriority w:val="99"/>
    <w:semiHidden/>
    <w:unhideWhenUsed/>
    <w:rsid w:val="001640AE"/>
    <w:rPr>
      <w:sz w:val="21"/>
      <w:szCs w:val="21"/>
    </w:rPr>
  </w:style>
  <w:style w:type="paragraph" w:customStyle="1" w:styleId="31">
    <w:name w:val="立信附注正文 [3级]"/>
    <w:link w:val="3Char0"/>
    <w:qFormat/>
    <w:rsid w:val="001640AE"/>
    <w:pPr>
      <w:widowControl w:val="0"/>
      <w:tabs>
        <w:tab w:val="left" w:pos="0"/>
      </w:tabs>
      <w:adjustRightInd w:val="0"/>
      <w:snapToGrid w:val="0"/>
      <w:spacing w:line="400" w:lineRule="atLeast"/>
      <w:ind w:left="1276"/>
      <w:jc w:val="both"/>
    </w:pPr>
    <w:rPr>
      <w:rFonts w:ascii="Times New Roman" w:eastAsia="宋体" w:hAnsi="Times New Roman" w:cs="Times New Roman"/>
      <w:color w:val="000000"/>
    </w:rPr>
  </w:style>
  <w:style w:type="character" w:customStyle="1" w:styleId="3Char0">
    <w:name w:val="立信附注正文 [3级] Char"/>
    <w:basedOn w:val="a0"/>
    <w:link w:val="31"/>
    <w:rsid w:val="001640AE"/>
    <w:rPr>
      <w:rFonts w:ascii="Times New Roman" w:eastAsia="宋体" w:hAnsi="Times New Roman" w:cs="Times New Roman"/>
      <w:color w:val="000000"/>
    </w:rPr>
  </w:style>
  <w:style w:type="paragraph" w:customStyle="1" w:styleId="21">
    <w:name w:val="立信附注正文 [2级]"/>
    <w:link w:val="2Char0"/>
    <w:rsid w:val="001640AE"/>
    <w:pPr>
      <w:widowControl w:val="0"/>
      <w:tabs>
        <w:tab w:val="left" w:pos="0"/>
      </w:tabs>
      <w:adjustRightInd w:val="0"/>
      <w:snapToGrid w:val="0"/>
      <w:spacing w:line="400" w:lineRule="atLeast"/>
      <w:ind w:left="714"/>
      <w:jc w:val="both"/>
    </w:pPr>
    <w:rPr>
      <w:rFonts w:ascii="Times New Roman" w:eastAsia="宋体" w:hAnsi="Times New Roman" w:cs="Times New Roman"/>
      <w:color w:val="000000"/>
    </w:rPr>
  </w:style>
  <w:style w:type="character" w:customStyle="1" w:styleId="2Char0">
    <w:name w:val="立信附注正文 [2级] Char"/>
    <w:basedOn w:val="a0"/>
    <w:link w:val="21"/>
    <w:qFormat/>
    <w:rsid w:val="001640AE"/>
    <w:rPr>
      <w:rFonts w:ascii="Times New Roman" w:eastAsia="宋体" w:hAnsi="Times New Roman" w:cs="Times New Roman"/>
      <w:color w:val="000000"/>
    </w:rPr>
  </w:style>
  <w:style w:type="table" w:customStyle="1" w:styleId="ac">
    <w:name w:val="立信年报表格"/>
    <w:basedOn w:val="a1"/>
    <w:rsid w:val="001640AE"/>
    <w:pPr>
      <w:jc w:val="both"/>
    </w:pPr>
    <w:rPr>
      <w:rFonts w:ascii="Times New Roman" w:eastAsia="宋体" w:hAnsi="Times New Roman" w:cs="Times New Roman"/>
      <w:color w:val="000000"/>
      <w:kern w:val="0"/>
      <w:sz w:val="18"/>
      <w:szCs w:val="20"/>
    </w:rPr>
    <w:tblPr>
      <w:tblInd w:w="0" w:type="dxa"/>
      <w:tblBorders>
        <w:top w:val="single" w:sz="12" w:space="0" w:color="auto"/>
        <w:bottom w:val="single" w:sz="12" w:space="0" w:color="auto"/>
        <w:insideH w:val="dotted" w:sz="4" w:space="0" w:color="auto"/>
        <w:insideV w:val="dotted" w:sz="4" w:space="0" w:color="auto"/>
      </w:tblBorders>
      <w:tblCellMar>
        <w:top w:w="0" w:type="dxa"/>
        <w:left w:w="108" w:type="dxa"/>
        <w:bottom w:w="0" w:type="dxa"/>
        <w:right w:w="108" w:type="dxa"/>
      </w:tblCellMar>
    </w:tblPr>
    <w:tcPr>
      <w:shd w:val="clear" w:color="auto" w:fill="auto"/>
    </w:tcPr>
    <w:tblStylePr w:type="firstRow">
      <w:pPr>
        <w:spacing w:line="400" w:lineRule="atLeast"/>
      </w:pPr>
    </w:tblStylePr>
    <w:tblStylePr w:type="lastRow">
      <w:pPr>
        <w:spacing w:line="400" w:lineRule="atLeast"/>
      </w:pPr>
    </w:tblStylePr>
    <w:tblStylePr w:type="firstCol">
      <w:pPr>
        <w:spacing w:line="400" w:lineRule="atLeast"/>
      </w:pPr>
    </w:tblStylePr>
    <w:tblStylePr w:type="band1Vert">
      <w:pPr>
        <w:spacing w:line="400" w:lineRule="atLeast"/>
      </w:pPr>
    </w:tblStylePr>
    <w:tblStylePr w:type="band2Vert">
      <w:pPr>
        <w:spacing w:line="400" w:lineRule="atLeast"/>
      </w:pPr>
    </w:tblStylePr>
    <w:tblStylePr w:type="band1Horz">
      <w:pPr>
        <w:spacing w:line="400" w:lineRule="atLeast"/>
      </w:pPr>
    </w:tblStylePr>
    <w:tblStylePr w:type="band2Horz">
      <w:pPr>
        <w:spacing w:line="400" w:lineRule="atLeast"/>
      </w:pPr>
    </w:tblStylePr>
    <w:tblStylePr w:type="neCell">
      <w:pPr>
        <w:spacing w:line="400" w:lineRule="atLeast"/>
      </w:pPr>
    </w:tblStylePr>
    <w:tblStylePr w:type="nwCell">
      <w:pPr>
        <w:spacing w:line="400" w:lineRule="atLeast"/>
      </w:pPr>
    </w:tblStylePr>
    <w:tblStylePr w:type="seCell">
      <w:pPr>
        <w:spacing w:line="400" w:lineRule="atLeast"/>
      </w:pPr>
    </w:tblStylePr>
    <w:tblStylePr w:type="swCell">
      <w:pPr>
        <w:spacing w:line="400" w:lineRule="atLeast"/>
      </w:pPr>
    </w:tblStylePr>
  </w:style>
  <w:style w:type="table" w:customStyle="1" w:styleId="22">
    <w:name w:val="立信年报表格 [2级]"/>
    <w:basedOn w:val="a1"/>
    <w:qFormat/>
    <w:rsid w:val="001640AE"/>
    <w:pPr>
      <w:jc w:val="both"/>
    </w:pPr>
    <w:rPr>
      <w:rFonts w:ascii="Times New Roman" w:eastAsia="宋体" w:hAnsi="Times New Roman" w:cs="Times New Roman"/>
      <w:color w:val="000000"/>
      <w:kern w:val="0"/>
      <w:sz w:val="18"/>
      <w:szCs w:val="20"/>
    </w:rPr>
    <w:tblPr>
      <w:tblInd w:w="0" w:type="dxa"/>
      <w:tblBorders>
        <w:top w:val="single" w:sz="12" w:space="0" w:color="auto"/>
        <w:bottom w:val="single" w:sz="12" w:space="0" w:color="auto"/>
        <w:insideH w:val="dotted" w:sz="4" w:space="0" w:color="auto"/>
        <w:insideV w:val="dotted" w:sz="4" w:space="0" w:color="auto"/>
      </w:tblBorders>
      <w:tblCellMar>
        <w:top w:w="0" w:type="dxa"/>
        <w:left w:w="108" w:type="dxa"/>
        <w:bottom w:w="0" w:type="dxa"/>
        <w:right w:w="108" w:type="dxa"/>
      </w:tblCellMar>
    </w:tblPr>
    <w:tcPr>
      <w:shd w:val="clear" w:color="auto" w:fill="auto"/>
    </w:tcPr>
    <w:tblStylePr w:type="firstRow">
      <w:pPr>
        <w:spacing w:line="400" w:lineRule="atLeast"/>
      </w:pPr>
    </w:tblStylePr>
    <w:tblStylePr w:type="lastRow">
      <w:pPr>
        <w:spacing w:line="400" w:lineRule="atLeast"/>
      </w:pPr>
    </w:tblStylePr>
    <w:tblStylePr w:type="firstCol">
      <w:pPr>
        <w:spacing w:line="400" w:lineRule="atLeast"/>
      </w:pPr>
    </w:tblStylePr>
    <w:tblStylePr w:type="band1Vert">
      <w:pPr>
        <w:spacing w:line="400" w:lineRule="atLeast"/>
      </w:pPr>
    </w:tblStylePr>
    <w:tblStylePr w:type="band2Vert">
      <w:pPr>
        <w:spacing w:line="400" w:lineRule="atLeast"/>
      </w:pPr>
    </w:tblStylePr>
    <w:tblStylePr w:type="band1Horz">
      <w:pPr>
        <w:spacing w:line="400" w:lineRule="atLeast"/>
      </w:pPr>
    </w:tblStylePr>
    <w:tblStylePr w:type="band2Horz">
      <w:pPr>
        <w:spacing w:line="400" w:lineRule="atLeast"/>
      </w:pPr>
    </w:tblStylePr>
    <w:tblStylePr w:type="neCell">
      <w:pPr>
        <w:spacing w:line="400" w:lineRule="atLeast"/>
      </w:pPr>
    </w:tblStylePr>
    <w:tblStylePr w:type="nwCell">
      <w:pPr>
        <w:spacing w:line="400" w:lineRule="atLeast"/>
      </w:pPr>
    </w:tblStylePr>
    <w:tblStylePr w:type="seCell">
      <w:pPr>
        <w:spacing w:line="400" w:lineRule="atLeast"/>
      </w:pPr>
    </w:tblStylePr>
    <w:tblStylePr w:type="swCell">
      <w:pPr>
        <w:spacing w:line="400" w:lineRule="atLeast"/>
      </w:pPr>
    </w:tblStylePr>
  </w:style>
  <w:style w:type="paragraph" w:styleId="ad">
    <w:name w:val="List Paragraph"/>
    <w:basedOn w:val="a"/>
    <w:uiPriority w:val="34"/>
    <w:qFormat/>
    <w:rsid w:val="001640AE"/>
    <w:pPr>
      <w:ind w:firstLineChars="200" w:firstLine="420"/>
    </w:pPr>
  </w:style>
  <w:style w:type="character" w:customStyle="1" w:styleId="Other1">
    <w:name w:val="Other|1_"/>
    <w:basedOn w:val="a0"/>
    <w:link w:val="Other10"/>
    <w:rsid w:val="001640AE"/>
    <w:rPr>
      <w:rFonts w:ascii="宋体" w:eastAsia="宋体" w:hAnsi="宋体" w:cs="宋体"/>
      <w:color w:val="262626"/>
      <w:lang w:val="zh-TW" w:eastAsia="zh-TW" w:bidi="zh-TW"/>
    </w:rPr>
  </w:style>
  <w:style w:type="paragraph" w:customStyle="1" w:styleId="Other10">
    <w:name w:val="Other|1"/>
    <w:basedOn w:val="a"/>
    <w:link w:val="Other1"/>
    <w:rsid w:val="001640AE"/>
    <w:pPr>
      <w:spacing w:line="480" w:lineRule="auto"/>
      <w:ind w:firstLine="400"/>
      <w:jc w:val="left"/>
    </w:pPr>
    <w:rPr>
      <w:rFonts w:ascii="宋体" w:eastAsia="宋体" w:hAnsi="宋体" w:cs="宋体"/>
      <w:color w:val="262626"/>
      <w:lang w:val="zh-TW" w:eastAsia="zh-TW" w:bidi="zh-TW"/>
    </w:rPr>
  </w:style>
  <w:style w:type="character" w:customStyle="1" w:styleId="11">
    <w:name w:val="未处理的提及1"/>
    <w:basedOn w:val="a0"/>
    <w:uiPriority w:val="99"/>
    <w:semiHidden/>
    <w:unhideWhenUsed/>
    <w:rsid w:val="001640AE"/>
    <w:rPr>
      <w:color w:val="605E5C"/>
      <w:shd w:val="clear" w:color="auto" w:fill="E1DFDD"/>
    </w:rPr>
  </w:style>
  <w:style w:type="paragraph" w:customStyle="1" w:styleId="TOC1">
    <w:name w:val="TOC 标题1"/>
    <w:basedOn w:val="1"/>
    <w:next w:val="a"/>
    <w:uiPriority w:val="39"/>
    <w:unhideWhenUsed/>
    <w:qFormat/>
    <w:rsid w:val="001640AE"/>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ae">
    <w:name w:val="È¡ÀÊ¡ÎÄ¡À¾"/>
    <w:basedOn w:val="a"/>
    <w:uiPriority w:val="99"/>
    <w:qFormat/>
    <w:rsid w:val="001640AE"/>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paragraph" w:styleId="af">
    <w:name w:val="Revision"/>
    <w:hidden/>
    <w:uiPriority w:val="99"/>
    <w:semiHidden/>
    <w:rsid w:val="001640AE"/>
  </w:style>
  <w:style w:type="character" w:customStyle="1" w:styleId="23">
    <w:name w:val="未处理的提及2"/>
    <w:basedOn w:val="a0"/>
    <w:uiPriority w:val="99"/>
    <w:semiHidden/>
    <w:unhideWhenUsed/>
    <w:rsid w:val="001640AE"/>
    <w:rPr>
      <w:color w:val="605E5C"/>
      <w:shd w:val="clear" w:color="auto" w:fill="E1DFDD"/>
    </w:rPr>
  </w:style>
  <w:style w:type="paragraph" w:styleId="af0">
    <w:name w:val="Title"/>
    <w:basedOn w:val="a"/>
    <w:next w:val="a"/>
    <w:link w:val="Char5"/>
    <w:qFormat/>
    <w:rsid w:val="001640AE"/>
    <w:pPr>
      <w:spacing w:before="240" w:after="60"/>
      <w:jc w:val="center"/>
      <w:outlineLvl w:val="0"/>
    </w:pPr>
    <w:rPr>
      <w:rFonts w:ascii="Cambria" w:eastAsia="宋体" w:hAnsi="Cambria" w:cs="Times New Roman"/>
      <w:b/>
      <w:bCs/>
      <w:sz w:val="32"/>
      <w:szCs w:val="32"/>
    </w:rPr>
  </w:style>
  <w:style w:type="character" w:customStyle="1" w:styleId="af1">
    <w:name w:val="标题 字符"/>
    <w:basedOn w:val="a0"/>
    <w:uiPriority w:val="10"/>
    <w:rsid w:val="001640AE"/>
    <w:rPr>
      <w:rFonts w:asciiTheme="majorHAnsi" w:eastAsiaTheme="majorEastAsia" w:hAnsiTheme="majorHAnsi" w:cstheme="majorBidi"/>
      <w:b/>
      <w:bCs/>
      <w:sz w:val="32"/>
      <w:szCs w:val="32"/>
    </w:rPr>
  </w:style>
  <w:style w:type="character" w:customStyle="1" w:styleId="Char5">
    <w:name w:val="标题 Char"/>
    <w:link w:val="af0"/>
    <w:rsid w:val="001640AE"/>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596</Words>
  <Characters>3399</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穆 邦鑫</dc:creator>
  <cp:keywords/>
  <dc:description/>
  <cp:lastModifiedBy>PC</cp:lastModifiedBy>
  <cp:revision>12</cp:revision>
  <cp:lastPrinted>2022-08-18T08:45:00Z</cp:lastPrinted>
  <dcterms:created xsi:type="dcterms:W3CDTF">2022-08-18T08:43:00Z</dcterms:created>
  <dcterms:modified xsi:type="dcterms:W3CDTF">2022-09-29T09:35:00Z</dcterms:modified>
</cp:coreProperties>
</file>