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spacing w:line="596" w:lineRule="exact"/>
        <w:ind w:firstLine="880"/>
        <w:jc w:val="center"/>
        <w:rPr>
          <w:rFonts w:eastAsia="方正小标宋_GBK"/>
          <w:sz w:val="44"/>
          <w:szCs w:val="32"/>
        </w:rPr>
      </w:pPr>
      <w:r>
        <w:rPr>
          <w:rFonts w:hint="eastAsia" w:eastAsia="方正小标宋_GBK"/>
          <w:sz w:val="44"/>
          <w:szCs w:val="32"/>
        </w:rPr>
        <w:t>政协重庆市璧山区委员会办公室</w:t>
      </w:r>
    </w:p>
    <w:p>
      <w:pPr>
        <w:pStyle w:val="11"/>
        <w:spacing w:line="596" w:lineRule="exact"/>
        <w:ind w:firstLine="880"/>
        <w:jc w:val="center"/>
        <w:rPr>
          <w:rFonts w:eastAsia="方正小标宋_GBK"/>
          <w:sz w:val="44"/>
          <w:szCs w:val="32"/>
        </w:rPr>
      </w:pPr>
      <w:r>
        <w:rPr>
          <w:rFonts w:hint="eastAsia" w:eastAsia="方正小标宋_GBK"/>
          <w:sz w:val="44"/>
          <w:szCs w:val="32"/>
        </w:rPr>
        <w:t>2021</w:t>
      </w:r>
      <w:r>
        <w:rPr>
          <w:rFonts w:eastAsia="方正小标宋_GBK"/>
          <w:sz w:val="44"/>
          <w:szCs w:val="32"/>
        </w:rPr>
        <w:t>年整体支出绩效</w:t>
      </w:r>
      <w:r>
        <w:rPr>
          <w:rFonts w:hint="eastAsia" w:eastAsia="方正小标宋_GBK"/>
          <w:sz w:val="44"/>
          <w:szCs w:val="32"/>
        </w:rPr>
        <w:t>自评</w:t>
      </w:r>
      <w:r>
        <w:rPr>
          <w:rFonts w:eastAsia="方正小标宋_GBK"/>
          <w:sz w:val="44"/>
          <w:szCs w:val="32"/>
        </w:rPr>
        <w:t>报告</w:t>
      </w:r>
    </w:p>
    <w:p>
      <w:pPr>
        <w:spacing w:line="596" w:lineRule="exact"/>
        <w:ind w:firstLine="640" w:firstLineChars="200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一、基本</w:t>
      </w:r>
      <w:r>
        <w:rPr>
          <w:rFonts w:hint="eastAsia" w:eastAsia="方正黑体_GBK"/>
          <w:sz w:val="32"/>
          <w:szCs w:val="32"/>
        </w:rPr>
        <w:t>情况</w:t>
      </w:r>
    </w:p>
    <w:p>
      <w:pPr>
        <w:spacing w:line="596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（一）</w:t>
      </w:r>
      <w:r>
        <w:rPr>
          <w:rFonts w:hint="eastAsia" w:eastAsia="方正仿宋_GBK"/>
          <w:sz w:val="32"/>
          <w:szCs w:val="32"/>
        </w:rPr>
        <w:t>职能职责</w:t>
      </w:r>
      <w:r>
        <w:rPr>
          <w:rFonts w:eastAsia="方正仿宋_GBK"/>
          <w:sz w:val="32"/>
          <w:szCs w:val="32"/>
        </w:rPr>
        <w:t>。</w:t>
      </w:r>
    </w:p>
    <w:p>
      <w:pPr>
        <w:autoSpaceDE w:val="0"/>
        <w:spacing w:line="57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1.负责区政协全体会议、常委</w:t>
      </w:r>
      <w:r>
        <w:rPr>
          <w:rFonts w:hint="eastAsia" w:ascii="方正仿宋_GBK" w:eastAsia="方正仿宋_GBK"/>
          <w:sz w:val="32"/>
          <w:szCs w:val="32"/>
          <w:lang w:eastAsia="zh-CN"/>
        </w:rPr>
        <w:t>会</w:t>
      </w:r>
      <w:r>
        <w:rPr>
          <w:rFonts w:hint="eastAsia" w:ascii="方正仿宋_GBK" w:eastAsia="方正仿宋_GBK"/>
          <w:sz w:val="32"/>
          <w:szCs w:val="32"/>
        </w:rPr>
        <w:t>会议、主席会议、秘书长会议和其他重要会议的会务工作。</w:t>
      </w:r>
    </w:p>
    <w:p>
      <w:pPr>
        <w:autoSpaceDE w:val="0"/>
        <w:spacing w:line="57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hAnsi="宋体" w:eastAsia="方正仿宋_GBK" w:cs="宋体"/>
          <w:sz w:val="32"/>
          <w:szCs w:val="32"/>
        </w:rPr>
        <w:t>2.</w:t>
      </w:r>
      <w:r>
        <w:rPr>
          <w:rFonts w:hint="eastAsia" w:ascii="方正仿宋_GBK" w:eastAsia="方正仿宋_GBK"/>
          <w:sz w:val="32"/>
          <w:szCs w:val="32"/>
        </w:rPr>
        <w:t xml:space="preserve"> 组织实施区政协全体会议、常委</w:t>
      </w:r>
      <w:r>
        <w:rPr>
          <w:rFonts w:hint="eastAsia" w:ascii="方正仿宋_GBK" w:eastAsia="方正仿宋_GBK"/>
          <w:sz w:val="32"/>
          <w:szCs w:val="32"/>
          <w:lang w:eastAsia="zh-CN"/>
        </w:rPr>
        <w:t>会</w:t>
      </w:r>
      <w:r>
        <w:rPr>
          <w:rFonts w:hint="eastAsia" w:ascii="方正仿宋_GBK" w:eastAsia="方正仿宋_GBK"/>
          <w:sz w:val="32"/>
          <w:szCs w:val="32"/>
        </w:rPr>
        <w:t>会议、主席会议、秘书长会议和其他重要会议的决议、决定</w:t>
      </w:r>
    </w:p>
    <w:p>
      <w:pPr>
        <w:autoSpaceDE w:val="0"/>
        <w:spacing w:line="57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3．负责起草区政协年度工作计划、工作报告、会议决议、会议决定等重要文稿。</w:t>
      </w:r>
    </w:p>
    <w:p>
      <w:pPr>
        <w:autoSpaceDE w:val="0"/>
        <w:spacing w:line="57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4．负责办理公文的收发、传阅、送批、催办、立卷、归档等工作。</w:t>
      </w:r>
    </w:p>
    <w:p>
      <w:pPr>
        <w:autoSpaceDE w:val="0"/>
        <w:spacing w:line="57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5．组织起草和办理以区政协名义发布的文件，审核以区政协办公室名义发布的文件。</w:t>
      </w:r>
    </w:p>
    <w:p>
      <w:pPr>
        <w:autoSpaceDE w:val="0"/>
        <w:spacing w:line="57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6．负责区政协机关人事、劳资、财务、财物、安全、卫生、计生、档案、精神文明建设、接待、离退休人员管理等工作。</w:t>
      </w:r>
    </w:p>
    <w:p>
      <w:pPr>
        <w:autoSpaceDE w:val="0"/>
        <w:spacing w:line="57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7．负责组织机关学习，研究统一战线和人民政协理论、政策，总结政协工作经验。</w:t>
      </w:r>
    </w:p>
    <w:p>
      <w:pPr>
        <w:autoSpaceDE w:val="0"/>
        <w:spacing w:line="57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8．负责宣传报道，收集、反映社情民意，处理群众来信来访工作。</w:t>
      </w:r>
    </w:p>
    <w:p>
      <w:pPr>
        <w:autoSpaceDE w:val="0"/>
        <w:spacing w:line="57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9．负责与上级政协、区各部门（镇街）、各民主党派、各人民团体、工商联的联系，协调处理有关事务。</w:t>
      </w:r>
    </w:p>
    <w:p>
      <w:pPr>
        <w:autoSpaceDE w:val="0"/>
        <w:spacing w:line="57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10．负责协调区政协各专门委员会工作。</w:t>
      </w:r>
    </w:p>
    <w:p>
      <w:pPr>
        <w:autoSpaceDE w:val="0"/>
        <w:spacing w:line="57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11．负责我区市政协委员的联络以及有关学习、调研、视察等活动的组织和服务工作。</w:t>
      </w:r>
    </w:p>
    <w:p>
      <w:pPr>
        <w:autoSpaceDE w:val="0"/>
        <w:spacing w:line="570" w:lineRule="exact"/>
        <w:ind w:firstLine="640" w:firstLineChars="200"/>
        <w:rPr>
          <w:rFonts w:ascii="方正仿宋_GBK" w:hAnsi="仿宋_GB2312" w:eastAsia="方正仿宋_GBK" w:cs="仿宋_GB2312"/>
          <w:sz w:val="32"/>
        </w:rPr>
      </w:pPr>
      <w:r>
        <w:rPr>
          <w:rFonts w:hint="eastAsia" w:ascii="方正仿宋_GBK" w:eastAsia="方正仿宋_GBK"/>
          <w:sz w:val="32"/>
          <w:szCs w:val="32"/>
        </w:rPr>
        <w:t>12．完成区政协领导交办的工作。</w:t>
      </w:r>
    </w:p>
    <w:p>
      <w:pPr>
        <w:pStyle w:val="12"/>
        <w:tabs>
          <w:tab w:val="center" w:pos="4153"/>
          <w:tab w:val="left" w:pos="7275"/>
        </w:tabs>
        <w:spacing w:line="600" w:lineRule="exact"/>
        <w:ind w:left="640" w:firstLine="0" w:firstLineChars="0"/>
        <w:jc w:val="left"/>
        <w:rPr>
          <w:rFonts w:ascii="方正仿宋_GBK" w:hAnsi="仿宋_GB2312" w:eastAsia="方正仿宋_GBK" w:cs="仿宋_GB2312"/>
          <w:sz w:val="32"/>
        </w:rPr>
      </w:pPr>
      <w:r>
        <w:rPr>
          <w:rFonts w:eastAsia="方正仿宋_GBK"/>
          <w:sz w:val="32"/>
          <w:szCs w:val="32"/>
        </w:rPr>
        <w:t>（二）</w:t>
      </w:r>
      <w:r>
        <w:rPr>
          <w:rFonts w:hint="eastAsia" w:ascii="方正仿宋_GBK" w:hAnsi="仿宋_GB2312" w:eastAsia="方正仿宋_GBK" w:cs="仿宋_GB2312"/>
          <w:sz w:val="32"/>
        </w:rPr>
        <w:t>组织机构。</w:t>
      </w:r>
    </w:p>
    <w:p>
      <w:pPr>
        <w:autoSpaceDE w:val="0"/>
        <w:spacing w:line="57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hAnsi="宋体" w:eastAsia="方正仿宋_GBK" w:cs="宋体"/>
          <w:sz w:val="32"/>
          <w:szCs w:val="32"/>
        </w:rPr>
        <w:t>政协重庆市璧山区委员会办公室是区政协综合办事机构。区政协办公室</w:t>
      </w:r>
      <w:r>
        <w:rPr>
          <w:rFonts w:hint="eastAsia" w:ascii="方正仿宋_GBK" w:eastAsia="方正仿宋_GBK"/>
          <w:sz w:val="32"/>
          <w:szCs w:val="32"/>
        </w:rPr>
        <w:t>设内设机构3个：行政科、秘书科、信访科。</w:t>
      </w:r>
    </w:p>
    <w:p>
      <w:pPr>
        <w:spacing w:line="600" w:lineRule="exact"/>
        <w:ind w:firstLine="640" w:firstLineChars="200"/>
        <w:rPr>
          <w:rFonts w:ascii="方正仿宋_GBK" w:hAnsi="宋体" w:eastAsia="方正仿宋_GBK" w:cs="宋体"/>
          <w:sz w:val="32"/>
          <w:szCs w:val="32"/>
        </w:rPr>
      </w:pPr>
      <w:r>
        <w:rPr>
          <w:rFonts w:hint="eastAsia" w:ascii="方正仿宋_GBK" w:hAnsi="宋体" w:eastAsia="方正仿宋_GBK" w:cs="宋体"/>
          <w:sz w:val="32"/>
          <w:szCs w:val="32"/>
        </w:rPr>
        <w:t>下设1个全额拨款事业单位：区政协社情意信息中心。</w:t>
      </w:r>
    </w:p>
    <w:p>
      <w:pPr>
        <w:spacing w:line="596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ascii="方正仿宋_GBK" w:hAnsi="宋体" w:eastAsia="方正仿宋_GBK" w:cs="宋体"/>
          <w:sz w:val="32"/>
          <w:szCs w:val="32"/>
        </w:rPr>
        <w:t>区政协办公室现有在编在岗42人，其中行政编制36人，事业编制6人。离休人员2人。</w:t>
      </w:r>
    </w:p>
    <w:p>
      <w:pPr>
        <w:numPr>
          <w:ilvl w:val="0"/>
          <w:numId w:val="1"/>
        </w:numPr>
        <w:spacing w:line="596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预算及支出情况</w:t>
      </w:r>
      <w:r>
        <w:rPr>
          <w:rFonts w:eastAsia="方正仿宋_GBK"/>
          <w:sz w:val="32"/>
          <w:szCs w:val="32"/>
        </w:rPr>
        <w:t>。</w:t>
      </w:r>
    </w:p>
    <w:p>
      <w:pPr>
        <w:spacing w:line="596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2021年，区政协办年初预算</w:t>
      </w:r>
      <w:r>
        <w:rPr>
          <w:rFonts w:hint="eastAsia" w:ascii="仿宋_GB2312" w:hAnsi="仿宋_GB2312" w:eastAsia="仿宋_GB2312" w:cs="仿宋_GB2312"/>
          <w:sz w:val="32"/>
        </w:rPr>
        <w:t>1692.1</w:t>
      </w:r>
      <w:r>
        <w:rPr>
          <w:rFonts w:hint="eastAsia" w:eastAsia="方正仿宋_GBK"/>
          <w:sz w:val="32"/>
          <w:szCs w:val="32"/>
        </w:rPr>
        <w:t>万元，其中：基本支出1369.5万元，项目支出322.6万元</w:t>
      </w:r>
      <w:r>
        <w:rPr>
          <w:rFonts w:eastAsia="方正仿宋_GBK"/>
          <w:sz w:val="32"/>
          <w:szCs w:val="32"/>
        </w:rPr>
        <w:t>。</w:t>
      </w:r>
    </w:p>
    <w:p>
      <w:pPr>
        <w:spacing w:line="596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2021年，区政协办决算收入1834.15万元，决算支出1834.15万元。其中：基本支出1548.84万元，项目支出285.31万元。</w:t>
      </w:r>
    </w:p>
    <w:p>
      <w:pPr>
        <w:spacing w:line="596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黑体_GBK"/>
          <w:sz w:val="32"/>
          <w:szCs w:val="32"/>
        </w:rPr>
        <w:t>二、绩效评价</w:t>
      </w:r>
      <w:r>
        <w:rPr>
          <w:rFonts w:hint="eastAsia" w:eastAsia="方正黑体_GBK"/>
          <w:sz w:val="32"/>
          <w:szCs w:val="32"/>
        </w:rPr>
        <w:t>基本</w:t>
      </w:r>
      <w:r>
        <w:rPr>
          <w:rFonts w:eastAsia="方正黑体_GBK"/>
          <w:sz w:val="32"/>
          <w:szCs w:val="32"/>
        </w:rPr>
        <w:t>情况</w:t>
      </w:r>
    </w:p>
    <w:p>
      <w:pPr>
        <w:spacing w:line="596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（一）绩效评价目的</w:t>
      </w:r>
    </w:p>
    <w:p>
      <w:pPr>
        <w:spacing w:line="596" w:lineRule="exact"/>
        <w:ind w:firstLine="640" w:firstLineChars="200"/>
        <w:rPr>
          <w:rFonts w:eastAsia="方正仿宋_GBK"/>
          <w:sz w:val="32"/>
          <w:szCs w:val="32"/>
        </w:rPr>
      </w:pPr>
      <w:bookmarkStart w:id="0" w:name="OLE_LINK2"/>
      <w:r>
        <w:rPr>
          <w:rStyle w:val="6"/>
          <w:rFonts w:hint="eastAsia" w:ascii="方正仿宋_GBK" w:hAnsi="方正仿宋_GBK" w:eastAsia="方正仿宋_GBK" w:cs="方正仿宋_GBK"/>
          <w:sz w:val="32"/>
          <w:szCs w:val="32"/>
        </w:rPr>
        <w:t>加强和规范资金管理，提高资金使用效率，更好完成项目目标；</w:t>
      </w:r>
      <w:r>
        <w:rPr>
          <w:rStyle w:val="6"/>
          <w:rFonts w:ascii="方正仿宋_GBK" w:hAnsi="方正仿宋_GBK" w:eastAsia="方正仿宋_GBK" w:cs="方正仿宋_GBK"/>
          <w:sz w:val="32"/>
          <w:szCs w:val="32"/>
        </w:rPr>
        <w:t>建立健全绩效评价机制，实现</w:t>
      </w:r>
      <w:r>
        <w:rPr>
          <w:rStyle w:val="6"/>
          <w:rFonts w:hint="eastAsia" w:ascii="方正仿宋_GBK" w:hAnsi="方正仿宋_GBK" w:eastAsia="方正仿宋_GBK" w:cs="方正仿宋_GBK"/>
          <w:sz w:val="32"/>
          <w:szCs w:val="32"/>
        </w:rPr>
        <w:t>资金高效管理</w:t>
      </w:r>
      <w:r>
        <w:rPr>
          <w:rStyle w:val="6"/>
          <w:rFonts w:ascii="方正仿宋_GBK" w:hAnsi="方正仿宋_GBK" w:eastAsia="方正仿宋_GBK" w:cs="方正仿宋_GBK"/>
          <w:sz w:val="32"/>
          <w:szCs w:val="32"/>
        </w:rPr>
        <w:t>。</w:t>
      </w:r>
      <w:bookmarkEnd w:id="0"/>
    </w:p>
    <w:p>
      <w:pPr>
        <w:spacing w:line="596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（二）绩效评价原则、评价指标体系、评价方法</w:t>
      </w:r>
    </w:p>
    <w:p>
      <w:pPr>
        <w:spacing w:line="596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绩效评价原则包括</w:t>
      </w:r>
      <w:r>
        <w:rPr>
          <w:rFonts w:ascii="仿宋_GB2312" w:eastAsia="仿宋_GB2312"/>
          <w:bCs/>
          <w:sz w:val="32"/>
          <w:szCs w:val="32"/>
        </w:rPr>
        <w:t>科学规范原则</w:t>
      </w:r>
      <w:r>
        <w:rPr>
          <w:rFonts w:hint="eastAsia" w:ascii="仿宋_GB2312" w:eastAsia="仿宋_GB2312"/>
          <w:bCs/>
          <w:sz w:val="32"/>
          <w:szCs w:val="32"/>
        </w:rPr>
        <w:t>、</w:t>
      </w:r>
      <w:r>
        <w:rPr>
          <w:rFonts w:ascii="仿宋_GB2312" w:eastAsia="仿宋_GB2312"/>
          <w:bCs/>
          <w:sz w:val="32"/>
          <w:szCs w:val="32"/>
        </w:rPr>
        <w:t>公开公正原则</w:t>
      </w:r>
      <w:r>
        <w:rPr>
          <w:rFonts w:hint="eastAsia" w:ascii="仿宋_GB2312" w:eastAsia="仿宋_GB2312"/>
          <w:bCs/>
          <w:sz w:val="32"/>
          <w:szCs w:val="32"/>
        </w:rPr>
        <w:t>、</w:t>
      </w:r>
      <w:r>
        <w:rPr>
          <w:rFonts w:ascii="仿宋_GB2312" w:eastAsia="仿宋_GB2312"/>
          <w:bCs/>
          <w:sz w:val="32"/>
          <w:szCs w:val="32"/>
        </w:rPr>
        <w:t>分级分类原则</w:t>
      </w:r>
      <w:r>
        <w:rPr>
          <w:rFonts w:hint="eastAsia" w:ascii="仿宋_GB2312" w:eastAsia="仿宋_GB2312"/>
          <w:bCs/>
          <w:sz w:val="32"/>
          <w:szCs w:val="32"/>
        </w:rPr>
        <w:t>、</w:t>
      </w:r>
      <w:r>
        <w:rPr>
          <w:rFonts w:ascii="仿宋_GB2312" w:eastAsia="仿宋_GB2312"/>
          <w:bCs/>
          <w:sz w:val="32"/>
          <w:szCs w:val="32"/>
        </w:rPr>
        <w:t>绩效相关原则。</w:t>
      </w:r>
    </w:p>
    <w:p>
      <w:pPr>
        <w:spacing w:line="596" w:lineRule="exact"/>
        <w:ind w:firstLine="640" w:firstLineChars="200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整个指标体系分为.</w:t>
      </w:r>
    </w:p>
    <w:p>
      <w:pPr>
        <w:spacing w:line="596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投入（7分），过程（24分），产出（x分），效益（x分），共设置了4个一级指标，x个二级指标，x个三级指标。</w:t>
      </w:r>
    </w:p>
    <w:p>
      <w:pPr>
        <w:spacing w:line="596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评价的方法主要包括成本效益分析法、比较法、因素分析法、最低成本法、公众评判法、标杆管理法等。</w:t>
      </w:r>
    </w:p>
    <w:p>
      <w:pPr>
        <w:spacing w:line="596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（三）绩效评价工作过程</w:t>
      </w:r>
    </w:p>
    <w:p>
      <w:pPr>
        <w:spacing w:line="596" w:lineRule="exact"/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hint="eastAsia" w:eastAsia="方正仿宋_GBK"/>
          <w:color w:val="000000"/>
          <w:sz w:val="32"/>
          <w:szCs w:val="32"/>
        </w:rPr>
        <w:t>2020</w:t>
      </w:r>
      <w:r>
        <w:rPr>
          <w:rFonts w:eastAsia="方正仿宋_GBK"/>
          <w:color w:val="000000"/>
          <w:sz w:val="32"/>
          <w:szCs w:val="32"/>
        </w:rPr>
        <w:t>年，</w:t>
      </w:r>
      <w:r>
        <w:rPr>
          <w:rFonts w:hint="eastAsia" w:eastAsia="方正仿宋_GBK"/>
          <w:color w:val="000000"/>
          <w:sz w:val="32"/>
          <w:szCs w:val="32"/>
        </w:rPr>
        <w:t>区政协办</w:t>
      </w:r>
      <w:r>
        <w:rPr>
          <w:rFonts w:eastAsia="方正仿宋_GBK"/>
          <w:color w:val="000000"/>
          <w:sz w:val="32"/>
          <w:szCs w:val="32"/>
        </w:rPr>
        <w:t>坚持以绩效目标实现为导向，不断加强制度建设，提升绩效管理工作质量，预算绩效管理取得新成效。</w:t>
      </w:r>
    </w:p>
    <w:p>
      <w:pPr>
        <w:spacing w:line="596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1</w:t>
      </w:r>
      <w:r>
        <w:rPr>
          <w:rFonts w:hint="eastAsia" w:eastAsia="方正仿宋_GBK"/>
          <w:sz w:val="32"/>
          <w:szCs w:val="32"/>
        </w:rPr>
        <w:t>.</w:t>
      </w:r>
      <w:r>
        <w:rPr>
          <w:rFonts w:eastAsia="方正仿宋_GBK"/>
          <w:sz w:val="32"/>
          <w:szCs w:val="32"/>
        </w:rPr>
        <w:t>前期准备。</w:t>
      </w:r>
    </w:p>
    <w:p>
      <w:pPr>
        <w:spacing w:line="596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color w:val="000000"/>
          <w:sz w:val="32"/>
          <w:szCs w:val="32"/>
        </w:rPr>
        <w:t>（</w:t>
      </w:r>
      <w:r>
        <w:rPr>
          <w:rFonts w:eastAsia="方正仿宋_GBK"/>
          <w:color w:val="000000"/>
          <w:sz w:val="32"/>
          <w:szCs w:val="32"/>
        </w:rPr>
        <w:t>1）召开绩效评价工作</w:t>
      </w:r>
      <w:r>
        <w:rPr>
          <w:rFonts w:hint="eastAsia" w:eastAsia="方正仿宋_GBK"/>
          <w:color w:val="000000"/>
          <w:sz w:val="32"/>
          <w:szCs w:val="32"/>
        </w:rPr>
        <w:t>布置</w:t>
      </w:r>
      <w:r>
        <w:rPr>
          <w:rFonts w:eastAsia="方正仿宋_GBK"/>
          <w:color w:val="000000"/>
          <w:sz w:val="32"/>
          <w:szCs w:val="32"/>
        </w:rPr>
        <w:t>会。学习传达绩效评价工作相关要求，听取各</w:t>
      </w:r>
      <w:r>
        <w:rPr>
          <w:rFonts w:hint="eastAsia" w:eastAsia="方正仿宋_GBK"/>
          <w:color w:val="000000"/>
          <w:sz w:val="32"/>
          <w:szCs w:val="32"/>
        </w:rPr>
        <w:t>委室</w:t>
      </w:r>
      <w:r>
        <w:rPr>
          <w:rFonts w:eastAsia="方正仿宋_GBK"/>
          <w:color w:val="000000"/>
          <w:sz w:val="32"/>
          <w:szCs w:val="32"/>
        </w:rPr>
        <w:t>的意见、建议。（</w:t>
      </w:r>
      <w:r>
        <w:rPr>
          <w:rFonts w:hint="eastAsia" w:eastAsia="方正仿宋_GBK"/>
          <w:color w:val="000000"/>
          <w:sz w:val="32"/>
          <w:szCs w:val="32"/>
        </w:rPr>
        <w:t>2</w:t>
      </w:r>
      <w:r>
        <w:rPr>
          <w:rFonts w:eastAsia="方正仿宋_GBK"/>
          <w:color w:val="000000"/>
          <w:sz w:val="32"/>
          <w:szCs w:val="32"/>
        </w:rPr>
        <w:t>）制定评价工作计划。结合实际制定</w:t>
      </w:r>
      <w:r>
        <w:rPr>
          <w:rFonts w:hint="eastAsia" w:eastAsia="方正仿宋_GBK"/>
          <w:color w:val="000000"/>
          <w:sz w:val="32"/>
          <w:szCs w:val="32"/>
        </w:rPr>
        <w:t>2021年区政协办整体支出绩效评价工作计划。</w:t>
      </w:r>
    </w:p>
    <w:p>
      <w:pPr>
        <w:spacing w:line="596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2</w:t>
      </w:r>
      <w:r>
        <w:rPr>
          <w:rFonts w:hint="eastAsia" w:eastAsia="方正仿宋_GBK"/>
          <w:sz w:val="32"/>
          <w:szCs w:val="32"/>
        </w:rPr>
        <w:t>.</w:t>
      </w:r>
      <w:r>
        <w:rPr>
          <w:rFonts w:eastAsia="方正仿宋_GBK"/>
          <w:sz w:val="32"/>
          <w:szCs w:val="32"/>
        </w:rPr>
        <w:t>组织实施。</w:t>
      </w:r>
    </w:p>
    <w:p>
      <w:pPr>
        <w:spacing w:line="596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（1）收集基础资料、财政资金绩效目标及其设立依据和调整情况、管理措施及组织实施情况。（2）审核绩效目标完成情况表和基础资料。对填报的绩效目标完成情况表进行审核，对基础资料进行分类整理、核实分析，对缺失的资料及时补充，对存在疑问的重要基础数据资料进行解释说明。</w:t>
      </w:r>
    </w:p>
    <w:p>
      <w:pPr>
        <w:spacing w:line="596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3</w:t>
      </w:r>
      <w:r>
        <w:rPr>
          <w:rFonts w:hint="eastAsia" w:eastAsia="方正仿宋_GBK"/>
          <w:sz w:val="32"/>
          <w:szCs w:val="32"/>
        </w:rPr>
        <w:t>.</w:t>
      </w:r>
      <w:r>
        <w:rPr>
          <w:rFonts w:eastAsia="方正仿宋_GBK"/>
          <w:sz w:val="32"/>
          <w:szCs w:val="32"/>
        </w:rPr>
        <w:t>分析评价。</w:t>
      </w:r>
    </w:p>
    <w:p>
      <w:pPr>
        <w:spacing w:line="596" w:lineRule="exact"/>
        <w:ind w:firstLine="56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明确目标、层层分解任务、强化督促等多项工作措施</w:t>
      </w:r>
      <w:r>
        <w:rPr>
          <w:rFonts w:hint="eastAsia" w:eastAsia="方正仿宋_GBK"/>
          <w:sz w:val="32"/>
          <w:szCs w:val="32"/>
        </w:rPr>
        <w:t>确保</w:t>
      </w:r>
      <w:r>
        <w:rPr>
          <w:rFonts w:eastAsia="方正仿宋_GBK"/>
          <w:sz w:val="32"/>
          <w:szCs w:val="32"/>
        </w:rPr>
        <w:t>绩效评价工作的完成。在评价过程中，按照实事求是原则，客观、公正的对各项资金使用情况进行了评价，各项资金使用做到了管理规范、专款专用，</w:t>
      </w:r>
      <w:r>
        <w:rPr>
          <w:rFonts w:hint="eastAsia" w:eastAsia="方正仿宋_GBK"/>
          <w:sz w:val="32"/>
          <w:szCs w:val="32"/>
        </w:rPr>
        <w:t>较好</w:t>
      </w:r>
      <w:r>
        <w:rPr>
          <w:rFonts w:eastAsia="方正仿宋_GBK"/>
          <w:sz w:val="32"/>
          <w:szCs w:val="32"/>
        </w:rPr>
        <w:t>实现各项绩效目标。</w:t>
      </w:r>
    </w:p>
    <w:p>
      <w:pPr>
        <w:spacing w:line="596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黑体_GBK"/>
          <w:sz w:val="32"/>
          <w:szCs w:val="32"/>
        </w:rPr>
        <w:t>三、</w:t>
      </w:r>
      <w:r>
        <w:rPr>
          <w:rFonts w:hint="eastAsia" w:eastAsia="方正黑体_GBK"/>
          <w:sz w:val="32"/>
          <w:szCs w:val="32"/>
        </w:rPr>
        <w:t>绩效</w:t>
      </w:r>
      <w:r>
        <w:rPr>
          <w:rFonts w:eastAsia="方正黑体_GBK"/>
          <w:sz w:val="32"/>
          <w:szCs w:val="32"/>
        </w:rPr>
        <w:t>评价情况及结论</w:t>
      </w:r>
    </w:p>
    <w:p>
      <w:pPr>
        <w:spacing w:line="596" w:lineRule="exact"/>
        <w:ind w:firstLine="640" w:firstLineChars="200"/>
        <w:rPr>
          <w:rFonts w:hint="eastAsia"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结合区政协办实际情况，客观公正的根据预算部门整体支出管理绩效项目自评进行评分，综合得分100分。</w:t>
      </w:r>
    </w:p>
    <w:p>
      <w:pPr>
        <w:pStyle w:val="13"/>
        <w:numPr>
          <w:ilvl w:val="0"/>
          <w:numId w:val="2"/>
        </w:numPr>
        <w:spacing w:line="596" w:lineRule="exact"/>
        <w:ind w:firstLineChars="0"/>
        <w:rPr>
          <w:rFonts w:hint="eastAsia"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产出指标</w:t>
      </w:r>
    </w:p>
    <w:p>
      <w:pPr>
        <w:spacing w:line="596" w:lineRule="exact"/>
        <w:ind w:firstLine="640"/>
        <w:rPr>
          <w:rFonts w:hint="eastAsia"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编印社情民意期数，开展政协委员培训活动，提案立案件数，召开区政协全体会议、常委</w:t>
      </w:r>
      <w:r>
        <w:rPr>
          <w:rFonts w:hint="eastAsia" w:eastAsia="方正仿宋_GBK"/>
          <w:sz w:val="32"/>
          <w:szCs w:val="32"/>
          <w:lang w:eastAsia="zh-CN"/>
        </w:rPr>
        <w:t>会</w:t>
      </w:r>
      <w:bookmarkStart w:id="1" w:name="_GoBack"/>
      <w:bookmarkEnd w:id="1"/>
      <w:r>
        <w:rPr>
          <w:rFonts w:hint="eastAsia" w:eastAsia="方正仿宋_GBK"/>
          <w:sz w:val="32"/>
          <w:szCs w:val="32"/>
        </w:rPr>
        <w:t>会议、主席会议、秘书长会议和其他重要会议次数，召开专题协商会形成专题意见，组织专题调研形成调研报告完成率均达100%；项目绩效管理率、预算决算公开率、预算执行率均达100%。</w:t>
      </w:r>
    </w:p>
    <w:p>
      <w:pPr>
        <w:spacing w:line="596" w:lineRule="exact"/>
        <w:ind w:firstLine="640"/>
        <w:rPr>
          <w:rFonts w:hint="eastAsia"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2. 效益指标</w:t>
      </w:r>
    </w:p>
    <w:p>
      <w:pPr>
        <w:spacing w:line="596" w:lineRule="exact"/>
        <w:ind w:firstLine="640"/>
        <w:rPr>
          <w:rFonts w:hint="eastAsia"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有效为政协委员开展各项工作提供会务、人力等支持。</w:t>
      </w:r>
    </w:p>
    <w:p>
      <w:pPr>
        <w:spacing w:line="596" w:lineRule="exact"/>
        <w:ind w:firstLine="640"/>
        <w:rPr>
          <w:rFonts w:hint="eastAsia"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3. 满意度指标</w:t>
      </w:r>
    </w:p>
    <w:p>
      <w:pPr>
        <w:spacing w:line="596" w:lineRule="exact"/>
        <w:ind w:firstLine="64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服务对象满意率100%。</w:t>
      </w:r>
    </w:p>
    <w:p>
      <w:pPr>
        <w:numPr>
          <w:ilvl w:val="0"/>
          <w:numId w:val="3"/>
        </w:numPr>
        <w:spacing w:line="596" w:lineRule="exact"/>
        <w:ind w:firstLine="640" w:firstLineChars="200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主要经验及做法</w:t>
      </w:r>
    </w:p>
    <w:p>
      <w:pPr>
        <w:spacing w:line="596" w:lineRule="exact"/>
        <w:ind w:firstLine="640" w:firstLineChars="200"/>
        <w:rPr>
          <w:rFonts w:eastAsia="方正黑体_GBK"/>
          <w:sz w:val="32"/>
          <w:szCs w:val="32"/>
        </w:rPr>
      </w:pPr>
      <w:r>
        <w:rPr>
          <w:rFonts w:eastAsia="方正仿宋_GBK"/>
          <w:sz w:val="32"/>
          <w:szCs w:val="32"/>
        </w:rPr>
        <w:t>一是领导重视，措施得力；二是科学谋划，方法得当；三是管理严格，制度保证。</w:t>
      </w:r>
    </w:p>
    <w:p>
      <w:pPr>
        <w:spacing w:line="596" w:lineRule="exact"/>
        <w:ind w:firstLine="640" w:firstLineChars="200"/>
        <w:rPr>
          <w:rFonts w:eastAsia="方正黑体_GBK"/>
          <w:sz w:val="32"/>
          <w:szCs w:val="32"/>
        </w:rPr>
      </w:pPr>
      <w:r>
        <w:rPr>
          <w:rFonts w:hint="eastAsia" w:eastAsia="方正黑体_GBK"/>
          <w:sz w:val="32"/>
          <w:szCs w:val="32"/>
        </w:rPr>
        <w:t>五、</w:t>
      </w:r>
      <w:r>
        <w:rPr>
          <w:rFonts w:eastAsia="方正黑体_GBK"/>
          <w:sz w:val="32"/>
          <w:szCs w:val="32"/>
        </w:rPr>
        <w:t>存在的问题和建议</w:t>
      </w:r>
    </w:p>
    <w:p>
      <w:pPr>
        <w:spacing w:line="596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目前存在的问题是</w:t>
      </w:r>
      <w:r>
        <w:rPr>
          <w:rFonts w:eastAsia="方正仿宋_GBK"/>
          <w:sz w:val="32"/>
          <w:szCs w:val="32"/>
        </w:rPr>
        <w:t>预算绩效管理</w:t>
      </w:r>
      <w:r>
        <w:rPr>
          <w:rFonts w:hint="eastAsia" w:eastAsia="方正仿宋_GBK"/>
          <w:sz w:val="32"/>
          <w:szCs w:val="32"/>
        </w:rPr>
        <w:t>相关知识和工作</w:t>
      </w:r>
      <w:r>
        <w:rPr>
          <w:rFonts w:eastAsia="方正仿宋_GBK"/>
          <w:sz w:val="32"/>
          <w:szCs w:val="32"/>
        </w:rPr>
        <w:t>能力</w:t>
      </w:r>
      <w:r>
        <w:rPr>
          <w:rFonts w:hint="eastAsia" w:eastAsia="方正仿宋_GBK"/>
          <w:sz w:val="32"/>
          <w:szCs w:val="32"/>
        </w:rPr>
        <w:t>有待提高</w:t>
      </w:r>
      <w:r>
        <w:rPr>
          <w:rFonts w:eastAsia="方正仿宋_GBK"/>
          <w:sz w:val="32"/>
          <w:szCs w:val="32"/>
        </w:rPr>
        <w:t>。</w:t>
      </w:r>
      <w:r>
        <w:rPr>
          <w:rFonts w:hint="eastAsia" w:eastAsia="方正仿宋_GBK"/>
          <w:sz w:val="32"/>
          <w:szCs w:val="32"/>
        </w:rPr>
        <w:t>建议加强</w:t>
      </w:r>
      <w:r>
        <w:rPr>
          <w:rFonts w:eastAsia="方正仿宋_GBK"/>
          <w:sz w:val="32"/>
          <w:szCs w:val="32"/>
        </w:rPr>
        <w:t>预算绩效管理工作</w:t>
      </w:r>
      <w:r>
        <w:rPr>
          <w:rFonts w:hint="eastAsia" w:eastAsia="方正仿宋_GBK"/>
          <w:sz w:val="32"/>
          <w:szCs w:val="32"/>
        </w:rPr>
        <w:t>学习</w:t>
      </w:r>
      <w:r>
        <w:rPr>
          <w:rFonts w:eastAsia="方正仿宋_GBK"/>
          <w:sz w:val="32"/>
          <w:szCs w:val="32"/>
        </w:rPr>
        <w:t>培训，提高</w:t>
      </w:r>
      <w:r>
        <w:rPr>
          <w:rFonts w:hint="eastAsia" w:eastAsia="方正仿宋_GBK"/>
          <w:sz w:val="32"/>
          <w:szCs w:val="32"/>
        </w:rPr>
        <w:t>干部职工思想</w:t>
      </w:r>
      <w:r>
        <w:rPr>
          <w:rFonts w:eastAsia="方正仿宋_GBK"/>
          <w:sz w:val="32"/>
          <w:szCs w:val="32"/>
        </w:rPr>
        <w:t>认识</w:t>
      </w:r>
      <w:r>
        <w:rPr>
          <w:rFonts w:hint="eastAsia" w:eastAsia="方正仿宋_GBK"/>
          <w:sz w:val="32"/>
          <w:szCs w:val="32"/>
        </w:rPr>
        <w:t>，</w:t>
      </w:r>
      <w:r>
        <w:rPr>
          <w:rFonts w:eastAsia="方正仿宋_GBK"/>
          <w:sz w:val="32"/>
          <w:szCs w:val="32"/>
        </w:rPr>
        <w:t>完善预算绩效管理制度</w:t>
      </w:r>
      <w:r>
        <w:rPr>
          <w:rFonts w:hint="eastAsia" w:eastAsia="方正仿宋_GBK"/>
          <w:sz w:val="32"/>
          <w:szCs w:val="32"/>
        </w:rPr>
        <w:t>，强化规范化建设，明确职责分工，坚持用制度管人管事，</w:t>
      </w:r>
      <w:r>
        <w:rPr>
          <w:rFonts w:eastAsia="方正仿宋_GBK"/>
          <w:sz w:val="32"/>
          <w:szCs w:val="32"/>
        </w:rPr>
        <w:t>提高工作能力和效率</w:t>
      </w:r>
      <w:r>
        <w:rPr>
          <w:rFonts w:hint="eastAsia" w:eastAsia="方正仿宋_GBK"/>
          <w:sz w:val="32"/>
          <w:szCs w:val="32"/>
        </w:rPr>
        <w:t>。</w:t>
      </w:r>
    </w:p>
    <w:p>
      <w:pPr>
        <w:spacing w:line="596" w:lineRule="exact"/>
        <w:ind w:firstLine="640" w:firstLineChars="200"/>
        <w:jc w:val="left"/>
        <w:rPr>
          <w:rFonts w:eastAsia="方正仿宋_GBK"/>
          <w:sz w:val="32"/>
          <w:szCs w:val="32"/>
        </w:rPr>
      </w:pPr>
    </w:p>
    <w:sectPr>
      <w:pgSz w:w="11906" w:h="16838"/>
      <w:pgMar w:top="1588" w:right="1474" w:bottom="1588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Nimbus Roman">
    <w:altName w:val="Segoe Print"/>
    <w:panose1 w:val="00000000000000000000"/>
    <w:charset w:val="00"/>
    <w:family w:val="auto"/>
    <w:pitch w:val="default"/>
    <w:sig w:usb0="00000000" w:usb1="00000000" w:usb2="00000000" w:usb3="00000000" w:csb0="600000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617330276">
    <w:nsid w:val="60668064"/>
    <w:multiLevelType w:val="singleLevel"/>
    <w:tmpl w:val="60668064"/>
    <w:lvl w:ilvl="0" w:tentative="1">
      <w:start w:val="3"/>
      <w:numFmt w:val="chineseCounting"/>
      <w:suff w:val="nothing"/>
      <w:lvlText w:val="（%1）"/>
      <w:lvlJc w:val="left"/>
    </w:lvl>
  </w:abstractNum>
  <w:abstractNum w:abstractNumId="1617334472">
    <w:nsid w:val="606690C8"/>
    <w:multiLevelType w:val="singleLevel"/>
    <w:tmpl w:val="606690C8"/>
    <w:lvl w:ilvl="0" w:tentative="1">
      <w:start w:val="4"/>
      <w:numFmt w:val="chineseCounting"/>
      <w:suff w:val="nothing"/>
      <w:lvlText w:val="%1、"/>
      <w:lvlJc w:val="left"/>
    </w:lvl>
  </w:abstractNum>
  <w:abstractNum w:abstractNumId="345518344">
    <w:nsid w:val="14983108"/>
    <w:multiLevelType w:val="multilevel"/>
    <w:tmpl w:val="14983108"/>
    <w:lvl w:ilvl="0" w:tentative="1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480" w:hanging="420"/>
      </w:pPr>
    </w:lvl>
    <w:lvl w:ilvl="2" w:tentative="1">
      <w:start w:val="1"/>
      <w:numFmt w:val="lowerRoman"/>
      <w:lvlText w:val="%3."/>
      <w:lvlJc w:val="right"/>
      <w:pPr>
        <w:ind w:left="1900" w:hanging="420"/>
      </w:pPr>
    </w:lvl>
    <w:lvl w:ilvl="3" w:tentative="1">
      <w:start w:val="1"/>
      <w:numFmt w:val="decimal"/>
      <w:lvlText w:val="%4."/>
      <w:lvlJc w:val="left"/>
      <w:pPr>
        <w:ind w:left="2320" w:hanging="420"/>
      </w:pPr>
    </w:lvl>
    <w:lvl w:ilvl="4" w:tentative="1">
      <w:start w:val="1"/>
      <w:numFmt w:val="lowerLetter"/>
      <w:lvlText w:val="%5)"/>
      <w:lvlJc w:val="left"/>
      <w:pPr>
        <w:ind w:left="2740" w:hanging="420"/>
      </w:pPr>
    </w:lvl>
    <w:lvl w:ilvl="5" w:tentative="1">
      <w:start w:val="1"/>
      <w:numFmt w:val="lowerRoman"/>
      <w:lvlText w:val="%6."/>
      <w:lvlJc w:val="right"/>
      <w:pPr>
        <w:ind w:left="3160" w:hanging="420"/>
      </w:pPr>
    </w:lvl>
    <w:lvl w:ilvl="6" w:tentative="1">
      <w:start w:val="1"/>
      <w:numFmt w:val="decimal"/>
      <w:lvlText w:val="%7."/>
      <w:lvlJc w:val="left"/>
      <w:pPr>
        <w:ind w:left="3580" w:hanging="420"/>
      </w:pPr>
    </w:lvl>
    <w:lvl w:ilvl="7" w:tentative="1">
      <w:start w:val="1"/>
      <w:numFmt w:val="lowerLetter"/>
      <w:lvlText w:val="%8)"/>
      <w:lvlJc w:val="left"/>
      <w:pPr>
        <w:ind w:left="4000" w:hanging="420"/>
      </w:pPr>
    </w:lvl>
    <w:lvl w:ilvl="8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617330276"/>
  </w:num>
  <w:num w:numId="2">
    <w:abstractNumId w:val="345518344"/>
  </w:num>
  <w:num w:numId="3">
    <w:abstractNumId w:val="161733447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06865"/>
    <w:rsid w:val="00043A15"/>
    <w:rsid w:val="000575E2"/>
    <w:rsid w:val="00063B15"/>
    <w:rsid w:val="0009607E"/>
    <w:rsid w:val="000B5DB9"/>
    <w:rsid w:val="000C0972"/>
    <w:rsid w:val="00171AB3"/>
    <w:rsid w:val="001C3D64"/>
    <w:rsid w:val="001C641A"/>
    <w:rsid w:val="001C6822"/>
    <w:rsid w:val="001E256D"/>
    <w:rsid w:val="001E2D5B"/>
    <w:rsid w:val="00247BB1"/>
    <w:rsid w:val="002571F7"/>
    <w:rsid w:val="002641A6"/>
    <w:rsid w:val="002834C5"/>
    <w:rsid w:val="00293914"/>
    <w:rsid w:val="002C141E"/>
    <w:rsid w:val="002F6627"/>
    <w:rsid w:val="00304656"/>
    <w:rsid w:val="00333D24"/>
    <w:rsid w:val="003532F1"/>
    <w:rsid w:val="00357647"/>
    <w:rsid w:val="00365C0E"/>
    <w:rsid w:val="00381982"/>
    <w:rsid w:val="00381F5B"/>
    <w:rsid w:val="00387F65"/>
    <w:rsid w:val="003B01B9"/>
    <w:rsid w:val="003E4915"/>
    <w:rsid w:val="003E75C4"/>
    <w:rsid w:val="00401B11"/>
    <w:rsid w:val="00422429"/>
    <w:rsid w:val="0043034C"/>
    <w:rsid w:val="00443E03"/>
    <w:rsid w:val="00487348"/>
    <w:rsid w:val="00497B55"/>
    <w:rsid w:val="004C051C"/>
    <w:rsid w:val="004D7511"/>
    <w:rsid w:val="00547BAD"/>
    <w:rsid w:val="00550210"/>
    <w:rsid w:val="005516E1"/>
    <w:rsid w:val="00556757"/>
    <w:rsid w:val="00563118"/>
    <w:rsid w:val="005A221A"/>
    <w:rsid w:val="005B5ED1"/>
    <w:rsid w:val="00606BA5"/>
    <w:rsid w:val="006417E5"/>
    <w:rsid w:val="0064309B"/>
    <w:rsid w:val="00671BB5"/>
    <w:rsid w:val="006772C6"/>
    <w:rsid w:val="006976EC"/>
    <w:rsid w:val="006C793C"/>
    <w:rsid w:val="006D100A"/>
    <w:rsid w:val="006E6E29"/>
    <w:rsid w:val="00725E01"/>
    <w:rsid w:val="00732DA5"/>
    <w:rsid w:val="00770339"/>
    <w:rsid w:val="0077453E"/>
    <w:rsid w:val="007B27A0"/>
    <w:rsid w:val="007C2693"/>
    <w:rsid w:val="007D04AB"/>
    <w:rsid w:val="007D7B0E"/>
    <w:rsid w:val="007E54DF"/>
    <w:rsid w:val="00806211"/>
    <w:rsid w:val="00806865"/>
    <w:rsid w:val="0081273A"/>
    <w:rsid w:val="0081738B"/>
    <w:rsid w:val="0082343D"/>
    <w:rsid w:val="00831BF0"/>
    <w:rsid w:val="00837D1D"/>
    <w:rsid w:val="00844EE6"/>
    <w:rsid w:val="00871B89"/>
    <w:rsid w:val="00880010"/>
    <w:rsid w:val="008A7625"/>
    <w:rsid w:val="008D02AF"/>
    <w:rsid w:val="008D25A0"/>
    <w:rsid w:val="009108DF"/>
    <w:rsid w:val="00974291"/>
    <w:rsid w:val="009A23DE"/>
    <w:rsid w:val="009C7C94"/>
    <w:rsid w:val="00A1196F"/>
    <w:rsid w:val="00A27343"/>
    <w:rsid w:val="00A3725D"/>
    <w:rsid w:val="00A45BE4"/>
    <w:rsid w:val="00AD0DAD"/>
    <w:rsid w:val="00AF31E0"/>
    <w:rsid w:val="00B07031"/>
    <w:rsid w:val="00B17BC3"/>
    <w:rsid w:val="00B34D05"/>
    <w:rsid w:val="00B85927"/>
    <w:rsid w:val="00BC3295"/>
    <w:rsid w:val="00BD1848"/>
    <w:rsid w:val="00BF6FF2"/>
    <w:rsid w:val="00C77086"/>
    <w:rsid w:val="00C858DD"/>
    <w:rsid w:val="00CB064B"/>
    <w:rsid w:val="00CD33CE"/>
    <w:rsid w:val="00CF26C3"/>
    <w:rsid w:val="00D610B4"/>
    <w:rsid w:val="00E05A32"/>
    <w:rsid w:val="00E225F8"/>
    <w:rsid w:val="00E25A0F"/>
    <w:rsid w:val="00E42BE7"/>
    <w:rsid w:val="00E55405"/>
    <w:rsid w:val="00E72086"/>
    <w:rsid w:val="00E91393"/>
    <w:rsid w:val="00EB0A75"/>
    <w:rsid w:val="00EF2A45"/>
    <w:rsid w:val="00F70C2E"/>
    <w:rsid w:val="00F9262E"/>
    <w:rsid w:val="00F93438"/>
    <w:rsid w:val="00FA41F0"/>
    <w:rsid w:val="00FD0041"/>
    <w:rsid w:val="0A706833"/>
    <w:rsid w:val="3A972C4A"/>
    <w:rsid w:val="5F69060A"/>
    <w:rsid w:val="7FEB568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semiHidden="0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unhideWhenUsed/>
    <w:uiPriority w:val="9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nhideWhenUsed/>
    <w:qFormat/>
    <w:uiPriority w:val="99"/>
  </w:style>
  <w:style w:type="paragraph" w:customStyle="1" w:styleId="8">
    <w:name w:val="无间隔1"/>
    <w:qFormat/>
    <w:uiPriority w:val="99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9">
    <w:name w:val="页眉 Char"/>
    <w:basedOn w:val="5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  <w:style w:type="paragraph" w:customStyle="1" w:styleId="12">
    <w:name w:val="列出段落2"/>
    <w:basedOn w:val="1"/>
    <w:qFormat/>
    <w:uiPriority w:val="34"/>
    <w:pPr>
      <w:ind w:firstLine="420" w:firstLineChars="200"/>
    </w:pPr>
  </w:style>
  <w:style w:type="paragraph" w:customStyle="1" w:styleId="13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268</Words>
  <Characters>1534</Characters>
  <Lines>12</Lines>
  <Paragraphs>3</Paragraphs>
  <ScaleCrop>false</ScaleCrop>
  <LinksUpToDate>false</LinksUpToDate>
  <CharactersWithSpaces>1799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2022-10-14T02:12:00Z</dcterms:created>
  <dc:creator>Administrator</dc:creator>
  <cp:lastModifiedBy>Administrator</cp:lastModifiedBy>
  <cp:lastPrinted>2020-04-20T08:58:00Z</cp:lastPrinted>
  <dcterms:modified xsi:type="dcterms:W3CDTF">2024-04-17T10:36:16Z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