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FF0000"/>
          <w:spacing w:val="10"/>
          <w:w w:val="80"/>
          <w:sz w:val="90"/>
          <w:szCs w:val="90"/>
        </w:rPr>
      </w:pPr>
      <w:r>
        <w:rPr>
          <w:rFonts w:ascii="Times New Roman" w:hAnsi="Times New Roman" w:cs="Times New Roman"/>
          <w:b/>
          <w:color w:val="FF0000"/>
          <w:spacing w:val="10"/>
          <w:w w:val="80"/>
          <w:sz w:val="90"/>
          <w:szCs w:val="90"/>
        </w:rPr>
        <w:t>重庆市璧山区妇幼保健院</w:t>
      </w:r>
    </w:p>
    <w:p>
      <w:pPr>
        <w:spacing w:line="620" w:lineRule="exact"/>
        <w:rPr>
          <w:rFonts w:ascii="Times New Roman" w:hAnsi="Times New Roman" w:eastAsia="方正小标宋_GBK" w:cs="Times New Roman"/>
          <w:sz w:val="32"/>
          <w:szCs w:val="32"/>
        </w:rPr>
      </w:pPr>
      <w:bookmarkStart w:id="0" w:name="_GoBack"/>
      <w:r>
        <w:rPr>
          <w:rFonts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153670</wp:posOffset>
                </wp:positionV>
                <wp:extent cx="5684520" cy="0"/>
                <wp:effectExtent l="0" t="28575" r="0" b="32385"/>
                <wp:wrapNone/>
                <wp:docPr id="3" name="直接连接符 3"/>
                <wp:cNvGraphicFramePr/>
                <a:graphic xmlns:a="http://schemas.openxmlformats.org/drawingml/2006/main">
                  <a:graphicData uri="http://schemas.microsoft.com/office/word/2010/wordprocessingShape">
                    <wps:wsp>
                      <wps:cNvSpPr/>
                      <wps:spPr>
                        <a:xfrm>
                          <a:off x="0" y="0"/>
                          <a:ext cx="568452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2.1pt;height:0pt;width:447.6pt;z-index:251659264;mso-width-relative:page;mso-height-relative:page;" filled="f" stroked="t" coordsize="21600,21600" o:gfxdata="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9MCv9IAAAAHAQAADwAAAAAAAAABACAAAAAiAAAAZHJzL2Rvd25yZXYueG1sUEsB&#10;AhQAFAAAAAgAh07iQKdiPK37AQAA6wMAAA4AAAAAAAAAAQAgAAAAIQEAAGRycy9lMm9Eb2MueG1s&#10;UEsFBgAAAAAGAAYAWQEAAI4FAAAAAA==&#10;">
                <v:fill on="f" focussize="0,0"/>
                <v:stroke weight="4.5pt" color="#FF0000" linestyle="thickThin" joinstyle="round"/>
                <v:imagedata o:title=""/>
                <o:lock v:ext="edit" aspectratio="f"/>
              </v:line>
            </w:pict>
          </mc:Fallback>
        </mc:AlternateContent>
      </w:r>
      <w:bookmarkEnd w:id="0"/>
    </w:p>
    <w:p>
      <w:pPr>
        <w:spacing w:line="6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重庆市璧山区妇幼保健院</w:t>
      </w:r>
    </w:p>
    <w:p>
      <w:pPr>
        <w:pStyle w:val="1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eastAsia="方正仿宋_GBK"/>
          <w:sz w:val="32"/>
          <w:szCs w:val="32"/>
        </w:rPr>
      </w:pP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方正仿宋_GBK" w:hAnsi="仿宋_GB2312" w:eastAsia="方正仿宋_GBK" w:cs="仿宋_GB2312"/>
          <w:sz w:val="32"/>
        </w:rPr>
      </w:pPr>
      <w:r>
        <w:rPr>
          <w:rFonts w:hint="eastAsia" w:ascii="方正楷体_GBK" w:hAnsi="方正楷体_GBK" w:eastAsia="方正楷体_GBK" w:cs="方正楷体_GBK"/>
          <w:sz w:val="32"/>
        </w:rPr>
        <w:t>（一）职能职责</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切实履行公共卫生职责，开展与妇女儿童健康密切相关的基本医疗服务。</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完成各级政府和卫生行政部门下达的指令性任务。</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掌握本辖区妇女儿童健康状况及影响因素，协助卫生行政部门制定本辖区妇幼卫生工作的相关政策、技术规范及各项规章制度。</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受卫生行政部门委托对本辖区各级各类医疗保健机构开展的妇幼卫生服务进行检查、考核与评价。</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负责指导和开展本辖区的妇幼保健健康教育与健康促进工作；组织实施本辖区母婴保健技术培训，对基层医疗保健机构开展业务指导，并提供技术支持。</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负责本辖区孕产妇死亡、婴儿及5岁以下儿童死亡、出生缺陷监测、妇幼卫生服务及技术管理等信息的收集、统计、分析、质量控制和汇总上报。</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开展妇女保健服务，包括青春期保健、婚前和孕前保健、孕产期保健、更年期保健、老年期保健。重点加强心理卫生咨询、营养指导、计划生育技术服务、生殖道感染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性传播疾病等妇女常见病防治。</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开展妇幼卫生、生殖健康的应用性科学研究并组织推广适宜技术。</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提供以下基本医疗服务，包括妇女儿童常见疾病诊治、计划生育技术服务、产前筛查、新生儿疾病筛查、助产技术服务、产前诊断、产科并发症处理、新生儿危重症抢救和治疗等。</w:t>
      </w:r>
    </w:p>
    <w:p>
      <w:pPr>
        <w:pStyle w:val="13"/>
        <w:keepNext w:val="0"/>
        <w:keepLines w:val="0"/>
        <w:pageBreakBefore w:val="0"/>
        <w:tabs>
          <w:tab w:val="center" w:pos="4153"/>
          <w:tab w:val="left" w:pos="7275"/>
        </w:tabs>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方正仿宋_GBK" w:hAnsi="仿宋_GB2312" w:eastAsia="方正仿宋_GBK" w:cs="仿宋_GB2312"/>
          <w:sz w:val="32"/>
        </w:rPr>
      </w:pPr>
      <w:r>
        <w:rPr>
          <w:rFonts w:hint="eastAsia" w:ascii="方正楷体_GBK" w:hAnsi="方正楷体_GBK" w:eastAsia="方正楷体_GBK" w:cs="方正楷体_GBK"/>
          <w:kern w:val="2"/>
          <w:sz w:val="32"/>
          <w:szCs w:val="22"/>
          <w:lang w:val="en-US" w:eastAsia="zh-CN" w:bidi="ar-SA"/>
        </w:rPr>
        <w:t>（二）单位构成</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院设置党委办公室（宣传科）、纪检监察室（审计科）、行政办公室、医务部（病案统计室、医患关系办公室、科教部）、人力资源部、后勤保障部（安全保卫科）、感染管理科、财务科（医保办）、护理部、健康教育科、质量与安全管理办公室、信息管理科、设备物资科、群体保健科 14个职能科室；同时围绕妇女儿童着力打造孕产保健、儿童保健、妇女保健和计生服务“四大业务部”，设置妇科、产科、儿科、新生儿科、妇保、儿保、中医科、</w:t>
      </w:r>
      <w:r>
        <w:rPr>
          <w:rFonts w:hint="eastAsia" w:eastAsia="方正仿宋_GBK" w:cs="Times New Roman"/>
          <w:sz w:val="32"/>
          <w:szCs w:val="32"/>
          <w:lang w:eastAsia="zh-CN"/>
        </w:rPr>
        <w:t>口腔科、眼科、</w:t>
      </w:r>
      <w:r>
        <w:rPr>
          <w:rFonts w:hint="default" w:ascii="Times New Roman" w:hAnsi="Times New Roman" w:eastAsia="方正仿宋_GBK" w:cs="Times New Roman"/>
          <w:sz w:val="32"/>
          <w:szCs w:val="32"/>
        </w:rPr>
        <w:t>麻醉科</w:t>
      </w:r>
      <w:r>
        <w:rPr>
          <w:rFonts w:hint="eastAsia" w:eastAsia="方正仿宋_GBK" w:cs="Times New Roman"/>
          <w:sz w:val="32"/>
          <w:szCs w:val="32"/>
          <w:lang w:eastAsia="zh-CN"/>
        </w:rPr>
        <w:t>、体检中心</w:t>
      </w:r>
      <w:r>
        <w:rPr>
          <w:rFonts w:hint="default" w:ascii="Times New Roman" w:hAnsi="Times New Roman" w:eastAsia="方正仿宋_GBK" w:cs="Times New Roman"/>
          <w:sz w:val="32"/>
          <w:szCs w:val="32"/>
        </w:rPr>
        <w:t>等临床科室及药剂、检验、影像、病理等辅助科室，并下设儿童早期发展中心、预防接种中心、产后康复中心、妇科治疗中心等二级科室。</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ascii="Times New Roman" w:hAnsi="方正仿宋_GBK" w:eastAsia="方正仿宋_GBK"/>
          <w:color w:val="000000"/>
          <w:sz w:val="32"/>
          <w:szCs w:val="32"/>
          <w:shd w:val="clear" w:color="auto" w:fill="FFFFFF"/>
        </w:rPr>
      </w:pPr>
      <w:r>
        <w:rPr>
          <w:rFonts w:ascii="Times New Roman" w:hAnsi="方正仿宋_GBK" w:eastAsia="方正仿宋_GBK"/>
          <w:color w:val="000000"/>
          <w:sz w:val="32"/>
          <w:szCs w:val="32"/>
          <w:shd w:val="clear" w:color="auto" w:fill="FFFFFF"/>
        </w:rPr>
        <w:t>本院核定事业编制人数</w:t>
      </w:r>
      <w:r>
        <w:rPr>
          <w:rFonts w:ascii="Times New Roman" w:hAnsi="Times New Roman" w:eastAsia="方正仿宋_GBK"/>
          <w:color w:val="000000"/>
          <w:sz w:val="32"/>
          <w:szCs w:val="32"/>
          <w:shd w:val="clear" w:color="auto" w:fill="FFFFFF"/>
        </w:rPr>
        <w:t>13</w:t>
      </w:r>
      <w:r>
        <w:rPr>
          <w:rFonts w:hint="eastAsia" w:ascii="Times New Roman" w:hAnsi="Times New Roman" w:eastAsia="方正仿宋_GBK"/>
          <w:color w:val="000000"/>
          <w:sz w:val="32"/>
          <w:szCs w:val="32"/>
          <w:shd w:val="clear" w:color="auto" w:fill="FFFFFF"/>
          <w:lang w:val="en-US" w:eastAsia="zh-CN"/>
        </w:rPr>
        <w:t>4</w:t>
      </w:r>
      <w:r>
        <w:rPr>
          <w:rFonts w:ascii="Times New Roman" w:hAnsi="方正仿宋_GBK" w:eastAsia="方正仿宋_GBK"/>
          <w:color w:val="000000"/>
          <w:sz w:val="32"/>
          <w:szCs w:val="32"/>
          <w:shd w:val="clear" w:color="auto" w:fill="FFFFFF"/>
        </w:rPr>
        <w:t>人，</w:t>
      </w:r>
      <w:r>
        <w:rPr>
          <w:rFonts w:hint="eastAsia" w:hAnsi="方正仿宋_GBK" w:eastAsia="方正仿宋_GBK"/>
          <w:color w:val="000000"/>
          <w:sz w:val="32"/>
          <w:szCs w:val="32"/>
          <w:shd w:val="clear" w:color="auto" w:fill="FFFFFF"/>
          <w:lang w:val="en-US" w:eastAsia="zh-CN"/>
        </w:rPr>
        <w:t>2021</w:t>
      </w:r>
      <w:r>
        <w:rPr>
          <w:rFonts w:ascii="Times New Roman" w:hAnsi="方正仿宋_GBK" w:eastAsia="方正仿宋_GBK"/>
          <w:color w:val="000000"/>
          <w:sz w:val="32"/>
          <w:szCs w:val="32"/>
          <w:shd w:val="clear" w:color="auto" w:fill="FFFFFF"/>
        </w:rPr>
        <w:t>年末在编人数</w:t>
      </w:r>
      <w:r>
        <w:rPr>
          <w:rFonts w:ascii="Times New Roman" w:hAnsi="Times New Roman" w:eastAsia="方正仿宋_GBK"/>
          <w:color w:val="000000"/>
          <w:sz w:val="32"/>
          <w:szCs w:val="32"/>
          <w:shd w:val="clear" w:color="auto" w:fill="FFFFFF"/>
        </w:rPr>
        <w:t>12</w:t>
      </w:r>
      <w:r>
        <w:rPr>
          <w:rFonts w:hint="eastAsia" w:ascii="Times New Roman" w:hAnsi="Times New Roman" w:eastAsia="方正仿宋_GBK"/>
          <w:color w:val="000000"/>
          <w:sz w:val="32"/>
          <w:szCs w:val="32"/>
          <w:shd w:val="clear" w:color="auto" w:fill="FFFFFF"/>
          <w:lang w:val="en-US" w:eastAsia="zh-CN"/>
        </w:rPr>
        <w:t>6</w:t>
      </w:r>
      <w:r>
        <w:rPr>
          <w:rFonts w:ascii="Times New Roman" w:hAnsi="方正仿宋_GBK" w:eastAsia="方正仿宋_GBK"/>
          <w:color w:val="000000"/>
          <w:sz w:val="32"/>
          <w:szCs w:val="32"/>
          <w:shd w:val="clear" w:color="auto" w:fill="FFFFFF"/>
        </w:rPr>
        <w:t>人，聘用人数</w:t>
      </w:r>
      <w:r>
        <w:rPr>
          <w:rFonts w:hint="eastAsia" w:ascii="Times New Roman" w:hAnsi="Times New Roman" w:eastAsia="方正仿宋_GBK"/>
          <w:color w:val="000000"/>
          <w:sz w:val="32"/>
          <w:szCs w:val="32"/>
          <w:shd w:val="clear" w:color="auto" w:fill="FFFFFF"/>
          <w:lang w:val="en-US" w:eastAsia="zh-CN"/>
        </w:rPr>
        <w:t>224</w:t>
      </w:r>
      <w:r>
        <w:rPr>
          <w:rFonts w:ascii="Times New Roman" w:hAnsi="方正仿宋_GBK" w:eastAsia="方正仿宋_GBK"/>
          <w:color w:val="000000"/>
          <w:sz w:val="32"/>
          <w:szCs w:val="32"/>
          <w:shd w:val="clear" w:color="auto" w:fill="FFFFFF"/>
        </w:rPr>
        <w:t>人（其中返聘</w:t>
      </w:r>
      <w:r>
        <w:rPr>
          <w:rFonts w:ascii="Times New Roman" w:hAnsi="Times New Roman" w:eastAsia="方正仿宋_GBK"/>
          <w:color w:val="000000"/>
          <w:sz w:val="32"/>
          <w:szCs w:val="32"/>
          <w:shd w:val="clear" w:color="auto" w:fill="FFFFFF"/>
        </w:rPr>
        <w:t>1</w:t>
      </w:r>
      <w:r>
        <w:rPr>
          <w:rFonts w:ascii="Times New Roman" w:hAnsi="方正仿宋_GBK" w:eastAsia="方正仿宋_GBK"/>
          <w:color w:val="000000"/>
          <w:sz w:val="32"/>
          <w:szCs w:val="32"/>
          <w:shd w:val="clear" w:color="auto" w:fill="FFFFFF"/>
        </w:rPr>
        <w:t>人），总计人数</w:t>
      </w:r>
      <w:r>
        <w:rPr>
          <w:rFonts w:ascii="Times New Roman" w:hAnsi="Times New Roman" w:eastAsia="方正仿宋_GBK"/>
          <w:color w:val="000000"/>
          <w:sz w:val="32"/>
          <w:szCs w:val="32"/>
          <w:shd w:val="clear" w:color="auto" w:fill="FFFFFF"/>
        </w:rPr>
        <w:t>3</w:t>
      </w:r>
      <w:r>
        <w:rPr>
          <w:rFonts w:hint="eastAsia" w:eastAsia="方正仿宋_GBK"/>
          <w:color w:val="000000"/>
          <w:sz w:val="32"/>
          <w:szCs w:val="32"/>
          <w:shd w:val="clear" w:color="auto" w:fill="FFFFFF"/>
          <w:lang w:val="en-US" w:eastAsia="zh-CN"/>
        </w:rPr>
        <w:t>50</w:t>
      </w:r>
      <w:r>
        <w:rPr>
          <w:rFonts w:ascii="Times New Roman" w:hAnsi="方正仿宋_GBK" w:eastAsia="方正仿宋_GBK"/>
          <w:color w:val="000000"/>
          <w:sz w:val="32"/>
          <w:szCs w:val="32"/>
          <w:shd w:val="clear" w:color="auto" w:fill="FFFFFF"/>
        </w:rPr>
        <w:t>人。</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eastAsia="方正仿宋_GBK"/>
          <w:sz w:val="32"/>
          <w:szCs w:val="32"/>
        </w:rPr>
      </w:pPr>
      <w:r>
        <w:rPr>
          <w:rFonts w:hint="eastAsia" w:ascii="方正楷体_GBK" w:hAnsi="方正楷体_GBK" w:eastAsia="方正楷体_GBK" w:cs="方正楷体_GBK"/>
          <w:kern w:val="2"/>
          <w:sz w:val="32"/>
          <w:szCs w:val="22"/>
          <w:lang w:val="en-US" w:eastAsia="zh-CN" w:bidi="ar-SA"/>
        </w:rPr>
        <w:t>（三）预算收入及支出情况。</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rPr>
      </w:pPr>
      <w:r>
        <w:rPr>
          <w:rFonts w:hint="eastAsia" w:eastAsia="方正仿宋_GBK"/>
          <w:sz w:val="32"/>
          <w:szCs w:val="32"/>
        </w:rPr>
        <w:t>1.</w:t>
      </w:r>
      <w:r>
        <w:rPr>
          <w:rFonts w:hint="eastAsia" w:eastAsia="方正仿宋_GBK"/>
          <w:sz w:val="32"/>
          <w:szCs w:val="32"/>
          <w:lang w:val="en-US" w:eastAsia="zh-CN"/>
        </w:rPr>
        <w:t xml:space="preserve"> </w:t>
      </w:r>
      <w:r>
        <w:rPr>
          <w:rFonts w:hint="eastAsia" w:eastAsia="方正仿宋_GBK"/>
          <w:sz w:val="32"/>
          <w:szCs w:val="32"/>
        </w:rPr>
        <w:t>预算批复情况</w:t>
      </w:r>
    </w:p>
    <w:p>
      <w:pPr>
        <w:keepNext w:val="0"/>
        <w:keepLines w:val="0"/>
        <w:pageBreakBefore w:val="0"/>
        <w:kinsoku/>
        <w:overflowPunct/>
        <w:topLinePunct w:val="0"/>
        <w:autoSpaceDE/>
        <w:autoSpaceDN/>
        <w:bidi w:val="0"/>
        <w:adjustRightInd/>
        <w:snapToGrid/>
        <w:spacing w:line="620" w:lineRule="exact"/>
        <w:ind w:left="0" w:leftChars="0" w:firstLine="640" w:firstLineChars="200"/>
        <w:jc w:val="both"/>
        <w:rPr>
          <w:rFonts w:hint="default" w:ascii="Times New Roman" w:hAnsi="Times New Roman" w:eastAsia="方正仿宋_GBK" w:cs="Times New Roman"/>
          <w:sz w:val="32"/>
        </w:rPr>
      </w:pPr>
      <w:r>
        <w:rPr>
          <w:rFonts w:hint="default" w:ascii="Times New Roman" w:hAnsi="Times New Roman" w:eastAsia="方正仿宋_GBK" w:cs="Times New Roman"/>
          <w:sz w:val="32"/>
        </w:rPr>
        <w:t>2021年年初预算数16,724.72万元，其中：一般公共预算拨款4,724.72万元，事业收入12,000万元。</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方正仿宋_GBK" w:eastAsia="方正仿宋_GBK"/>
          <w:color w:val="000000"/>
          <w:sz w:val="32"/>
          <w:szCs w:val="32"/>
          <w:shd w:val="clear" w:color="auto" w:fill="FFFFFF"/>
        </w:rPr>
      </w:pPr>
      <w:r>
        <w:rPr>
          <w:rFonts w:hint="eastAsia" w:ascii="Times New Roman" w:hAnsi="方正仿宋_GBK" w:eastAsia="方正仿宋_GBK"/>
          <w:color w:val="000000"/>
          <w:sz w:val="32"/>
          <w:szCs w:val="32"/>
          <w:shd w:val="clear" w:color="auto" w:fill="FFFFFF"/>
        </w:rPr>
        <w:t>2.</w:t>
      </w:r>
      <w:r>
        <w:rPr>
          <w:rFonts w:hint="eastAsia" w:hAnsi="方正仿宋_GBK" w:eastAsia="方正仿宋_GBK"/>
          <w:color w:val="000000"/>
          <w:sz w:val="32"/>
          <w:szCs w:val="32"/>
          <w:shd w:val="clear" w:color="auto" w:fill="FFFFFF"/>
          <w:lang w:val="en-US" w:eastAsia="zh-CN"/>
        </w:rPr>
        <w:t xml:space="preserve"> </w:t>
      </w:r>
      <w:r>
        <w:rPr>
          <w:rFonts w:hint="eastAsia" w:ascii="Times New Roman" w:hAnsi="方正仿宋_GBK" w:eastAsia="方正仿宋_GBK"/>
          <w:color w:val="000000"/>
          <w:sz w:val="32"/>
          <w:szCs w:val="32"/>
          <w:shd w:val="clear" w:color="auto" w:fill="FFFFFF"/>
        </w:rPr>
        <w:t>整体收支情况</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方正仿宋_GBK" w:eastAsia="方正仿宋_GBK"/>
          <w:color w:val="000000"/>
          <w:sz w:val="32"/>
          <w:szCs w:val="32"/>
          <w:shd w:val="clear" w:color="auto" w:fill="FFFFFF"/>
        </w:rPr>
      </w:pPr>
      <w:r>
        <w:rPr>
          <w:rFonts w:hint="eastAsia" w:ascii="Times New Roman" w:hAnsi="方正仿宋_GBK" w:eastAsia="方正仿宋_GBK"/>
          <w:color w:val="000000"/>
          <w:sz w:val="32"/>
          <w:szCs w:val="32"/>
          <w:shd w:val="clear" w:color="auto" w:fill="FFFFFF"/>
        </w:rPr>
        <w:t>2021年</w:t>
      </w:r>
      <w:r>
        <w:rPr>
          <w:rFonts w:hint="eastAsia" w:hAnsi="方正仿宋_GBK" w:eastAsia="方正仿宋_GBK"/>
          <w:color w:val="000000"/>
          <w:sz w:val="32"/>
          <w:szCs w:val="32"/>
          <w:shd w:val="clear" w:color="auto" w:fill="FFFFFF"/>
          <w:lang w:val="en-US" w:eastAsia="zh-CN"/>
        </w:rPr>
        <w:t>医院总</w:t>
      </w:r>
      <w:r>
        <w:rPr>
          <w:rFonts w:hint="eastAsia" w:ascii="Times New Roman" w:hAnsi="方正仿宋_GBK" w:eastAsia="方正仿宋_GBK"/>
          <w:color w:val="000000"/>
          <w:sz w:val="32"/>
          <w:szCs w:val="32"/>
          <w:shd w:val="clear" w:color="auto" w:fill="FFFFFF"/>
        </w:rPr>
        <w:t>收入</w:t>
      </w:r>
      <w:r>
        <w:rPr>
          <w:rFonts w:hint="eastAsia" w:hAnsi="方正仿宋_GBK" w:eastAsia="方正仿宋_GBK"/>
          <w:color w:val="000000"/>
          <w:sz w:val="32"/>
          <w:szCs w:val="32"/>
          <w:shd w:val="clear" w:color="auto" w:fill="FFFFFF"/>
          <w:lang w:val="en-US" w:eastAsia="zh-CN"/>
        </w:rPr>
        <w:t>14,510.43</w:t>
      </w:r>
      <w:r>
        <w:rPr>
          <w:rFonts w:hint="eastAsia" w:ascii="Times New Roman" w:hAnsi="方正仿宋_GBK" w:eastAsia="方正仿宋_GBK"/>
          <w:color w:val="000000"/>
          <w:sz w:val="32"/>
          <w:szCs w:val="32"/>
          <w:shd w:val="clear" w:color="auto" w:fill="FFFFFF"/>
        </w:rPr>
        <w:t>万元，其中：</w:t>
      </w:r>
      <w:r>
        <w:rPr>
          <w:rFonts w:hint="eastAsia" w:hAnsi="方正仿宋_GBK" w:eastAsia="方正仿宋_GBK"/>
          <w:color w:val="000000"/>
          <w:sz w:val="32"/>
          <w:szCs w:val="32"/>
          <w:shd w:val="clear" w:color="auto" w:fill="FFFFFF"/>
          <w:lang w:val="en-US" w:eastAsia="zh-CN"/>
        </w:rPr>
        <w:t>财政拨款收入1,531.98万元，事业收入10,519.77万元，其他收入818.75万元，年初结转和结余1,639.93万元</w:t>
      </w:r>
      <w:r>
        <w:rPr>
          <w:rFonts w:hint="eastAsia" w:ascii="Times New Roman" w:hAnsi="方正仿宋_GBK" w:eastAsia="方正仿宋_GBK"/>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方正仿宋_GBK" w:eastAsia="方正仿宋_GBK"/>
          <w:color w:val="000000"/>
          <w:sz w:val="32"/>
          <w:szCs w:val="32"/>
          <w:shd w:val="clear" w:color="auto" w:fill="FFFFFF"/>
        </w:rPr>
      </w:pPr>
      <w:r>
        <w:rPr>
          <w:rFonts w:hint="eastAsia" w:ascii="Times New Roman" w:hAnsi="方正仿宋_GBK" w:eastAsia="方正仿宋_GBK"/>
          <w:color w:val="000000"/>
          <w:sz w:val="32"/>
          <w:szCs w:val="32"/>
          <w:shd w:val="clear" w:color="auto" w:fill="FFFFFF"/>
        </w:rPr>
        <w:t>2021年</w:t>
      </w:r>
      <w:r>
        <w:rPr>
          <w:rFonts w:hint="eastAsia" w:hAnsi="方正仿宋_GBK" w:eastAsia="方正仿宋_GBK"/>
          <w:color w:val="000000"/>
          <w:sz w:val="32"/>
          <w:szCs w:val="32"/>
          <w:shd w:val="clear" w:color="auto" w:fill="FFFFFF"/>
          <w:lang w:val="en-US" w:eastAsia="zh-CN"/>
        </w:rPr>
        <w:t>医院总</w:t>
      </w:r>
      <w:r>
        <w:rPr>
          <w:rFonts w:hint="eastAsia" w:ascii="Times New Roman" w:hAnsi="方正仿宋_GBK" w:eastAsia="方正仿宋_GBK"/>
          <w:color w:val="000000"/>
          <w:sz w:val="32"/>
          <w:szCs w:val="32"/>
          <w:shd w:val="clear" w:color="auto" w:fill="FFFFFF"/>
        </w:rPr>
        <w:t>支出</w:t>
      </w:r>
      <w:r>
        <w:rPr>
          <w:rFonts w:hint="eastAsia" w:hAnsi="方正仿宋_GBK" w:eastAsia="方正仿宋_GBK"/>
          <w:color w:val="000000"/>
          <w:sz w:val="32"/>
          <w:szCs w:val="32"/>
          <w:shd w:val="clear" w:color="auto" w:fill="FFFFFF"/>
          <w:lang w:val="en-US" w:eastAsia="zh-CN"/>
        </w:rPr>
        <w:t>14,510.43</w:t>
      </w:r>
      <w:r>
        <w:rPr>
          <w:rFonts w:hint="eastAsia" w:ascii="Times New Roman" w:hAnsi="方正仿宋_GBK" w:eastAsia="方正仿宋_GBK"/>
          <w:color w:val="000000"/>
          <w:sz w:val="32"/>
          <w:szCs w:val="32"/>
          <w:shd w:val="clear" w:color="auto" w:fill="FFFFFF"/>
        </w:rPr>
        <w:t>万元，其中：</w:t>
      </w:r>
      <w:r>
        <w:rPr>
          <w:rFonts w:hint="eastAsia" w:hAnsi="方正仿宋_GBK" w:eastAsia="方正仿宋_GBK"/>
          <w:color w:val="000000"/>
          <w:sz w:val="32"/>
          <w:szCs w:val="32"/>
          <w:shd w:val="clear" w:color="auto" w:fill="FFFFFF"/>
          <w:lang w:val="en-US" w:eastAsia="zh-CN"/>
        </w:rPr>
        <w:t>基本支出11,752.54万元，项目支出2,523.97万元，年末结转和结余233.92万元</w:t>
      </w:r>
      <w:r>
        <w:rPr>
          <w:rFonts w:hint="eastAsia" w:ascii="Times New Roman" w:hAnsi="方正仿宋_GBK" w:eastAsia="方正仿宋_GBK"/>
          <w:color w:val="000000"/>
          <w:sz w:val="32"/>
          <w:szCs w:val="32"/>
          <w:shd w:val="clear" w:color="auto" w:fill="FFFFFF"/>
        </w:rPr>
        <w:t>。</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pStyle w:val="13"/>
        <w:keepNext w:val="0"/>
        <w:keepLines w:val="0"/>
        <w:pageBreakBefore w:val="0"/>
        <w:tabs>
          <w:tab w:val="center" w:pos="4153"/>
          <w:tab w:val="left" w:pos="7275"/>
        </w:tabs>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方正楷体_GBK" w:hAnsi="方正楷体_GBK" w:eastAsia="方正楷体_GBK" w:cs="方正楷体_GBK"/>
          <w:kern w:val="2"/>
          <w:sz w:val="32"/>
          <w:szCs w:val="22"/>
          <w:lang w:val="en-US" w:eastAsia="zh-CN" w:bidi="ar-SA"/>
        </w:rPr>
      </w:pPr>
      <w:r>
        <w:rPr>
          <w:rFonts w:hint="eastAsia" w:ascii="方正楷体_GBK" w:hAnsi="方正楷体_GBK" w:eastAsia="方正楷体_GBK" w:cs="方正楷体_GBK"/>
          <w:kern w:val="2"/>
          <w:sz w:val="32"/>
          <w:szCs w:val="22"/>
          <w:lang w:val="en-US" w:eastAsia="zh-CN" w:bidi="ar-SA"/>
        </w:rPr>
        <w:t>（一）绩效评价目的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eastAsia="方正仿宋_GBK"/>
          <w:sz w:val="32"/>
          <w:szCs w:val="32"/>
        </w:rPr>
      </w:pPr>
      <w:r>
        <w:rPr>
          <w:rFonts w:hint="eastAsia" w:eastAsia="方正仿宋_GBK"/>
          <w:sz w:val="32"/>
          <w:szCs w:val="32"/>
          <w:lang w:val="en-US" w:eastAsia="zh-CN"/>
        </w:rPr>
        <w:t>为</w:t>
      </w:r>
      <w:r>
        <w:rPr>
          <w:rFonts w:hint="eastAsia" w:eastAsia="方正仿宋_GBK"/>
          <w:sz w:val="32"/>
          <w:szCs w:val="32"/>
        </w:rPr>
        <w:t>创建三级妇幼保健院，提高高危重孕产妇及新生儿救治能力，</w:t>
      </w:r>
      <w:r>
        <w:rPr>
          <w:rFonts w:hint="eastAsia" w:ascii="Times New Roman" w:hAnsi="Times New Roman" w:eastAsia="方正仿宋_GBK" w:cs="Times New Roman"/>
          <w:sz w:val="32"/>
          <w:szCs w:val="32"/>
          <w:lang w:val="en-US" w:eastAsia="zh-CN"/>
        </w:rPr>
        <w:t>为辖区内妇女儿童</w:t>
      </w:r>
      <w:r>
        <w:rPr>
          <w:rFonts w:hint="eastAsia" w:ascii="Times New Roman" w:hAnsi="Times New Roman" w:eastAsia="方正仿宋_GBK" w:cs="Times New Roman"/>
          <w:sz w:val="32"/>
          <w:szCs w:val="32"/>
        </w:rPr>
        <w:t>提供妇幼保健和</w:t>
      </w:r>
      <w:r>
        <w:rPr>
          <w:rFonts w:hint="eastAsia" w:ascii="Times New Roman" w:hAnsi="Times New Roman" w:eastAsia="方正仿宋_GBK" w:cs="Times New Roman"/>
          <w:sz w:val="32"/>
          <w:szCs w:val="32"/>
          <w:lang w:val="en-US" w:eastAsia="zh-CN"/>
        </w:rPr>
        <w:t>医疗</w:t>
      </w:r>
      <w:r>
        <w:rPr>
          <w:rFonts w:hint="eastAsia" w:ascii="Times New Roman" w:hAnsi="Times New Roman" w:eastAsia="方正仿宋_GBK" w:cs="Times New Roman"/>
          <w:sz w:val="32"/>
          <w:szCs w:val="32"/>
        </w:rPr>
        <w:t>卫生服务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加强医院学科建设，提升了医院服务能力</w:t>
      </w:r>
      <w:r>
        <w:rPr>
          <w:rFonts w:hint="eastAsia" w:ascii="Times New Roman" w:hAnsi="Times New Roman" w:eastAsia="方正仿宋_GBK" w:cs="Times New Roman"/>
          <w:sz w:val="32"/>
          <w:szCs w:val="32"/>
          <w:lang w:val="en-US" w:eastAsia="zh-CN"/>
        </w:rPr>
        <w:t>，满足人民群众日益</w:t>
      </w:r>
      <w:r>
        <w:rPr>
          <w:rFonts w:hint="eastAsia" w:ascii="Times New Roman" w:hAnsi="Times New Roman" w:eastAsia="方正仿宋_GBK" w:cs="Times New Roman"/>
          <w:sz w:val="32"/>
          <w:szCs w:val="32"/>
        </w:rPr>
        <w:t>增长的卫生服务需求</w:t>
      </w:r>
      <w:r>
        <w:rPr>
          <w:rFonts w:hint="default" w:hAnsi="方正仿宋_GBK" w:eastAsia="方正仿宋_GBK"/>
          <w:color w:val="0000FF"/>
          <w:sz w:val="32"/>
          <w:szCs w:val="32"/>
          <w:shd w:val="clear" w:color="auto" w:fill="FFFFFF"/>
          <w:lang w:val="en-US" w:eastAsia="zh-CN"/>
        </w:rPr>
        <w:t>。</w:t>
      </w:r>
    </w:p>
    <w:p>
      <w:pPr>
        <w:pStyle w:val="13"/>
        <w:keepNext w:val="0"/>
        <w:keepLines w:val="0"/>
        <w:pageBreakBefore w:val="0"/>
        <w:tabs>
          <w:tab w:val="center" w:pos="4153"/>
          <w:tab w:val="left" w:pos="7275"/>
        </w:tabs>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方正楷体_GBK" w:hAnsi="方正楷体_GBK" w:eastAsia="方正楷体_GBK" w:cs="方正楷体_GBK"/>
          <w:kern w:val="2"/>
          <w:sz w:val="32"/>
          <w:szCs w:val="22"/>
          <w:lang w:val="en-US" w:eastAsia="zh-CN" w:bidi="ar-SA"/>
        </w:rPr>
      </w:pPr>
      <w:r>
        <w:rPr>
          <w:rFonts w:hint="eastAsia" w:ascii="方正楷体_GBK" w:hAnsi="方正楷体_GBK" w:eastAsia="方正楷体_GBK" w:cs="方正楷体_GBK"/>
          <w:kern w:val="2"/>
          <w:sz w:val="32"/>
          <w:szCs w:val="22"/>
          <w:lang w:val="en-US" w:eastAsia="zh-CN" w:bidi="ar-SA"/>
        </w:rPr>
        <w:t>（二）绩效评价原则</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 xml:space="preserve">1. </w:t>
      </w:r>
      <w:r>
        <w:rPr>
          <w:rFonts w:hint="default" w:ascii="Times New Roman" w:hAnsi="Times New Roman" w:eastAsia="方正仿宋_GBK" w:cs="Times New Roman"/>
          <w:bCs/>
          <w:sz w:val="32"/>
          <w:szCs w:val="32"/>
        </w:rPr>
        <w:t>科学规范原则。在绩效评价过程中严格执行规定的程序，按照科学可行的要求，采用定量与定性的分析相结合的方法。</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 xml:space="preserve">2. </w:t>
      </w:r>
      <w:r>
        <w:rPr>
          <w:rFonts w:hint="default" w:ascii="Times New Roman" w:hAnsi="Times New Roman" w:eastAsia="方正仿宋_GBK" w:cs="Times New Roman"/>
          <w:bCs/>
          <w:sz w:val="32"/>
          <w:szCs w:val="32"/>
        </w:rPr>
        <w:t>公正公开原则。绩效评价应当符合真实、客观、公正的要求，依法公开并接受公众监督。</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 xml:space="preserve">3. </w:t>
      </w:r>
      <w:r>
        <w:rPr>
          <w:rFonts w:hint="default" w:ascii="Times New Roman" w:hAnsi="Times New Roman" w:eastAsia="方正仿宋_GBK" w:cs="Times New Roman"/>
          <w:bCs/>
          <w:sz w:val="32"/>
          <w:szCs w:val="32"/>
        </w:rPr>
        <w:t>绩效相关原则。绩效评价应当针对具体支出及其产出绩效进行，评价结果应当清晰反映支出和产出绩效之间紧密对应关系。</w:t>
      </w:r>
    </w:p>
    <w:p>
      <w:pPr>
        <w:pStyle w:val="13"/>
        <w:keepNext w:val="0"/>
        <w:keepLines w:val="0"/>
        <w:pageBreakBefore w:val="0"/>
        <w:tabs>
          <w:tab w:val="center" w:pos="4153"/>
          <w:tab w:val="left" w:pos="7275"/>
        </w:tabs>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方正楷体_GBK" w:hAnsi="方正楷体_GBK" w:eastAsia="方正楷体_GBK" w:cs="方正楷体_GBK"/>
          <w:kern w:val="2"/>
          <w:sz w:val="32"/>
          <w:szCs w:val="22"/>
          <w:lang w:val="en-US" w:eastAsia="zh-CN" w:bidi="ar-SA"/>
        </w:rPr>
      </w:pPr>
      <w:r>
        <w:rPr>
          <w:rFonts w:hint="eastAsia" w:ascii="方正楷体_GBK" w:hAnsi="方正楷体_GBK" w:eastAsia="方正楷体_GBK" w:cs="方正楷体_GBK"/>
          <w:kern w:val="2"/>
          <w:sz w:val="32"/>
          <w:szCs w:val="22"/>
          <w:lang w:val="en-US" w:eastAsia="zh-CN" w:bidi="ar-SA"/>
        </w:rPr>
        <w:t>（三）绩效评价工作过程</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rPr>
      </w:pPr>
      <w:r>
        <w:rPr>
          <w:rFonts w:hint="eastAsia" w:eastAsia="方正仿宋_GBK"/>
          <w:sz w:val="32"/>
          <w:szCs w:val="32"/>
        </w:rPr>
        <w:t>1.</w:t>
      </w:r>
      <w:r>
        <w:rPr>
          <w:rFonts w:hint="eastAsia" w:eastAsia="方正仿宋_GBK"/>
          <w:sz w:val="32"/>
          <w:szCs w:val="32"/>
          <w:lang w:val="en-US" w:eastAsia="zh-CN"/>
        </w:rPr>
        <w:t xml:space="preserve"> </w:t>
      </w:r>
      <w:r>
        <w:rPr>
          <w:rFonts w:hint="eastAsia" w:eastAsia="方正仿宋_GBK"/>
          <w:sz w:val="32"/>
          <w:szCs w:val="32"/>
        </w:rPr>
        <w:t>前期安排</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rPr>
      </w:pPr>
      <w:r>
        <w:rPr>
          <w:rFonts w:hint="eastAsia" w:eastAsia="方正仿宋_GBK"/>
          <w:sz w:val="32"/>
          <w:szCs w:val="32"/>
        </w:rPr>
        <w:t>为做好</w:t>
      </w:r>
      <w:r>
        <w:rPr>
          <w:rFonts w:hint="eastAsia" w:eastAsia="方正仿宋_GBK"/>
          <w:sz w:val="32"/>
          <w:szCs w:val="32"/>
          <w:lang w:val="en-US" w:eastAsia="zh-CN"/>
        </w:rPr>
        <w:t>2021</w:t>
      </w:r>
      <w:r>
        <w:rPr>
          <w:rFonts w:hint="eastAsia" w:eastAsia="方正仿宋_GBK"/>
          <w:sz w:val="32"/>
          <w:szCs w:val="32"/>
        </w:rPr>
        <w:t>年部门整体支出绩效自评工作，医院进行了充分的前期准备工作，收集了开展绩效自评所需的文件材料。</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rPr>
      </w:pPr>
      <w:r>
        <w:rPr>
          <w:rFonts w:hint="eastAsia" w:eastAsia="方正仿宋_GBK"/>
          <w:sz w:val="32"/>
          <w:szCs w:val="32"/>
        </w:rPr>
        <w:t>2.</w:t>
      </w:r>
      <w:r>
        <w:rPr>
          <w:rFonts w:hint="eastAsia" w:eastAsia="方正仿宋_GBK"/>
          <w:sz w:val="32"/>
          <w:szCs w:val="32"/>
          <w:lang w:val="en-US" w:eastAsia="zh-CN"/>
        </w:rPr>
        <w:t xml:space="preserve"> </w:t>
      </w:r>
      <w:r>
        <w:rPr>
          <w:rFonts w:hint="eastAsia" w:eastAsia="方正仿宋_GBK"/>
          <w:sz w:val="32"/>
          <w:szCs w:val="32"/>
        </w:rPr>
        <w:t>组织实施</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根据区财政局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关于开展2021年度绩效自评工作的通知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璧财绩〔2022〕2号）文件精神</w:t>
      </w:r>
      <w:r>
        <w:rPr>
          <w:rFonts w:hint="default" w:ascii="Times New Roman" w:hAnsi="Times New Roman" w:eastAsia="方正仿宋_GBK" w:cs="Times New Roman"/>
          <w:sz w:val="32"/>
          <w:szCs w:val="32"/>
        </w:rPr>
        <w:t>组织实施20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年度部门整体支出的绩效评价工作。</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rPr>
      </w:pPr>
      <w:r>
        <w:rPr>
          <w:rFonts w:hint="eastAsia" w:eastAsia="方正仿宋_GBK"/>
          <w:sz w:val="32"/>
          <w:szCs w:val="32"/>
        </w:rPr>
        <w:t>（1）收集基础数据。按照要求收集了医院的预决算</w:t>
      </w:r>
      <w:r>
        <w:rPr>
          <w:rFonts w:hint="eastAsia" w:eastAsia="方正仿宋_GBK"/>
          <w:sz w:val="32"/>
          <w:szCs w:val="32"/>
          <w:lang w:val="en-US" w:eastAsia="zh-CN"/>
        </w:rPr>
        <w:t>及其他</w:t>
      </w:r>
      <w:r>
        <w:rPr>
          <w:rFonts w:hint="eastAsia" w:eastAsia="方正仿宋_GBK"/>
          <w:sz w:val="32"/>
          <w:szCs w:val="32"/>
        </w:rPr>
        <w:t>相关财务资料。</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rPr>
      </w:pPr>
      <w:r>
        <w:rPr>
          <w:rFonts w:hint="eastAsia" w:eastAsia="方正仿宋_GBK"/>
          <w:sz w:val="32"/>
          <w:szCs w:val="32"/>
        </w:rPr>
        <w:t>（2）确定绩效评价指标体系。结合医院自身的工作特点，确定部门整体支出绩效评价的指标体系。</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rPr>
      </w:pPr>
      <w:r>
        <w:rPr>
          <w:rFonts w:hint="eastAsia" w:eastAsia="方正仿宋_GBK"/>
          <w:sz w:val="32"/>
          <w:szCs w:val="32"/>
        </w:rPr>
        <w:t>（3）根据收集的</w:t>
      </w:r>
      <w:r>
        <w:rPr>
          <w:rFonts w:hint="eastAsia" w:eastAsia="方正仿宋_GBK"/>
          <w:sz w:val="32"/>
          <w:szCs w:val="32"/>
          <w:lang w:val="en-US" w:eastAsia="zh-CN"/>
        </w:rPr>
        <w:t>资料及</w:t>
      </w:r>
      <w:r>
        <w:rPr>
          <w:rFonts w:hint="eastAsia" w:eastAsia="方正仿宋_GBK"/>
          <w:sz w:val="32"/>
          <w:szCs w:val="32"/>
        </w:rPr>
        <w:t>绩效评价指标体系对医院的各项管理工作、投入与产出进行对比，分析医院的预算编制工作、预算执行工作、预算管理工作及部门人员编制情况等做出绩效评价。</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keepNext w:val="0"/>
        <w:keepLines w:val="0"/>
        <w:pageBreakBefore w:val="0"/>
        <w:kinsoku/>
        <w:overflowPunct/>
        <w:topLinePunct w:val="0"/>
        <w:autoSpaceDE/>
        <w:autoSpaceDN/>
        <w:bidi w:val="0"/>
        <w:adjustRightInd/>
        <w:snapToGrid/>
        <w:spacing w:line="620" w:lineRule="exact"/>
        <w:ind w:left="0" w:leftChars="0" w:firstLine="640" w:firstLineChars="200"/>
        <w:rPr>
          <w:rFonts w:hint="eastAsia" w:eastAsia="方正仿宋_GBK"/>
          <w:sz w:val="32"/>
          <w:szCs w:val="32"/>
          <w:lang w:eastAsia="zh-CN"/>
        </w:rPr>
      </w:pPr>
      <w:r>
        <w:rPr>
          <w:rFonts w:hint="default" w:ascii="Times New Roman" w:hAnsi="Times New Roman" w:eastAsia="方正仿宋_GBK" w:cs="Times New Roman"/>
          <w:sz w:val="32"/>
          <w:szCs w:val="32"/>
          <w:lang w:val="en-US" w:eastAsia="zh-CN"/>
        </w:rPr>
        <w:t>医院结合自身情况，建立了相关的绩效目标，</w:t>
      </w:r>
      <w:r>
        <w:rPr>
          <w:rFonts w:hint="eastAsia" w:eastAsia="方正仿宋_GBK"/>
          <w:sz w:val="32"/>
          <w:szCs w:val="32"/>
          <w:lang w:val="en-US" w:eastAsia="zh-CN"/>
        </w:rPr>
        <w:t>并根据指标</w:t>
      </w:r>
      <w:r>
        <w:rPr>
          <w:rFonts w:hint="eastAsia" w:eastAsia="方正仿宋_GBK"/>
          <w:sz w:val="32"/>
          <w:szCs w:val="32"/>
        </w:rPr>
        <w:t>完成了预算规划的各项工作，履行了部门各项职责，基本达到了预算所设立的主要目标</w:t>
      </w:r>
      <w:r>
        <w:rPr>
          <w:rFonts w:eastAsia="方正仿宋_GBK"/>
          <w:sz w:val="32"/>
          <w:szCs w:val="32"/>
        </w:rPr>
        <w:t>，</w:t>
      </w:r>
      <w:r>
        <w:rPr>
          <w:rFonts w:hint="eastAsia" w:eastAsia="方正仿宋_GBK"/>
          <w:sz w:val="32"/>
          <w:szCs w:val="32"/>
        </w:rPr>
        <w:t>评价总得分为</w:t>
      </w:r>
      <w:r>
        <w:rPr>
          <w:rFonts w:hint="eastAsia" w:eastAsia="方正仿宋_GBK"/>
          <w:sz w:val="32"/>
          <w:szCs w:val="32"/>
          <w:lang w:val="en-US" w:eastAsia="zh-CN"/>
        </w:rPr>
        <w:t>98.67</w:t>
      </w:r>
      <w:r>
        <w:rPr>
          <w:rFonts w:hint="eastAsia" w:eastAsia="方正仿宋_GBK"/>
          <w:sz w:val="32"/>
          <w:szCs w:val="32"/>
        </w:rPr>
        <w:t>分，结论为“</w:t>
      </w:r>
      <w:r>
        <w:rPr>
          <w:rFonts w:eastAsia="方正仿宋_GBK"/>
          <w:sz w:val="32"/>
          <w:szCs w:val="32"/>
        </w:rPr>
        <w:t>优秀</w:t>
      </w:r>
      <w:r>
        <w:rPr>
          <w:rFonts w:hint="eastAsia" w:eastAsia="方正仿宋_GBK"/>
          <w:sz w:val="32"/>
          <w:szCs w:val="32"/>
        </w:rPr>
        <w:t>”</w:t>
      </w:r>
      <w:r>
        <w:rPr>
          <w:rFonts w:hint="eastAsia" w:eastAsia="方正仿宋_GBK"/>
          <w:sz w:val="32"/>
          <w:szCs w:val="32"/>
          <w:lang w:eastAsia="zh-CN"/>
        </w:rPr>
        <w:t>。</w:t>
      </w:r>
    </w:p>
    <w:tbl>
      <w:tblPr>
        <w:tblStyle w:val="6"/>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838"/>
        <w:gridCol w:w="1143"/>
        <w:gridCol w:w="853"/>
        <w:gridCol w:w="1098"/>
        <w:gridCol w:w="133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19" w:type="dxa"/>
            <w:vAlign w:val="center"/>
          </w:tcPr>
          <w:p>
            <w:pPr>
              <w:keepNext w:val="0"/>
              <w:keepLines w:val="0"/>
              <w:pageBreakBefore w:val="0"/>
              <w:kinsoku/>
              <w:wordWrap/>
              <w:overflowPunct/>
              <w:topLinePunct w:val="0"/>
              <w:autoSpaceDE/>
              <w:autoSpaceDN/>
              <w:bidi w:val="0"/>
              <w:adjustRightInd/>
              <w:snapToGrid/>
              <w:spacing w:line="500" w:lineRule="exact"/>
              <w:ind w:left="0" w:leftChars="0" w:firstLine="0" w:firstLineChars="0"/>
              <w:jc w:val="center"/>
              <w:rPr>
                <w:rFonts w:eastAsia="方正黑体_GBK"/>
                <w:sz w:val="32"/>
                <w:szCs w:val="32"/>
                <w:vertAlign w:val="baseline"/>
              </w:rPr>
            </w:pPr>
            <w:r>
              <w:rPr>
                <w:rFonts w:hint="default" w:ascii="Times New Roman" w:hAnsi="Times New Roman" w:eastAsia="方正仿宋_GBK" w:cs="Times New Roman"/>
                <w:i w:val="0"/>
                <w:iCs w:val="0"/>
                <w:color w:val="000000"/>
                <w:kern w:val="0"/>
                <w:sz w:val="28"/>
                <w:szCs w:val="28"/>
                <w:u w:val="none"/>
                <w:lang w:val="en-US" w:eastAsia="zh-CN" w:bidi="ar"/>
              </w:rPr>
              <w:t>指标内容</w:t>
            </w:r>
          </w:p>
        </w:tc>
        <w:tc>
          <w:tcPr>
            <w:tcW w:w="838" w:type="dxa"/>
            <w:vAlign w:val="center"/>
          </w:tcPr>
          <w:p>
            <w:pPr>
              <w:keepNext w:val="0"/>
              <w:keepLines w:val="0"/>
              <w:pageBreakBefore w:val="0"/>
              <w:kinsoku/>
              <w:wordWrap/>
              <w:overflowPunct/>
              <w:topLinePunct w:val="0"/>
              <w:autoSpaceDE/>
              <w:autoSpaceDN/>
              <w:bidi w:val="0"/>
              <w:adjustRightInd/>
              <w:snapToGrid/>
              <w:spacing w:line="500" w:lineRule="exact"/>
              <w:ind w:left="0" w:leftChars="0" w:firstLine="0" w:firstLineChars="0"/>
              <w:jc w:val="center"/>
              <w:rPr>
                <w:rFonts w:eastAsia="方正黑体_GBK"/>
                <w:sz w:val="32"/>
                <w:szCs w:val="32"/>
                <w:vertAlign w:val="baseline"/>
              </w:rPr>
            </w:pPr>
            <w:r>
              <w:rPr>
                <w:rFonts w:hint="default" w:ascii="Times New Roman" w:hAnsi="Times New Roman" w:eastAsia="方正仿宋_GBK" w:cs="Times New Roman"/>
                <w:i w:val="0"/>
                <w:iCs w:val="0"/>
                <w:color w:val="000000"/>
                <w:kern w:val="0"/>
                <w:sz w:val="28"/>
                <w:szCs w:val="28"/>
                <w:u w:val="none"/>
                <w:lang w:val="en-US" w:eastAsia="zh-CN" w:bidi="ar"/>
              </w:rPr>
              <w:t>指标权重</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计量</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jc w:val="center"/>
              <w:rPr>
                <w:rFonts w:eastAsia="方正黑体_GBK"/>
                <w:sz w:val="32"/>
                <w:szCs w:val="32"/>
                <w:vertAlign w:val="baseline"/>
              </w:rPr>
            </w:pPr>
            <w:r>
              <w:rPr>
                <w:rFonts w:hint="default" w:ascii="Times New Roman" w:hAnsi="Times New Roman" w:eastAsia="方正仿宋_GBK" w:cs="Times New Roman"/>
                <w:i w:val="0"/>
                <w:iCs w:val="0"/>
                <w:color w:val="000000"/>
                <w:kern w:val="0"/>
                <w:sz w:val="28"/>
                <w:szCs w:val="28"/>
                <w:u w:val="none"/>
                <w:lang w:val="en-US" w:eastAsia="zh-CN" w:bidi="ar"/>
              </w:rPr>
              <w:t>单位</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指标性质</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指标值</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完成值</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1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预算</w:t>
            </w:r>
            <w:r>
              <w:rPr>
                <w:rFonts w:hint="eastAsia" w:ascii="Times New Roman" w:hAnsi="Times New Roman" w:eastAsia="方正仿宋_GBK" w:cs="Times New Roman"/>
                <w:i w:val="0"/>
                <w:iCs w:val="0"/>
                <w:color w:val="000000"/>
                <w:kern w:val="0"/>
                <w:sz w:val="28"/>
                <w:szCs w:val="28"/>
                <w:u w:val="none"/>
                <w:lang w:val="en-US" w:eastAsia="zh-CN" w:bidi="ar"/>
              </w:rPr>
              <w:t>执行率</w:t>
            </w:r>
          </w:p>
        </w:tc>
        <w:tc>
          <w:tcPr>
            <w:tcW w:w="838" w:type="dxa"/>
            <w:vAlign w:val="center"/>
          </w:tcPr>
          <w:p>
            <w:pPr>
              <w:keepNext w:val="0"/>
              <w:keepLines w:val="0"/>
              <w:pageBreakBefore w:val="0"/>
              <w:kinsoku/>
              <w:wordWrap/>
              <w:overflowPunct/>
              <w:topLinePunct w:val="0"/>
              <w:autoSpaceDE/>
              <w:autoSpaceDN/>
              <w:bidi w:val="0"/>
              <w:adjustRightInd/>
              <w:snapToGrid/>
              <w:spacing w:line="500" w:lineRule="exact"/>
              <w:ind w:left="0" w:leftChars="0" w:firstLine="0" w:firstLineChars="0"/>
              <w:jc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10</w:t>
            </w:r>
          </w:p>
        </w:tc>
        <w:tc>
          <w:tcPr>
            <w:tcW w:w="1143" w:type="dxa"/>
            <w:vAlign w:val="center"/>
          </w:tcPr>
          <w:p>
            <w:pPr>
              <w:keepNext w:val="0"/>
              <w:keepLines w:val="0"/>
              <w:pageBreakBefore w:val="0"/>
              <w:kinsoku/>
              <w:wordWrap/>
              <w:overflowPunct/>
              <w:topLinePunct w:val="0"/>
              <w:autoSpaceDE/>
              <w:autoSpaceDN/>
              <w:bidi w:val="0"/>
              <w:adjustRightInd/>
              <w:snapToGrid/>
              <w:spacing w:line="500" w:lineRule="exact"/>
              <w:ind w:left="0" w:leftChars="0" w:firstLine="0" w:firstLineChars="0"/>
              <w:jc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100</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86.76</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服务性收入占医疗收入比</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20</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30</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36.68</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住院病人人均医药费</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0"/>
                <w:sz w:val="28"/>
                <w:szCs w:val="28"/>
                <w:u w:val="none"/>
                <w:lang w:val="en-US" w:eastAsia="zh-CN" w:bidi="ar"/>
              </w:rPr>
              <w:t>20</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元/人次</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5000</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4348.33</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门诊病人人均医药费</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0"/>
                <w:sz w:val="28"/>
                <w:szCs w:val="28"/>
                <w:u w:val="none"/>
                <w:lang w:val="en-US" w:eastAsia="zh-CN" w:bidi="ar"/>
              </w:rPr>
              <w:t>20</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元/人次</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350</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290.46</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资产负债率</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10</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40</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30.83</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医疗收入较上年同期比较增加</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0"/>
                <w:sz w:val="28"/>
                <w:szCs w:val="28"/>
                <w:u w:val="none"/>
                <w:lang w:val="en-US" w:eastAsia="zh-CN" w:bidi="ar"/>
              </w:rPr>
              <w:t>5</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6.43</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物资验收合格率</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eastAsia" w:eastAsia="方正仿宋_GBK" w:cs="Times New Roman"/>
                <w:i w:val="0"/>
                <w:iCs w:val="0"/>
                <w:color w:val="000000"/>
                <w:kern w:val="0"/>
                <w:sz w:val="28"/>
                <w:szCs w:val="28"/>
                <w:u w:val="none"/>
                <w:lang w:val="en-US" w:eastAsia="zh-CN" w:bidi="ar"/>
              </w:rPr>
              <w:t>5</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100</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100</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资金支付及时性</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5</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100</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100</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社会对医院满意度</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5</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w:t>
            </w:r>
          </w:p>
        </w:tc>
        <w:tc>
          <w:tcPr>
            <w:tcW w:w="109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90</w:t>
            </w:r>
          </w:p>
        </w:tc>
        <w:tc>
          <w:tcPr>
            <w:tcW w:w="1331"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89.77</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eastAsia="方正仿宋_GBK" w:cs="Times New Roman"/>
                <w:i w:val="0"/>
                <w:iCs w:val="0"/>
                <w:color w:val="000000"/>
                <w:kern w:val="0"/>
                <w:sz w:val="28"/>
                <w:szCs w:val="28"/>
                <w:u w:val="none"/>
                <w:lang w:val="en-US" w:eastAsia="zh-CN" w:bidi="ar"/>
              </w:rPr>
              <w:t>4.99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（一）2021年医院以三级创建为中心</w:t>
      </w:r>
      <w:r>
        <w:rPr>
          <w:rFonts w:hint="eastAsia" w:eastAsia="方正仿宋_GBK" w:cs="Times New Roman"/>
          <w:sz w:val="32"/>
          <w:szCs w:val="32"/>
          <w:lang w:val="en-US" w:eastAsia="zh-CN"/>
        </w:rPr>
        <w:t>工作</w:t>
      </w:r>
      <w:r>
        <w:rPr>
          <w:rFonts w:hint="default" w:ascii="Times New Roman" w:hAnsi="Times New Roman" w:eastAsia="方正仿宋_GBK" w:cs="Times New Roman"/>
          <w:sz w:val="32"/>
          <w:szCs w:val="32"/>
          <w:lang w:val="en-US" w:eastAsia="zh-CN"/>
        </w:rPr>
        <w:t>，以绩效管理为抓手，推动医疗服务质量不断提升，公立医院改革</w:t>
      </w:r>
      <w:r>
        <w:rPr>
          <w:rFonts w:hint="eastAsia" w:eastAsia="方正仿宋_GBK" w:cs="Times New Roman"/>
          <w:sz w:val="32"/>
          <w:szCs w:val="32"/>
          <w:lang w:val="en-US" w:eastAsia="zh-CN"/>
        </w:rPr>
        <w:t>持续</w:t>
      </w:r>
      <w:r>
        <w:rPr>
          <w:rFonts w:hint="default" w:ascii="Times New Roman" w:hAnsi="Times New Roman" w:eastAsia="方正仿宋_GBK" w:cs="Times New Roman"/>
          <w:sz w:val="32"/>
          <w:szCs w:val="32"/>
          <w:lang w:val="en-US" w:eastAsia="zh-CN"/>
        </w:rPr>
        <w:t>推进，医疗业务指标稳步增长，财务运行平稳，医院资产保值增值，职工经济待遇水平不断提高，职工权益得到保障。全年预算执行情况良好。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（二）业务指标稳步增长。2021年完成门急诊人次240</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457人次，同比增加24</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766人次，增长11.48 %；完成出院人数8</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104人次，与</w:t>
      </w:r>
      <w:r>
        <w:rPr>
          <w:rFonts w:hint="eastAsia"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年基本持平。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（三）医院资产保值增值。截至2021年底，医院资产总额2.41亿元，医院负债总额0.74亿元，医院净资产总额1.67亿元。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（四）职工待遇不断提高，职工权益得到保障，人员经费占医疗业务费用的比重达到</w:t>
      </w:r>
      <w:r>
        <w:rPr>
          <w:rFonts w:hint="eastAsia" w:ascii="Times New Roman" w:hAnsi="Times New Roman" w:eastAsia="方正仿宋_GBK" w:cs="Times New Roman"/>
          <w:sz w:val="32"/>
          <w:szCs w:val="32"/>
          <w:lang w:val="en-US" w:eastAsia="zh-CN"/>
        </w:rPr>
        <w:t>41.38</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eastAsia="方正黑体_GBK"/>
          <w:sz w:val="32"/>
          <w:szCs w:val="32"/>
        </w:rPr>
      </w:pPr>
      <w:r>
        <w:rPr>
          <w:rFonts w:eastAsia="方正仿宋_GBK"/>
          <w:sz w:val="32"/>
          <w:szCs w:val="32"/>
        </w:rPr>
        <w:t xml:space="preserve">  </w:t>
      </w:r>
      <w:r>
        <w:rPr>
          <w:rFonts w:hint="eastAsia" w:eastAsia="方正黑体_GBK"/>
          <w:sz w:val="32"/>
          <w:szCs w:val="32"/>
        </w:rPr>
        <w:t>四</w:t>
      </w:r>
      <w:r>
        <w:rPr>
          <w:rFonts w:eastAsia="方正黑体_GBK"/>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eastAsia="方正仿宋_GBK"/>
          <w:color w:val="0000FF"/>
          <w:sz w:val="32"/>
          <w:szCs w:val="32"/>
        </w:rPr>
      </w:pPr>
      <w:r>
        <w:rPr>
          <w:rFonts w:hint="default" w:ascii="Times New Roman" w:hAnsi="Times New Roman" w:eastAsia="方正仿宋_GBK" w:cs="Times New Roman"/>
          <w:sz w:val="32"/>
          <w:szCs w:val="32"/>
          <w:lang w:val="en-US" w:eastAsia="zh-CN"/>
        </w:rPr>
        <w:t>进一步健全和完善财务管理制度及内部控制制度，规范医院财务管理程序，积极探索在新形势下全面预算、国库集中支付等财政支出改革的特点，不断更新管理思路，在规范财务收支和控制经费增长上，创新管理手段，用新思路、新方法，改进完善财务管理方法</w:t>
      </w:r>
      <w:r>
        <w:rPr>
          <w:rFonts w:hint="eastAsia" w:eastAsia="方正仿宋_GBK" w:cs="Times New Roman"/>
          <w:sz w:val="32"/>
          <w:szCs w:val="32"/>
          <w:lang w:val="en-US" w:eastAsia="zh-CN"/>
        </w:rPr>
        <w:t>，加强事前预判和事中的监督</w:t>
      </w:r>
      <w:r>
        <w:rPr>
          <w:rFonts w:hint="default" w:ascii="Times New Roman" w:hAnsi="Times New Roman" w:eastAsia="方正仿宋_GBK" w:cs="Times New Roman"/>
          <w:sz w:val="32"/>
          <w:szCs w:val="32"/>
          <w:lang w:val="en-US" w:eastAsia="zh-CN"/>
        </w:rPr>
        <w:t>。按照财政支出绩效管理的要求，建立科学的财政资金效益考评制度体系，牢固树立成本意识，</w:t>
      </w:r>
      <w:r>
        <w:rPr>
          <w:rFonts w:hint="eastAsia" w:eastAsia="方正仿宋_GBK" w:cs="Times New Roman"/>
          <w:sz w:val="32"/>
          <w:szCs w:val="32"/>
          <w:lang w:val="en-US" w:eastAsia="zh-CN"/>
        </w:rPr>
        <w:t>加强医院的成本控制，</w:t>
      </w:r>
      <w:r>
        <w:rPr>
          <w:rFonts w:hint="default" w:ascii="Times New Roman" w:hAnsi="Times New Roman" w:eastAsia="方正仿宋_GBK" w:cs="Times New Roman"/>
          <w:sz w:val="32"/>
          <w:szCs w:val="32"/>
          <w:lang w:val="en-US" w:eastAsia="zh-CN"/>
        </w:rPr>
        <w:t xml:space="preserve">不断提高财政资金使用管理的水平和效率。 </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eastAsia="方正黑体_GBK"/>
          <w:sz w:val="32"/>
          <w:szCs w:val="32"/>
        </w:rPr>
      </w:pPr>
      <w:r>
        <w:rPr>
          <w:rFonts w:hint="eastAsia" w:eastAsia="方正黑体_GBK"/>
          <w:sz w:val="32"/>
          <w:szCs w:val="32"/>
        </w:rPr>
        <w:t>五、</w:t>
      </w:r>
      <w:r>
        <w:rPr>
          <w:rFonts w:eastAsia="方正黑体_GBK"/>
          <w:sz w:val="32"/>
          <w:szCs w:val="32"/>
        </w:rPr>
        <w:t>存在的问题和建议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总的看来，</w:t>
      </w:r>
      <w:r>
        <w:rPr>
          <w:rFonts w:hint="eastAsia" w:eastAsia="方正仿宋_GBK" w:cs="Times New Roman"/>
          <w:sz w:val="32"/>
          <w:szCs w:val="32"/>
          <w:lang w:val="en-US" w:eastAsia="zh-CN"/>
        </w:rPr>
        <w:t>医院</w:t>
      </w:r>
      <w:r>
        <w:rPr>
          <w:rFonts w:hint="eastAsia" w:ascii="Times New Roman" w:hAnsi="Times New Roman" w:eastAsia="方正仿宋_GBK" w:cs="Times New Roman"/>
          <w:sz w:val="32"/>
          <w:szCs w:val="32"/>
          <w:lang w:val="en-US" w:eastAsia="zh-CN"/>
        </w:rPr>
        <w:t>预算绩效管理工作取得一些成绩，但仍有一些需要完善</w:t>
      </w:r>
      <w:r>
        <w:rPr>
          <w:rFonts w:hint="eastAsia"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地方。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1. </w:t>
      </w:r>
      <w:r>
        <w:rPr>
          <w:rFonts w:hint="eastAsia" w:ascii="Times New Roman" w:hAnsi="Times New Roman" w:eastAsia="方正仿宋_GBK" w:cs="Times New Roman"/>
          <w:sz w:val="32"/>
          <w:szCs w:val="32"/>
          <w:lang w:val="en-US" w:eastAsia="zh-CN"/>
        </w:rPr>
        <w:t>评价指标目标体系需要进一步完善，评价对象涉及多个项目，且项目之间差异性大，设置难度大，不能满足工作开展需要。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 工作</w:t>
      </w:r>
      <w:r>
        <w:rPr>
          <w:rFonts w:hint="eastAsia" w:ascii="Times New Roman" w:hAnsi="Times New Roman" w:eastAsia="方正仿宋_GBK" w:cs="Times New Roman"/>
          <w:sz w:val="32"/>
          <w:szCs w:val="32"/>
          <w:lang w:val="en-US" w:eastAsia="zh-CN"/>
        </w:rPr>
        <w:t>人员业务素质有待进一步提高，由于预算绩效管理工作开展时间较短，系统培训不够，无论科室经办人员还是项目执行人员，对预算绩效管理认识高度还不够到位，有时出现对工作重点把握</w:t>
      </w:r>
      <w:r>
        <w:rPr>
          <w:rFonts w:hint="eastAsia" w:eastAsia="方正仿宋_GBK" w:cs="Times New Roman"/>
          <w:sz w:val="32"/>
          <w:szCs w:val="32"/>
          <w:lang w:val="en-US" w:eastAsia="zh-CN"/>
        </w:rPr>
        <w:t>准</w:t>
      </w:r>
      <w:r>
        <w:rPr>
          <w:rFonts w:hint="eastAsia" w:ascii="Times New Roman" w:hAnsi="Times New Roman" w:eastAsia="方正仿宋_GBK" w:cs="Times New Roman"/>
          <w:sz w:val="32"/>
          <w:szCs w:val="32"/>
          <w:lang w:val="en-US" w:eastAsia="zh-CN"/>
        </w:rPr>
        <w:t>，造成绩效评价工作出现偏差。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（二）工作建议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1. </w:t>
      </w:r>
      <w:r>
        <w:rPr>
          <w:rFonts w:hint="eastAsia" w:ascii="Times New Roman" w:hAnsi="Times New Roman" w:eastAsia="方正仿宋_GBK" w:cs="Times New Roman"/>
          <w:sz w:val="32"/>
          <w:szCs w:val="32"/>
          <w:lang w:val="en-US" w:eastAsia="zh-CN"/>
        </w:rPr>
        <w:t>进一步扩大绩效管理范围，逐步细化项目绩效评价内容，增加评价项目数量。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2. </w:t>
      </w:r>
      <w:r>
        <w:rPr>
          <w:rFonts w:hint="eastAsia" w:ascii="Times New Roman" w:hAnsi="Times New Roman" w:eastAsia="方正仿宋_GBK" w:cs="Times New Roman"/>
          <w:sz w:val="32"/>
          <w:szCs w:val="32"/>
          <w:lang w:val="en-US" w:eastAsia="zh-CN"/>
        </w:rPr>
        <w:t>积极运用绩效评价结果，将绩效评价结果与实际工作紧密结合起来，将评价结果作为安排以后年度预算的重要依据，切实发挥绩效评价相应作用。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3. 加强</w:t>
      </w:r>
      <w:r>
        <w:rPr>
          <w:rFonts w:hint="eastAsia" w:ascii="Times New Roman" w:hAnsi="Times New Roman" w:eastAsia="方正仿宋_GBK" w:cs="Times New Roman"/>
          <w:sz w:val="32"/>
          <w:szCs w:val="32"/>
          <w:lang w:val="en-US" w:eastAsia="zh-CN"/>
        </w:rPr>
        <w:t>相关科室人员</w:t>
      </w:r>
      <w:r>
        <w:rPr>
          <w:rFonts w:hint="eastAsia" w:eastAsia="方正仿宋_GBK" w:cs="Times New Roman"/>
          <w:sz w:val="32"/>
          <w:szCs w:val="32"/>
          <w:lang w:val="en-US" w:eastAsia="zh-CN"/>
        </w:rPr>
        <w:t>的培训，</w:t>
      </w:r>
      <w:r>
        <w:rPr>
          <w:rFonts w:hint="eastAsia" w:ascii="Times New Roman" w:hAnsi="Times New Roman" w:eastAsia="方正仿宋_GBK" w:cs="Times New Roman"/>
          <w:sz w:val="32"/>
          <w:szCs w:val="32"/>
          <w:lang w:val="en-US" w:eastAsia="zh-CN"/>
        </w:rPr>
        <w:t>认真学习绩效管理工作相关文件和制度政策，吃透文件精神，明确工作要求。</w:t>
      </w:r>
      <w:r>
        <w:rPr>
          <w:rFonts w:hint="eastAsia" w:eastAsia="方正仿宋_GBK" w:cs="Times New Roman"/>
          <w:sz w:val="32"/>
          <w:szCs w:val="32"/>
          <w:lang w:val="en-US" w:eastAsia="zh-CN"/>
        </w:rPr>
        <w:t>积极参加</w:t>
      </w:r>
      <w:r>
        <w:rPr>
          <w:rFonts w:hint="eastAsia" w:ascii="Times New Roman" w:hAnsi="Times New Roman" w:eastAsia="方正仿宋_GBK" w:cs="Times New Roman"/>
          <w:sz w:val="32"/>
          <w:szCs w:val="32"/>
          <w:lang w:val="en-US" w:eastAsia="zh-CN"/>
        </w:rPr>
        <w:t>上级部门组织</w:t>
      </w:r>
      <w:r>
        <w:rPr>
          <w:rFonts w:hint="eastAsia"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绩效管理培训</w:t>
      </w:r>
      <w:r>
        <w:rPr>
          <w:rFonts w:hint="eastAsia" w:eastAsia="方正仿宋_GBK" w:cs="Times New Roman"/>
          <w:sz w:val="32"/>
          <w:szCs w:val="32"/>
          <w:lang w:val="en-US" w:eastAsia="zh-CN"/>
        </w:rPr>
        <w:t>，强化沟通接受</w:t>
      </w:r>
      <w:r>
        <w:rPr>
          <w:rFonts w:hint="eastAsia" w:ascii="Times New Roman" w:hAnsi="Times New Roman" w:eastAsia="方正仿宋_GBK" w:cs="Times New Roman"/>
          <w:sz w:val="32"/>
          <w:szCs w:val="32"/>
          <w:lang w:val="en-US" w:eastAsia="zh-CN"/>
        </w:rPr>
        <w:t>指导，</w:t>
      </w:r>
      <w:r>
        <w:rPr>
          <w:rFonts w:hint="eastAsia" w:eastAsia="方正仿宋_GBK" w:cs="Times New Roman"/>
          <w:sz w:val="32"/>
          <w:szCs w:val="32"/>
          <w:lang w:val="en-US" w:eastAsia="zh-CN"/>
        </w:rPr>
        <w:t>进一步增强</w:t>
      </w:r>
      <w:r>
        <w:rPr>
          <w:rFonts w:hint="eastAsia" w:ascii="Times New Roman" w:hAnsi="Times New Roman" w:eastAsia="方正仿宋_GBK" w:cs="Times New Roman"/>
          <w:sz w:val="32"/>
          <w:szCs w:val="32"/>
          <w:lang w:val="en-US" w:eastAsia="zh-CN"/>
        </w:rPr>
        <w:t>认识，</w:t>
      </w:r>
      <w:r>
        <w:rPr>
          <w:rFonts w:hint="eastAsia" w:eastAsia="方正仿宋_GBK" w:cs="Times New Roman"/>
          <w:sz w:val="32"/>
          <w:szCs w:val="32"/>
          <w:lang w:val="en-US" w:eastAsia="zh-CN"/>
        </w:rPr>
        <w:t>提高业务水平</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Fonts w:hint="default" w:eastAsia="方正仿宋_GBK"/>
          <w:sz w:val="32"/>
          <w:szCs w:val="32"/>
          <w:lang w:val="en-US" w:eastAsia="zh-CN"/>
        </w:rPr>
      </w:pPr>
      <w:r>
        <w:rPr>
          <w:rFonts w:hint="eastAsia" w:eastAsia="方正仿宋_GBK"/>
          <w:sz w:val="32"/>
          <w:szCs w:val="32"/>
          <w:lang w:val="en-US" w:eastAsia="zh-CN"/>
        </w:rPr>
        <w:t xml:space="preserve">重庆市璧山区妇幼保健院    </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Fonts w:hint="default" w:eastAsia="方正仿宋_GBK"/>
          <w:sz w:val="32"/>
          <w:szCs w:val="32"/>
          <w:lang w:val="en-US" w:eastAsia="zh-CN"/>
        </w:rPr>
      </w:pPr>
      <w:r>
        <w:rPr>
          <w:rFonts w:hint="eastAsia" w:eastAsia="方正仿宋_GBK"/>
          <w:sz w:val="32"/>
          <w:szCs w:val="32"/>
          <w:lang w:val="en-US" w:eastAsia="zh-CN"/>
        </w:rPr>
        <w:t xml:space="preserve">2022年3月30日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BF6537D"/>
    <w:rsid w:val="0D015CDA"/>
    <w:rsid w:val="1D4B2CE0"/>
    <w:rsid w:val="226412CC"/>
    <w:rsid w:val="2B69060C"/>
    <w:rsid w:val="322149DB"/>
    <w:rsid w:val="3A5F0DEF"/>
    <w:rsid w:val="43566636"/>
    <w:rsid w:val="43C8275B"/>
    <w:rsid w:val="516A534F"/>
    <w:rsid w:val="69B41D13"/>
    <w:rsid w:val="7768287C"/>
    <w:rsid w:val="7D2A768D"/>
    <w:rsid w:val="7EF2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paragraph" w:styleId="9">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7"/>
    <w:link w:val="3"/>
    <w:qFormat/>
    <w:uiPriority w:val="99"/>
    <w:rPr>
      <w:rFonts w:ascii="Times New Roman" w:hAnsi="Times New Roman" w:eastAsia="宋体" w:cs="Times New Roman"/>
      <w:sz w:val="18"/>
      <w:szCs w:val="18"/>
    </w:rPr>
  </w:style>
  <w:style w:type="character" w:customStyle="1" w:styleId="11">
    <w:name w:val="页脚 Char"/>
    <w:basedOn w:val="7"/>
    <w:link w:val="2"/>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2809</Words>
  <Characters>3067</Characters>
  <Lines>1</Lines>
  <Paragraphs>1</Paragraphs>
  <TotalTime>15</TotalTime>
  <ScaleCrop>false</ScaleCrop>
  <LinksUpToDate>false</LinksUpToDate>
  <CharactersWithSpaces>3104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2022-03-30T01:06:00Z</cp:lastPrinted>
  <dcterms:modified xsi:type="dcterms:W3CDTF">2022-03-30T02:56:31Z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448538A42B464B4A8DD4B5406C5D4BDE</vt:lpwstr>
  </property>
</Properties>
</file>