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重庆市璧山区妇幼保健院提档升级建设</w:t>
      </w:r>
    </w:p>
    <w:p>
      <w:pPr>
        <w:spacing w:line="560" w:lineRule="exact"/>
        <w:jc w:val="center"/>
        <w:rPr>
          <w:rFonts w:hint="eastAsia" w:ascii="Times New Roman" w:hAnsi="Times New Roman" w:eastAsia="方正仿宋_GBK"/>
          <w:sz w:val="32"/>
          <w:szCs w:val="32"/>
        </w:rPr>
      </w:pPr>
      <w:r>
        <w:rPr>
          <w:rFonts w:hint="eastAsia" w:ascii="Times New Roman" w:hAnsi="Times New Roman" w:eastAsia="方正小标宋_GBK"/>
          <w:sz w:val="44"/>
          <w:szCs w:val="44"/>
        </w:rPr>
        <w:t>项目资金绩效评价报告</w:t>
      </w:r>
    </w:p>
    <w:p>
      <w:pPr>
        <w:spacing w:line="560" w:lineRule="exact"/>
        <w:jc w:val="center"/>
        <w:rPr>
          <w:rFonts w:ascii="Times New Roman" w:hAnsi="Times New Roman" w:eastAsia="方正黑体_GBK"/>
          <w:sz w:val="44"/>
          <w:szCs w:val="44"/>
        </w:rPr>
      </w:pPr>
    </w:p>
    <w:p>
      <w:pPr>
        <w:widowControl w:val="0"/>
        <w:spacing w:line="560" w:lineRule="exact"/>
        <w:ind w:firstLine="640" w:firstLineChars="200"/>
        <w:rPr>
          <w:rFonts w:hint="eastAsia" w:ascii="方正黑体_GBK" w:hAnsi="Times New Roman" w:eastAsia="方正黑体_GBK" w:cs="Times New Roman"/>
          <w:bCs/>
          <w:kern w:val="0"/>
          <w:sz w:val="32"/>
          <w:szCs w:val="32"/>
        </w:rPr>
      </w:pPr>
      <w:bookmarkStart w:id="0" w:name="_Toc20495450"/>
      <w:bookmarkStart w:id="1" w:name="_Toc112769581"/>
      <w:bookmarkStart w:id="2" w:name="_Toc107130591"/>
      <w:r>
        <w:rPr>
          <w:rFonts w:hint="eastAsia" w:ascii="方正黑体_GBK" w:hAnsi="黑体" w:eastAsia="方正黑体_GBK" w:cs="Times New Roman"/>
          <w:sz w:val="32"/>
          <w:szCs w:val="32"/>
        </w:rPr>
        <w:t>一、项目基本情况</w:t>
      </w:r>
    </w:p>
    <w:p>
      <w:pPr>
        <w:widowControl w:val="0"/>
        <w:spacing w:line="560" w:lineRule="exact"/>
        <w:ind w:firstLine="640" w:firstLineChars="200"/>
        <w:rPr>
          <w:rFonts w:ascii="方正黑体_GBK" w:hAnsi="Times New Roman" w:eastAsia="方正黑体_GBK" w:cs="Times New Roman"/>
          <w:bCs/>
          <w:kern w:val="0"/>
          <w:sz w:val="32"/>
          <w:szCs w:val="32"/>
        </w:rPr>
      </w:pPr>
      <w:r>
        <w:rPr>
          <w:rFonts w:hint="eastAsia" w:ascii="Times New Roman" w:hAnsi="Times New Roman" w:eastAsia="方正楷体_GBK" w:cs="Times New Roman"/>
          <w:sz w:val="32"/>
          <w:szCs w:val="32"/>
        </w:rPr>
        <w:t>（一）</w:t>
      </w:r>
      <w:bookmarkEnd w:id="0"/>
      <w:r>
        <w:rPr>
          <w:rFonts w:hint="eastAsia" w:ascii="Times New Roman" w:hAnsi="Times New Roman" w:eastAsia="方正楷体_GBK" w:cs="Times New Roman"/>
          <w:sz w:val="32"/>
          <w:szCs w:val="32"/>
        </w:rPr>
        <w:t>项目背景</w:t>
      </w:r>
      <w:bookmarkEnd w:id="1"/>
      <w:bookmarkEnd w:id="2"/>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重庆市璧山区妇幼保健院（又名重庆市璧山区妇女儿童医院，以下简称“区妇幼保健院”。）建院于</w:t>
      </w:r>
      <w:r>
        <w:rPr>
          <w:rFonts w:ascii="Times New Roman" w:hAnsi="Times New Roman" w:eastAsia="方正仿宋_GBK" w:cs="Times New Roman"/>
          <w:sz w:val="32"/>
          <w:szCs w:val="32"/>
        </w:rPr>
        <w:t>1952年，是一所集医疗、保健、计生、科研教学为一体的</w:t>
      </w:r>
      <w:r>
        <w:rPr>
          <w:rFonts w:hint="eastAsia" w:ascii="Times New Roman" w:hAnsi="Times New Roman" w:eastAsia="方正仿宋_GBK" w:cs="Times New Roman"/>
          <w:sz w:val="32"/>
          <w:szCs w:val="32"/>
        </w:rPr>
        <w:t>二级甲等妇幼保健院</w:t>
      </w:r>
      <w:r>
        <w:rPr>
          <w:rFonts w:ascii="Times New Roman" w:hAnsi="Times New Roman" w:eastAsia="方正仿宋_GBK" w:cs="Times New Roman"/>
          <w:sz w:val="32"/>
          <w:szCs w:val="32"/>
        </w:rPr>
        <w:t>。2010年，医院按照三级专科医院标准设计建设，2013年4月实现整体搬迁</w:t>
      </w:r>
      <w:r>
        <w:rPr>
          <w:rFonts w:hint="eastAsia" w:ascii="Times New Roman" w:hAnsi="Times New Roman" w:eastAsia="方正仿宋_GBK" w:cs="Times New Roman"/>
          <w:sz w:val="32"/>
          <w:szCs w:val="32"/>
        </w:rPr>
        <w:t>。为创建三级妇幼保健院，扩大重庆市璧山区妇幼保健院医疗保健资源供给，更好地为全区妇女儿童提供医疗保健服务，满足辖区内的广大居民公共卫生服务和基本医疗服务需要</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2020年区妇幼保健院</w:t>
      </w:r>
      <w:r>
        <w:rPr>
          <w:rFonts w:ascii="Times New Roman" w:hAnsi="Times New Roman" w:eastAsia="方正仿宋_GBK" w:cs="Times New Roman"/>
          <w:sz w:val="32"/>
          <w:szCs w:val="32"/>
        </w:rPr>
        <w:t>申报</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璧山区妇幼保健院提档升级建设</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项目</w:t>
      </w:r>
      <w:r>
        <w:rPr>
          <w:rFonts w:hint="eastAsia" w:ascii="Times New Roman" w:hAnsi="Times New Roman" w:eastAsia="方正仿宋_GBK" w:cs="Times New Roman"/>
          <w:sz w:val="32"/>
          <w:szCs w:val="32"/>
        </w:rPr>
        <w:t>。项目实施主体为璧山区妇幼保健院。</w:t>
      </w:r>
      <w:bookmarkStart w:id="3" w:name="_Toc107130592"/>
      <w:bookmarkStart w:id="4" w:name="_Toc112769582"/>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（二）项目实施内容</w:t>
      </w:r>
      <w:bookmarkEnd w:id="3"/>
      <w:bookmarkEnd w:id="4"/>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璧山区妇幼保健院提档升级建设</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项目的主要内容为</w:t>
      </w:r>
      <w:r>
        <w:rPr>
          <w:rFonts w:hint="eastAsia" w:ascii="Times New Roman" w:hAnsi="Times New Roman" w:eastAsia="方正仿宋_GBK" w:cs="Times New Roman"/>
          <w:sz w:val="32"/>
          <w:szCs w:val="32"/>
        </w:rPr>
        <w:t>业务用房升级改造及医疗设备更新采购</w:t>
      </w:r>
      <w:r>
        <w:rPr>
          <w:rFonts w:ascii="Times New Roman" w:hAnsi="Times New Roman" w:eastAsia="方正仿宋_GBK" w:cs="Times New Roman"/>
          <w:sz w:val="32"/>
          <w:szCs w:val="32"/>
        </w:rPr>
        <w:t>两部分。</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业务用房升级改造范围为</w:t>
      </w:r>
      <w:r>
        <w:rPr>
          <w:rFonts w:ascii="Times New Roman" w:hAnsi="Times New Roman" w:eastAsia="方正仿宋_GBK" w:cs="Times New Roman"/>
          <w:sz w:val="32"/>
          <w:szCs w:val="32"/>
        </w:rPr>
        <w:t>10000平方米（包括PCR实验室、门急诊、住院病区、重症室、产房、手术室、供应室、心理咨询室、营养室等）</w:t>
      </w:r>
      <w:r>
        <w:rPr>
          <w:rFonts w:hint="eastAsia" w:ascii="Times New Roman" w:hAnsi="Times New Roman" w:eastAsia="方正仿宋_GBK" w:cs="Times New Roman"/>
          <w:sz w:val="32"/>
          <w:szCs w:val="32"/>
        </w:rPr>
        <w:t>,改造内容为现有业务用房的通风空调系统、强电系统、弱电系统、消防系统等，配套建设导视标识系统和信息支撑系统。</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医疗设备采购主要包括新增床位</w:t>
      </w:r>
      <w:r>
        <w:rPr>
          <w:rFonts w:ascii="Times New Roman" w:hAnsi="Times New Roman" w:eastAsia="方正仿宋_GBK" w:cs="Times New Roman"/>
          <w:sz w:val="32"/>
          <w:szCs w:val="32"/>
        </w:rPr>
        <w:t>25张，购置呼吸机、多功能麻醉机、除颤仪、监护仪、恒温箱等设备</w:t>
      </w:r>
      <w:r>
        <w:rPr>
          <w:rFonts w:hint="eastAsia" w:ascii="Times New Roman" w:hAnsi="Times New Roman" w:eastAsia="方正仿宋_GBK" w:cs="Times New Roman"/>
          <w:sz w:val="32"/>
          <w:szCs w:val="32"/>
        </w:rPr>
        <w:t>。</w:t>
      </w:r>
    </w:p>
    <w:p>
      <w:pPr>
        <w:keepNext/>
        <w:keepLines/>
        <w:widowControl w:val="0"/>
        <w:spacing w:line="560" w:lineRule="exact"/>
        <w:ind w:firstLine="640" w:firstLineChars="200"/>
        <w:outlineLvl w:val="1"/>
        <w:rPr>
          <w:rFonts w:ascii="Times New Roman" w:hAnsi="Times New Roman" w:eastAsia="方正楷体_GBK" w:cs="Times New Roman"/>
          <w:sz w:val="32"/>
          <w:szCs w:val="32"/>
        </w:rPr>
      </w:pPr>
      <w:bookmarkStart w:id="5" w:name="_Toc20495452"/>
      <w:bookmarkStart w:id="6" w:name="_Toc107130593"/>
      <w:bookmarkStart w:id="7" w:name="_Toc112769583"/>
      <w:r>
        <w:rPr>
          <w:rFonts w:hint="eastAsia" w:ascii="Times New Roman" w:hAnsi="Times New Roman" w:eastAsia="方正楷体_GBK" w:cs="Times New Roman"/>
          <w:sz w:val="32"/>
          <w:szCs w:val="32"/>
        </w:rPr>
        <w:t>（三）项目资金情况</w:t>
      </w:r>
      <w:bookmarkEnd w:id="5"/>
      <w:bookmarkEnd w:id="6"/>
      <w:bookmarkEnd w:id="7"/>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项目预算安排</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重庆市璧山区发展和改革委员会关于重庆市璧山区妇幼保健院提档升级建设项目可行性研究报告的批复》（壁发改〔2020〕34号），项目批复总投资估算3,864.82万元，资金来源为：向上争取2020年地方债券资金1,930.00万元，其余为地方财政资金或业主自筹。</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2020年4月，该项目进行预算调整，将医疗设备采购、信息系统建设等预算调整为2860.00万元。根据《重庆市璧山区财政局关于拨付“重庆市璧山区妇幼保健院提档升级建设项目”2020年新增政府债券资金的通知》（壁财债务〔2020〕127号），2020年9月争取到专项债券资金共3000.00万元</w:t>
      </w:r>
      <w:r>
        <w:rPr>
          <w:rFonts w:ascii="Times New Roman" w:hAnsi="Times New Roman" w:eastAsia="方正仿宋_GBK" w:cs="Times New Roman"/>
          <w:sz w:val="32"/>
          <w:szCs w:val="32"/>
        </w:rPr>
        <w:t>。</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2020年12月，该项目进行二次预算调整，根据《重庆市璧山区发展和改革委员会关于同意调整重庆市璧山区妇幼保健院提档升级建设项目部分建设内容的批复》（壁发改〔2020〕329号），调整内容为：</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（1）调减内容：PCR实验室改造、多功能产床、手术床、医用吊塔、手术无影灯、呼吸机、便携式彩色超声诊断系统、心理测评及治疗。</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增加内容：全自动细菌鉴定及药敏分析系统、全自动血培养系统、腹腔镜成像系统、口腔综合治疗台、口腔X射线系统、口腔颌面锥形束计算机体层摄影系统、光电一体阴道镜、完善多功能麻醉机及心电监护仪功能、完善信息支撑系统。</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根据《重庆市璧山区财政局关于区妇幼保健院提档升级建设项目设施设备采购调整相关事项的请示》（壁财社便〔2021〕2号），项目调整后共需资金3060.00万元。</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资金到位情况</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根据重庆市璧山区财政局（下文简称“区财政局”）预算批复情况，项目实际到位金额</w:t>
      </w:r>
      <w:r>
        <w:rPr>
          <w:rFonts w:hint="eastAsia" w:ascii="Times New Roman" w:hAnsi="Times New Roman" w:eastAsia="方正仿宋_GBK" w:cs="Times New Roman"/>
          <w:sz w:val="32"/>
          <w:szCs w:val="32"/>
        </w:rPr>
        <w:t>3011.680108</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，其中</w:t>
      </w:r>
      <w:r>
        <w:rPr>
          <w:rFonts w:ascii="Times New Roman" w:hAnsi="Times New Roman" w:eastAsia="方正仿宋_GBK" w:cs="Times New Roman"/>
          <w:sz w:val="32"/>
          <w:szCs w:val="32"/>
        </w:rPr>
        <w:t>专项债券资金</w:t>
      </w:r>
      <w:r>
        <w:rPr>
          <w:rFonts w:hint="eastAsia" w:ascii="Times New Roman" w:hAnsi="Times New Roman" w:eastAsia="方正仿宋_GBK" w:cs="Times New Roman"/>
          <w:sz w:val="32"/>
          <w:szCs w:val="32"/>
        </w:rPr>
        <w:t>3000.00</w:t>
      </w:r>
      <w:r>
        <w:rPr>
          <w:rFonts w:ascii="Times New Roman" w:hAnsi="Times New Roman" w:eastAsia="方正仿宋_GBK" w:cs="Times New Roman"/>
          <w:sz w:val="32"/>
          <w:szCs w:val="32"/>
        </w:rPr>
        <w:t>万元，自有资金</w:t>
      </w:r>
      <w:r>
        <w:rPr>
          <w:rFonts w:hint="eastAsia" w:ascii="Times New Roman" w:hAnsi="Times New Roman" w:eastAsia="方正仿宋_GBK" w:cs="Times New Roman"/>
          <w:sz w:val="32"/>
          <w:szCs w:val="32"/>
        </w:rPr>
        <w:t>11.680108</w:t>
      </w:r>
      <w:r>
        <w:rPr>
          <w:rFonts w:ascii="Times New Roman" w:hAnsi="Times New Roman" w:eastAsia="方正仿宋_GBK" w:cs="Times New Roman"/>
          <w:sz w:val="32"/>
          <w:szCs w:val="32"/>
        </w:rPr>
        <w:t>万元，专项债券资金到位率</w:t>
      </w:r>
      <w:r>
        <w:rPr>
          <w:rFonts w:hint="eastAsia" w:ascii="Times New Roman" w:hAnsi="Times New Roman" w:eastAsia="方正仿宋_GBK" w:cs="Times New Roman"/>
          <w:sz w:val="32"/>
          <w:szCs w:val="32"/>
        </w:rPr>
        <w:t>100.00</w:t>
      </w:r>
      <w:r>
        <w:rPr>
          <w:rFonts w:ascii="Times New Roman" w:hAnsi="Times New Roman" w:eastAsia="方正仿宋_GBK" w:cs="Times New Roman"/>
          <w:sz w:val="32"/>
          <w:szCs w:val="32"/>
        </w:rPr>
        <w:t>%。</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预算执行情况</w:t>
      </w:r>
    </w:p>
    <w:p>
      <w:pPr>
        <w:spacing w:line="56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截至评价日，“</w:t>
      </w:r>
      <w:r>
        <w:rPr>
          <w:rFonts w:hint="eastAsia" w:ascii="Times New Roman" w:hAnsi="Times New Roman" w:eastAsia="方正仿宋_GBK" w:cs="Times New Roman"/>
          <w:sz w:val="32"/>
          <w:szCs w:val="32"/>
        </w:rPr>
        <w:t>璧山区妇幼保健院提档升级建设</w:t>
      </w:r>
      <w:r>
        <w:rPr>
          <w:rFonts w:ascii="Times New Roman" w:hAnsi="Times New Roman" w:eastAsia="方正仿宋_GBK" w:cs="Times New Roman"/>
          <w:sz w:val="32"/>
          <w:szCs w:val="32"/>
        </w:rPr>
        <w:t>”项目采购金额总计3,173.236938万元，项目累计支出3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011.680108万元</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其中专项债券资金支付</w:t>
      </w:r>
      <w:r>
        <w:rPr>
          <w:rFonts w:hint="eastAsia" w:ascii="Times New Roman" w:hAnsi="Times New Roman" w:eastAsia="方正仿宋_GBK" w:cs="Times New Roman"/>
          <w:sz w:val="32"/>
          <w:szCs w:val="32"/>
        </w:rPr>
        <w:t>3000.00</w:t>
      </w:r>
      <w:r>
        <w:rPr>
          <w:rFonts w:ascii="Times New Roman" w:hAnsi="Times New Roman" w:eastAsia="方正仿宋_GBK" w:cs="Times New Roman"/>
          <w:sz w:val="32"/>
          <w:szCs w:val="32"/>
        </w:rPr>
        <w:t>万元，自有资金支付</w:t>
      </w:r>
      <w:r>
        <w:rPr>
          <w:rFonts w:hint="eastAsia" w:ascii="Times New Roman" w:hAnsi="Times New Roman" w:eastAsia="方正仿宋_GBK" w:cs="Times New Roman"/>
          <w:sz w:val="32"/>
          <w:szCs w:val="32"/>
        </w:rPr>
        <w:t>11.680108</w:t>
      </w:r>
      <w:r>
        <w:rPr>
          <w:rFonts w:ascii="Times New Roman" w:hAnsi="Times New Roman" w:eastAsia="方正仿宋_GBK" w:cs="Times New Roman"/>
          <w:sz w:val="32"/>
          <w:szCs w:val="32"/>
        </w:rPr>
        <w:t>万元，专项债券资金执行进度为</w:t>
      </w:r>
      <w:r>
        <w:rPr>
          <w:rFonts w:hint="eastAsia" w:ascii="Times New Roman" w:hAnsi="Times New Roman" w:eastAsia="方正仿宋_GBK" w:cs="Times New Roman"/>
          <w:sz w:val="32"/>
          <w:szCs w:val="32"/>
        </w:rPr>
        <w:t>100.00</w:t>
      </w:r>
      <w:r>
        <w:rPr>
          <w:rFonts w:ascii="Times New Roman" w:hAnsi="Times New Roman" w:eastAsia="方正仿宋_GBK" w:cs="Times New Roman"/>
          <w:sz w:val="32"/>
          <w:szCs w:val="32"/>
        </w:rPr>
        <w:t>%，总体执行进度为</w:t>
      </w:r>
      <w:r>
        <w:rPr>
          <w:rFonts w:hint="eastAsia" w:ascii="Times New Roman" w:hAnsi="Times New Roman" w:eastAsia="方正仿宋_GBK" w:cs="Times New Roman"/>
          <w:sz w:val="32"/>
          <w:szCs w:val="32"/>
        </w:rPr>
        <w:t>94.91%，剩余未支付金额为扣除的5%质保金，待质保期满后由区妇幼保健院自筹支付</w:t>
      </w:r>
      <w:r>
        <w:rPr>
          <w:rFonts w:ascii="Times New Roman" w:hAnsi="Times New Roman" w:eastAsia="方正仿宋_GBK" w:cs="Times New Roman"/>
          <w:sz w:val="32"/>
          <w:szCs w:val="32"/>
        </w:rPr>
        <w:t>。</w:t>
      </w:r>
      <w:bookmarkStart w:id="8" w:name="_Toc20495454"/>
      <w:bookmarkStart w:id="9" w:name="_Toc107130594"/>
      <w:bookmarkStart w:id="10" w:name="_Toc112769584"/>
    </w:p>
    <w:p>
      <w:pPr>
        <w:spacing w:line="560" w:lineRule="exact"/>
        <w:ind w:firstLine="640" w:firstLineChars="200"/>
        <w:rPr>
          <w:rFonts w:hint="eastAsia" w:ascii="Times New Roman" w:hAnsi="Times New Roman" w:eastAsia="方正仿宋_GBK" w:cs="Times New Roman"/>
          <w:sz w:val="32"/>
          <w:szCs w:val="32"/>
        </w:rPr>
      </w:pPr>
      <w:r>
        <w:rPr>
          <w:rFonts w:hint="eastAsia" w:ascii="方正黑体_GBK" w:hAnsi="Times New Roman" w:eastAsia="方正黑体_GBK" w:cs="Times New Roman"/>
          <w:sz w:val="32"/>
          <w:szCs w:val="32"/>
        </w:rPr>
        <w:t>二、评价情况</w:t>
      </w:r>
      <w:bookmarkEnd w:id="8"/>
      <w:bookmarkEnd w:id="9"/>
      <w:bookmarkEnd w:id="10"/>
      <w:bookmarkStart w:id="11" w:name="_Toc107130601"/>
      <w:bookmarkStart w:id="12" w:name="_Toc112769590"/>
    </w:p>
    <w:bookmarkEnd w:id="11"/>
    <w:bookmarkEnd w:id="12"/>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评价工作组根据项目实际情况，经综合评价</w:t>
      </w:r>
      <w:bookmarkStart w:id="13" w:name="_Hlk103895513"/>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璧山区妇幼保健院提档升级建设</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项目</w:t>
      </w:r>
      <w:bookmarkEnd w:id="13"/>
      <w:r>
        <w:rPr>
          <w:rFonts w:ascii="Times New Roman" w:hAnsi="Times New Roman" w:eastAsia="方正仿宋_GBK" w:cs="Times New Roman"/>
          <w:sz w:val="32"/>
          <w:szCs w:val="32"/>
        </w:rPr>
        <w:t>综合得分</w:t>
      </w:r>
      <w:r>
        <w:rPr>
          <w:rFonts w:hint="eastAsia" w:ascii="Times New Roman" w:hAnsi="Times New Roman" w:eastAsia="方正仿宋_GBK" w:cs="Times New Roman"/>
          <w:sz w:val="32"/>
          <w:szCs w:val="32"/>
        </w:rPr>
        <w:t>86.25</w:t>
      </w:r>
      <w:r>
        <w:rPr>
          <w:rFonts w:ascii="Times New Roman" w:hAnsi="Times New Roman" w:eastAsia="方正仿宋_GBK" w:cs="Times New Roman"/>
          <w:sz w:val="32"/>
          <w:szCs w:val="32"/>
        </w:rPr>
        <w:t>分，项目综合绩效评定结论为</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良好</w:t>
      </w:r>
      <w:r>
        <w:rPr>
          <w:rFonts w:hint="eastAsia" w:ascii="Times New Roman" w:hAnsi="Times New Roman" w:eastAsia="方正仿宋_GBK" w:cs="Times New Roman"/>
          <w:sz w:val="32"/>
          <w:szCs w:val="32"/>
          <w:lang w:eastAsia="zh-CN"/>
        </w:rPr>
        <w:t>”</w:t>
      </w:r>
      <w:bookmarkStart w:id="39" w:name="_GoBack"/>
      <w:bookmarkEnd w:id="39"/>
      <w:r>
        <w:rPr>
          <w:rFonts w:ascii="Times New Roman" w:hAnsi="Times New Roman" w:eastAsia="方正仿宋_GBK" w:cs="Times New Roman"/>
          <w:sz w:val="32"/>
          <w:szCs w:val="32"/>
        </w:rPr>
        <w:t>。</w:t>
      </w:r>
    </w:p>
    <w:p>
      <w:pPr>
        <w:widowControl w:val="0"/>
        <w:spacing w:after="156" w:afterLines="50" w:line="560" w:lineRule="exact"/>
        <w:ind w:firstLine="560" w:firstLineChars="200"/>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表2项目绩效评分表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3021"/>
        <w:gridCol w:w="3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blHeader/>
        </w:trPr>
        <w:tc>
          <w:tcPr>
            <w:tcW w:w="1252" w:type="pct"/>
            <w:shd w:val="clear" w:color="auto" w:fill="auto"/>
            <w:vAlign w:val="center"/>
          </w:tcPr>
          <w:p>
            <w:pPr>
              <w:spacing w:line="560" w:lineRule="exact"/>
              <w:jc w:val="center"/>
              <w:rPr>
                <w:rFonts w:ascii="Times New Roman" w:hAnsi="Times New Roman" w:eastAsia="方正仿宋_GBK" w:cs="Times New Roman"/>
                <w:b/>
                <w:bCs/>
                <w:color w:val="000000"/>
                <w:kern w:val="0"/>
                <w:sz w:val="28"/>
                <w:szCs w:val="28"/>
              </w:rPr>
            </w:pPr>
            <w:r>
              <w:rPr>
                <w:rFonts w:hint="eastAsia" w:ascii="Times New Roman" w:hAnsi="Times New Roman" w:eastAsia="方正仿宋_GBK" w:cs="Times New Roman"/>
                <w:b/>
                <w:bCs/>
                <w:color w:val="000000"/>
                <w:kern w:val="0"/>
                <w:sz w:val="28"/>
                <w:szCs w:val="28"/>
              </w:rPr>
              <w:t>指标</w:t>
            </w:r>
          </w:p>
        </w:tc>
        <w:tc>
          <w:tcPr>
            <w:tcW w:w="1667" w:type="pct"/>
            <w:shd w:val="clear" w:color="auto" w:fill="auto"/>
            <w:vAlign w:val="center"/>
          </w:tcPr>
          <w:p>
            <w:pPr>
              <w:spacing w:line="560" w:lineRule="exact"/>
              <w:jc w:val="center"/>
              <w:rPr>
                <w:rFonts w:ascii="Times New Roman" w:hAnsi="Times New Roman" w:eastAsia="方正仿宋_GBK" w:cs="Times New Roman"/>
                <w:b/>
                <w:bCs/>
                <w:color w:val="000000"/>
                <w:kern w:val="0"/>
                <w:sz w:val="28"/>
                <w:szCs w:val="28"/>
              </w:rPr>
            </w:pPr>
            <w:r>
              <w:rPr>
                <w:rFonts w:hint="eastAsia" w:ascii="Times New Roman" w:hAnsi="Times New Roman" w:eastAsia="方正仿宋_GBK" w:cs="Times New Roman"/>
                <w:b/>
                <w:bCs/>
                <w:color w:val="000000"/>
                <w:kern w:val="0"/>
                <w:sz w:val="28"/>
                <w:szCs w:val="28"/>
              </w:rPr>
              <w:t>权重分</w:t>
            </w:r>
          </w:p>
        </w:tc>
        <w:tc>
          <w:tcPr>
            <w:tcW w:w="2081" w:type="pct"/>
            <w:shd w:val="clear" w:color="auto" w:fill="auto"/>
            <w:vAlign w:val="center"/>
          </w:tcPr>
          <w:p>
            <w:pPr>
              <w:spacing w:line="560" w:lineRule="exact"/>
              <w:jc w:val="center"/>
              <w:rPr>
                <w:rFonts w:ascii="Times New Roman" w:hAnsi="Times New Roman" w:eastAsia="方正仿宋_GBK" w:cs="Times New Roman"/>
                <w:b/>
                <w:bCs/>
                <w:color w:val="000000"/>
                <w:kern w:val="0"/>
                <w:sz w:val="28"/>
                <w:szCs w:val="28"/>
              </w:rPr>
            </w:pPr>
            <w:r>
              <w:rPr>
                <w:rFonts w:hint="eastAsia" w:ascii="Times New Roman" w:hAnsi="Times New Roman" w:eastAsia="方正仿宋_GBK" w:cs="Times New Roman"/>
                <w:b/>
                <w:bCs/>
                <w:color w:val="000000"/>
                <w:kern w:val="0"/>
                <w:sz w:val="28"/>
                <w:szCs w:val="28"/>
              </w:rPr>
              <w:t>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52" w:type="pct"/>
            <w:shd w:val="clear" w:color="auto" w:fill="auto"/>
            <w:vAlign w:val="center"/>
          </w:tcPr>
          <w:p>
            <w:pPr>
              <w:spacing w:line="560" w:lineRule="exact"/>
              <w:jc w:val="center"/>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决策</w:t>
            </w:r>
          </w:p>
        </w:tc>
        <w:tc>
          <w:tcPr>
            <w:tcW w:w="1667" w:type="pct"/>
            <w:shd w:val="clear" w:color="auto" w:fill="auto"/>
            <w:vAlign w:val="center"/>
          </w:tcPr>
          <w:p>
            <w:pPr>
              <w:spacing w:line="560" w:lineRule="exact"/>
              <w:jc w:val="center"/>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15</w:t>
            </w:r>
          </w:p>
        </w:tc>
        <w:tc>
          <w:tcPr>
            <w:tcW w:w="2081" w:type="pct"/>
            <w:shd w:val="clear" w:color="auto" w:fill="auto"/>
            <w:vAlign w:val="center"/>
          </w:tcPr>
          <w:p>
            <w:pPr>
              <w:spacing w:line="560" w:lineRule="exact"/>
              <w:jc w:val="center"/>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252" w:type="pct"/>
            <w:shd w:val="clear" w:color="auto" w:fill="auto"/>
            <w:vAlign w:val="center"/>
          </w:tcPr>
          <w:p>
            <w:pPr>
              <w:spacing w:line="560" w:lineRule="exact"/>
              <w:jc w:val="center"/>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管理</w:t>
            </w:r>
          </w:p>
        </w:tc>
        <w:tc>
          <w:tcPr>
            <w:tcW w:w="1667" w:type="pct"/>
            <w:shd w:val="clear" w:color="auto" w:fill="auto"/>
            <w:vAlign w:val="center"/>
          </w:tcPr>
          <w:p>
            <w:pPr>
              <w:spacing w:line="560" w:lineRule="exact"/>
              <w:jc w:val="center"/>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15</w:t>
            </w:r>
          </w:p>
        </w:tc>
        <w:tc>
          <w:tcPr>
            <w:tcW w:w="2081" w:type="pct"/>
            <w:shd w:val="clear" w:color="auto" w:fill="auto"/>
            <w:vAlign w:val="center"/>
          </w:tcPr>
          <w:p>
            <w:pPr>
              <w:spacing w:line="560" w:lineRule="exact"/>
              <w:jc w:val="center"/>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252" w:type="pct"/>
            <w:shd w:val="clear" w:color="auto" w:fill="auto"/>
            <w:vAlign w:val="center"/>
          </w:tcPr>
          <w:p>
            <w:pPr>
              <w:spacing w:line="560" w:lineRule="exact"/>
              <w:jc w:val="center"/>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产出</w:t>
            </w:r>
          </w:p>
        </w:tc>
        <w:tc>
          <w:tcPr>
            <w:tcW w:w="1667" w:type="pct"/>
            <w:shd w:val="clear" w:color="auto" w:fill="auto"/>
            <w:vAlign w:val="center"/>
          </w:tcPr>
          <w:p>
            <w:pPr>
              <w:spacing w:line="560" w:lineRule="exact"/>
              <w:jc w:val="center"/>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34</w:t>
            </w:r>
          </w:p>
        </w:tc>
        <w:tc>
          <w:tcPr>
            <w:tcW w:w="2081" w:type="pct"/>
            <w:shd w:val="clear" w:color="auto" w:fill="auto"/>
            <w:vAlign w:val="center"/>
          </w:tcPr>
          <w:p>
            <w:pPr>
              <w:spacing w:line="560" w:lineRule="exact"/>
              <w:jc w:val="center"/>
              <w:rPr>
                <w:rFonts w:ascii="Times New Roman" w:hAnsi="Times New Roman" w:eastAsia="方正仿宋_GBK" w:cs="Times New Roman"/>
                <w:color w:val="000000"/>
                <w:kern w:val="0"/>
                <w:sz w:val="28"/>
                <w:szCs w:val="28"/>
              </w:rPr>
            </w:pPr>
            <w:r>
              <w:rPr>
                <w:rFonts w:ascii="Times New Roman" w:hAnsi="Times New Roman" w:eastAsia="方正仿宋_GBK" w:cs="Times New Roman"/>
                <w:color w:val="000000"/>
                <w:kern w:val="0"/>
                <w:sz w:val="28"/>
                <w:szCs w:val="28"/>
              </w:rPr>
              <w:t>31</w:t>
            </w:r>
            <w:r>
              <w:rPr>
                <w:rFonts w:hint="eastAsia" w:ascii="Times New Roman" w:hAnsi="Times New Roman" w:eastAsia="方正仿宋_GBK" w:cs="Times New Roman"/>
                <w:color w:val="000000"/>
                <w:kern w:val="0"/>
                <w:sz w:val="28"/>
                <w:szCs w:val="28"/>
              </w:rPr>
              <w:t>.</w:t>
            </w:r>
            <w:r>
              <w:rPr>
                <w:rFonts w:ascii="Times New Roman" w:hAnsi="Times New Roman" w:eastAsia="方正仿宋_GBK" w:cs="Times New Roman"/>
                <w:color w:val="000000"/>
                <w:kern w:val="0"/>
                <w:sz w:val="28"/>
                <w:szCs w:val="28"/>
              </w:rPr>
              <w:t>0</w:t>
            </w:r>
            <w:r>
              <w:rPr>
                <w:rFonts w:hint="eastAsia" w:ascii="Times New Roman" w:hAnsi="Times New Roman" w:eastAsia="方正仿宋_GBK" w:cs="Times New Roman"/>
                <w:color w:val="000000"/>
                <w:kern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52" w:type="pct"/>
            <w:shd w:val="clear" w:color="auto" w:fill="auto"/>
            <w:vAlign w:val="center"/>
          </w:tcPr>
          <w:p>
            <w:pPr>
              <w:spacing w:line="560" w:lineRule="exact"/>
              <w:jc w:val="center"/>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效果</w:t>
            </w:r>
          </w:p>
        </w:tc>
        <w:tc>
          <w:tcPr>
            <w:tcW w:w="1667" w:type="pct"/>
            <w:shd w:val="clear" w:color="auto" w:fill="auto"/>
            <w:vAlign w:val="center"/>
          </w:tcPr>
          <w:p>
            <w:pPr>
              <w:spacing w:line="560" w:lineRule="exact"/>
              <w:jc w:val="center"/>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36</w:t>
            </w:r>
          </w:p>
        </w:tc>
        <w:tc>
          <w:tcPr>
            <w:tcW w:w="2081" w:type="pct"/>
            <w:shd w:val="clear" w:color="auto" w:fill="auto"/>
            <w:vAlign w:val="center"/>
          </w:tcPr>
          <w:p>
            <w:pPr>
              <w:spacing w:line="560" w:lineRule="exact"/>
              <w:jc w:val="center"/>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52" w:type="pct"/>
            <w:shd w:val="clear" w:color="auto" w:fill="auto"/>
            <w:vAlign w:val="center"/>
          </w:tcPr>
          <w:p>
            <w:pPr>
              <w:spacing w:line="560" w:lineRule="exact"/>
              <w:jc w:val="center"/>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合计</w:t>
            </w:r>
          </w:p>
        </w:tc>
        <w:tc>
          <w:tcPr>
            <w:tcW w:w="1667" w:type="pct"/>
            <w:shd w:val="clear" w:color="auto" w:fill="auto"/>
            <w:vAlign w:val="center"/>
          </w:tcPr>
          <w:p>
            <w:pPr>
              <w:spacing w:line="560" w:lineRule="exact"/>
              <w:jc w:val="center"/>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100</w:t>
            </w:r>
          </w:p>
        </w:tc>
        <w:tc>
          <w:tcPr>
            <w:tcW w:w="2081" w:type="pct"/>
            <w:shd w:val="clear" w:color="auto" w:fill="auto"/>
            <w:vAlign w:val="center"/>
          </w:tcPr>
          <w:p>
            <w:pPr>
              <w:spacing w:line="560" w:lineRule="exact"/>
              <w:jc w:val="center"/>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sz w:val="32"/>
                <w:szCs w:val="32"/>
              </w:rPr>
              <w:t>86.25</w:t>
            </w:r>
          </w:p>
        </w:tc>
      </w:tr>
    </w:tbl>
    <w:p>
      <w:pPr>
        <w:widowControl w:val="0"/>
        <w:topLinePunct/>
        <w:autoSpaceDE w:val="0"/>
        <w:spacing w:line="560" w:lineRule="exact"/>
        <w:ind w:firstLine="640" w:firstLineChars="200"/>
        <w:rPr>
          <w:rFonts w:hint="eastAsia" w:ascii="方正黑体_GBK" w:hAnsi="黑体" w:eastAsia="方正黑体_GBK" w:cs="Times New Roman"/>
          <w:sz w:val="32"/>
          <w:szCs w:val="32"/>
        </w:rPr>
      </w:pPr>
      <w:bookmarkStart w:id="14" w:name="_Toc112769594"/>
      <w:bookmarkStart w:id="15" w:name="_Toc107130605"/>
      <w:bookmarkStart w:id="16" w:name="_Toc107226699"/>
      <w:r>
        <w:rPr>
          <w:rFonts w:hint="eastAsia" w:ascii="方正黑体_GBK" w:hAnsi="黑体" w:eastAsia="方正黑体_GBK" w:cs="Times New Roman"/>
          <w:sz w:val="32"/>
          <w:szCs w:val="32"/>
        </w:rPr>
        <w:t>三、存在的问题</w:t>
      </w:r>
    </w:p>
    <w:p>
      <w:pPr>
        <w:widowControl w:val="0"/>
        <w:topLinePunct/>
        <w:autoSpaceDE w:val="0"/>
        <w:spacing w:line="560" w:lineRule="exact"/>
        <w:ind w:firstLine="640" w:firstLineChars="200"/>
        <w:rPr>
          <w:rFonts w:ascii="方正黑体_GBK" w:hAnsi="黑体" w:eastAsia="方正黑体_GBK" w:cs="Times New Roman"/>
          <w:sz w:val="32"/>
          <w:szCs w:val="32"/>
        </w:rPr>
      </w:pPr>
      <w:r>
        <w:rPr>
          <w:rFonts w:hint="eastAsia" w:ascii="Times New Roman" w:hAnsi="Times New Roman" w:eastAsia="方正楷体_GBK" w:cs="Times New Roman"/>
          <w:bCs/>
          <w:sz w:val="32"/>
          <w:szCs w:val="32"/>
        </w:rPr>
        <w:t>（一）项目的前期论证工作不够充分</w:t>
      </w:r>
      <w:bookmarkEnd w:id="14"/>
      <w:bookmarkEnd w:id="15"/>
      <w:bookmarkEnd w:id="16"/>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项目前期论证不够充分</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主要表现为</w:t>
      </w:r>
      <w:r>
        <w:rPr>
          <w:rFonts w:ascii="Times New Roman" w:hAnsi="Times New Roman" w:eastAsia="方正仿宋_GBK" w:cs="Times New Roman"/>
          <w:sz w:val="32"/>
          <w:szCs w:val="32"/>
        </w:rPr>
        <w:t>可行性研究报告中未对项目资金的具体来源进行分析，</w:t>
      </w:r>
      <w:r>
        <w:rPr>
          <w:rFonts w:hint="eastAsia" w:ascii="Times New Roman" w:hAnsi="Times New Roman" w:eastAsia="方正仿宋_GBK" w:cs="Times New Roman"/>
          <w:sz w:val="32"/>
          <w:szCs w:val="32"/>
        </w:rPr>
        <w:t>未开展事前绩效评估，专项债券申请过程中，对项目收入、成本及预期收益分析不够合理</w:t>
      </w:r>
      <w:r>
        <w:rPr>
          <w:rFonts w:ascii="Times New Roman" w:hAnsi="Times New Roman" w:eastAsia="方正仿宋_GBK" w:cs="Times New Roman"/>
          <w:sz w:val="32"/>
          <w:szCs w:val="32"/>
        </w:rPr>
        <w:t>。</w:t>
      </w:r>
      <w:bookmarkStart w:id="17" w:name="_Toc112769595"/>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bCs/>
          <w:sz w:val="32"/>
          <w:szCs w:val="32"/>
        </w:rPr>
        <w:t>（二）</w:t>
      </w:r>
      <w:r>
        <w:rPr>
          <w:rFonts w:ascii="Times New Roman" w:hAnsi="Times New Roman" w:eastAsia="方正楷体_GBK" w:cs="Times New Roman"/>
          <w:bCs/>
          <w:sz w:val="32"/>
          <w:szCs w:val="32"/>
        </w:rPr>
        <w:t>项目统筹管理水平有待进一步提升</w:t>
      </w:r>
      <w:bookmarkEnd w:id="17"/>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项目实际在2022年3月完成，与预期进度相比存在滞后超过一年。项目投入运行后，未建立医疗设备、信息系统的使用情况台账，可能导致无法对采购设备、信息系统进行有效管理和监督评价。</w:t>
      </w:r>
      <w:bookmarkStart w:id="18" w:name="_Toc107130606"/>
      <w:bookmarkStart w:id="19" w:name="_Toc112769596"/>
      <w:bookmarkStart w:id="20" w:name="_Toc107226700"/>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bCs/>
          <w:sz w:val="32"/>
          <w:szCs w:val="32"/>
        </w:rPr>
        <w:t>（三）项目可持续发展能力面临挑战</w:t>
      </w:r>
      <w:bookmarkEnd w:id="18"/>
      <w:bookmarkEnd w:id="19"/>
      <w:bookmarkEnd w:id="20"/>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新设备的投入使用、业务用房的改造升级</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改善了</w:t>
      </w:r>
      <w:r>
        <w:rPr>
          <w:rFonts w:ascii="Times New Roman" w:hAnsi="Times New Roman" w:eastAsia="方正仿宋_GBK" w:cs="Times New Roman"/>
          <w:sz w:val="32"/>
          <w:szCs w:val="32"/>
        </w:rPr>
        <w:t>医院</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医疗、教学和科研</w:t>
      </w:r>
      <w:r>
        <w:rPr>
          <w:rFonts w:hint="eastAsia" w:ascii="Times New Roman" w:hAnsi="Times New Roman" w:eastAsia="方正仿宋_GBK" w:cs="Times New Roman"/>
          <w:sz w:val="32"/>
          <w:szCs w:val="32"/>
        </w:rPr>
        <w:t>条件，带来了</w:t>
      </w:r>
      <w:r>
        <w:rPr>
          <w:rFonts w:ascii="Times New Roman" w:hAnsi="Times New Roman" w:eastAsia="方正仿宋_GBK" w:cs="Times New Roman"/>
          <w:sz w:val="32"/>
          <w:szCs w:val="32"/>
        </w:rPr>
        <w:t>就诊和住院人次</w:t>
      </w:r>
      <w:r>
        <w:rPr>
          <w:rFonts w:hint="eastAsia" w:ascii="Times New Roman" w:hAnsi="Times New Roman" w:eastAsia="方正仿宋_GBK" w:cs="Times New Roman"/>
          <w:sz w:val="32"/>
          <w:szCs w:val="32"/>
        </w:rPr>
        <w:t>以及医院</w:t>
      </w:r>
      <w:r>
        <w:rPr>
          <w:rFonts w:ascii="Times New Roman" w:hAnsi="Times New Roman" w:eastAsia="方正仿宋_GBK" w:cs="Times New Roman"/>
          <w:sz w:val="32"/>
          <w:szCs w:val="32"/>
        </w:rPr>
        <w:t>医疗收入</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增长，</w:t>
      </w:r>
      <w:r>
        <w:rPr>
          <w:rFonts w:hint="eastAsia" w:ascii="Times New Roman" w:hAnsi="Times New Roman" w:eastAsia="方正仿宋_GBK" w:cs="Times New Roman"/>
          <w:sz w:val="32"/>
          <w:szCs w:val="32"/>
        </w:rPr>
        <w:t>医院总体发展态势良好。但受</w:t>
      </w:r>
      <w:r>
        <w:rPr>
          <w:rFonts w:ascii="Times New Roman" w:hAnsi="Times New Roman" w:eastAsia="方正仿宋_GBK" w:cs="Times New Roman"/>
          <w:sz w:val="32"/>
          <w:szCs w:val="32"/>
        </w:rPr>
        <w:t>疫情</w:t>
      </w:r>
      <w:r>
        <w:rPr>
          <w:rFonts w:hint="eastAsia" w:ascii="Times New Roman" w:hAnsi="Times New Roman" w:eastAsia="方正仿宋_GBK" w:cs="Times New Roman"/>
          <w:sz w:val="32"/>
          <w:szCs w:val="32"/>
        </w:rPr>
        <w:t>影响</w:t>
      </w:r>
      <w:r>
        <w:rPr>
          <w:rFonts w:ascii="Times New Roman" w:hAnsi="Times New Roman" w:eastAsia="方正仿宋_GBK" w:cs="Times New Roman"/>
          <w:sz w:val="32"/>
          <w:szCs w:val="32"/>
        </w:rPr>
        <w:t>，医院运营面临新的外部环境，项目</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可持续发展能力</w:t>
      </w:r>
      <w:r>
        <w:rPr>
          <w:rFonts w:hint="eastAsia" w:ascii="Times New Roman" w:hAnsi="Times New Roman" w:eastAsia="方正仿宋_GBK" w:cs="Times New Roman"/>
          <w:sz w:val="32"/>
          <w:szCs w:val="32"/>
        </w:rPr>
        <w:t>也</w:t>
      </w:r>
      <w:r>
        <w:rPr>
          <w:rFonts w:ascii="Times New Roman" w:hAnsi="Times New Roman" w:eastAsia="方正仿宋_GBK" w:cs="Times New Roman"/>
          <w:sz w:val="32"/>
          <w:szCs w:val="32"/>
        </w:rPr>
        <w:t>面临</w:t>
      </w:r>
      <w:r>
        <w:rPr>
          <w:rFonts w:hint="eastAsia" w:ascii="Times New Roman" w:hAnsi="Times New Roman" w:eastAsia="方正仿宋_GBK" w:cs="Times New Roman"/>
          <w:sz w:val="32"/>
          <w:szCs w:val="32"/>
        </w:rPr>
        <w:t>着</w:t>
      </w:r>
      <w:r>
        <w:rPr>
          <w:rFonts w:ascii="Times New Roman" w:hAnsi="Times New Roman" w:eastAsia="方正仿宋_GBK" w:cs="Times New Roman"/>
          <w:sz w:val="32"/>
          <w:szCs w:val="32"/>
        </w:rPr>
        <w:t>挑战</w:t>
      </w:r>
      <w:r>
        <w:rPr>
          <w:rFonts w:hint="eastAsia" w:ascii="Times New Roman" w:hAnsi="Times New Roman" w:eastAsia="方正仿宋_GBK" w:cs="Times New Roman"/>
          <w:sz w:val="32"/>
          <w:szCs w:val="32"/>
        </w:rPr>
        <w:t>。主要是运营收益与</w:t>
      </w:r>
      <w:r>
        <w:rPr>
          <w:rFonts w:ascii="Times New Roman" w:hAnsi="Times New Roman" w:eastAsia="方正仿宋_GBK" w:cs="Times New Roman"/>
          <w:sz w:val="32"/>
          <w:szCs w:val="32"/>
        </w:rPr>
        <w:t>财务评估报告</w:t>
      </w:r>
      <w:r>
        <w:rPr>
          <w:rFonts w:hint="eastAsia" w:ascii="Times New Roman" w:hAnsi="Times New Roman" w:eastAsia="方正仿宋_GBK" w:cs="Times New Roman"/>
          <w:sz w:val="32"/>
          <w:szCs w:val="32"/>
        </w:rPr>
        <w:t>的预测值存在较大差距，</w:t>
      </w:r>
      <w:r>
        <w:rPr>
          <w:rFonts w:ascii="Times New Roman" w:hAnsi="Times New Roman" w:eastAsia="方正仿宋_GBK" w:cs="Times New Roman"/>
          <w:sz w:val="32"/>
          <w:szCs w:val="32"/>
        </w:rPr>
        <w:t>2022年上半年，医院的运营收入为6</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178</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528862万元，运营成本为6</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529</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645016万元，运营收益为-351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116154万元，与财务评估报告预测的1,652.7972万元差距较大</w:t>
      </w:r>
      <w:r>
        <w:rPr>
          <w:rFonts w:hint="eastAsia" w:ascii="Times New Roman" w:hAnsi="Times New Roman" w:eastAsia="方正仿宋_GBK" w:cs="Times New Roman"/>
          <w:sz w:val="32"/>
          <w:szCs w:val="32"/>
        </w:rPr>
        <w:t>，债券存续期内，</w:t>
      </w:r>
      <w:r>
        <w:rPr>
          <w:rFonts w:ascii="Times New Roman" w:hAnsi="Times New Roman" w:eastAsia="方正仿宋_GBK" w:cs="Times New Roman"/>
          <w:sz w:val="32"/>
          <w:szCs w:val="32"/>
        </w:rPr>
        <w:t>项目收益</w:t>
      </w:r>
      <w:r>
        <w:rPr>
          <w:rFonts w:hint="eastAsia" w:ascii="Times New Roman" w:hAnsi="Times New Roman" w:eastAsia="方正仿宋_GBK" w:cs="Times New Roman"/>
          <w:sz w:val="32"/>
          <w:szCs w:val="32"/>
        </w:rPr>
        <w:t>能否</w:t>
      </w:r>
      <w:r>
        <w:rPr>
          <w:rFonts w:ascii="Times New Roman" w:hAnsi="Times New Roman" w:eastAsia="方正仿宋_GBK" w:cs="Times New Roman"/>
          <w:sz w:val="32"/>
          <w:szCs w:val="32"/>
        </w:rPr>
        <w:t>覆盖全部融资本息存在不确定性</w:t>
      </w:r>
      <w:r>
        <w:rPr>
          <w:rFonts w:hint="eastAsia" w:ascii="Times New Roman" w:hAnsi="Times New Roman" w:eastAsia="方正仿宋_GBK" w:cs="Times New Roman"/>
          <w:sz w:val="32"/>
          <w:szCs w:val="32"/>
        </w:rPr>
        <w:t>，有一定的专项债券偿债风险。</w:t>
      </w:r>
      <w:bookmarkStart w:id="21" w:name="_Toc112769597"/>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bCs/>
          <w:sz w:val="32"/>
          <w:szCs w:val="32"/>
        </w:rPr>
        <w:t>（四）缺乏配套政策支持，医院进一步发展受限</w:t>
      </w:r>
      <w:bookmarkEnd w:id="21"/>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项目的实施，</w:t>
      </w:r>
      <w:r>
        <w:rPr>
          <w:rFonts w:ascii="Times New Roman" w:hAnsi="Times New Roman" w:eastAsia="方正仿宋_GBK" w:cs="Times New Roman"/>
          <w:sz w:val="32"/>
          <w:szCs w:val="32"/>
        </w:rPr>
        <w:t>增强了职工对</w:t>
      </w:r>
      <w:r>
        <w:rPr>
          <w:rFonts w:hint="eastAsia" w:ascii="Times New Roman" w:hAnsi="Times New Roman" w:eastAsia="方正仿宋_GBK" w:cs="Times New Roman"/>
          <w:sz w:val="32"/>
          <w:szCs w:val="32"/>
        </w:rPr>
        <w:t>区妇幼保健院</w:t>
      </w:r>
      <w:r>
        <w:rPr>
          <w:rFonts w:ascii="Times New Roman" w:hAnsi="Times New Roman" w:eastAsia="方正仿宋_GBK" w:cs="Times New Roman"/>
          <w:sz w:val="32"/>
          <w:szCs w:val="32"/>
        </w:rPr>
        <w:t>发展的信心，在一定程度稳定了医疗队伍，也有助于缓解医院留住人才难的问题</w:t>
      </w:r>
      <w:r>
        <w:rPr>
          <w:rFonts w:hint="eastAsia" w:ascii="Times New Roman" w:hAnsi="Times New Roman" w:eastAsia="方正仿宋_GBK" w:cs="Times New Roman"/>
          <w:sz w:val="32"/>
          <w:szCs w:val="32"/>
        </w:rPr>
        <w:t>。但</w:t>
      </w:r>
      <w:r>
        <w:rPr>
          <w:rFonts w:ascii="Times New Roman" w:hAnsi="Times New Roman" w:eastAsia="方正仿宋_GBK" w:cs="Times New Roman"/>
          <w:sz w:val="32"/>
          <w:szCs w:val="32"/>
        </w:rPr>
        <w:t>从现场踏勘和访谈了解</w:t>
      </w:r>
      <w:r>
        <w:rPr>
          <w:rFonts w:hint="eastAsia" w:ascii="Times New Roman" w:hAnsi="Times New Roman" w:eastAsia="方正仿宋_GBK" w:cs="Times New Roman"/>
          <w:sz w:val="32"/>
          <w:szCs w:val="32"/>
        </w:rPr>
        <w:t>到</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由于</w:t>
      </w:r>
      <w:r>
        <w:rPr>
          <w:rFonts w:ascii="Times New Roman" w:hAnsi="Times New Roman" w:eastAsia="方正仿宋_GBK" w:cs="Times New Roman"/>
          <w:sz w:val="32"/>
          <w:szCs w:val="32"/>
        </w:rPr>
        <w:t>缺乏配套支持政策，</w:t>
      </w:r>
      <w:r>
        <w:rPr>
          <w:rFonts w:hint="eastAsia" w:ascii="Times New Roman" w:hAnsi="Times New Roman" w:eastAsia="方正仿宋_GBK" w:cs="Times New Roman"/>
          <w:sz w:val="32"/>
          <w:szCs w:val="32"/>
        </w:rPr>
        <w:t>医院的进一步发展受到较大限制：一是人才发展通道不畅，职称评审受限严重，与其他医院相比，区妇幼保健院高级职称占比相对较低；二是医疗资源还存在不足，随着国家生育政策的调整，妇幼保健及儿科诊疗服务需求大幅增长，本项目的实施一定程度上缓解了供求矛盾，但与服务对象的高质量医疗服务要求、与三甲医院的评审要求还存在较大的差距。</w:t>
      </w:r>
      <w:bookmarkStart w:id="22" w:name="_Toc107226702"/>
      <w:bookmarkStart w:id="23" w:name="_Toc107130608"/>
      <w:bookmarkStart w:id="24" w:name="_Toc112769598"/>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bCs/>
          <w:sz w:val="32"/>
          <w:szCs w:val="32"/>
        </w:rPr>
        <w:t>（五）</w:t>
      </w:r>
      <w:r>
        <w:rPr>
          <w:rFonts w:ascii="Times New Roman" w:hAnsi="Times New Roman" w:eastAsia="方正楷体_GBK" w:cs="Times New Roman"/>
          <w:bCs/>
          <w:sz w:val="32"/>
          <w:szCs w:val="32"/>
        </w:rPr>
        <w:t>全过程预算绩效管理</w:t>
      </w:r>
      <w:r>
        <w:rPr>
          <w:rFonts w:hint="eastAsia" w:ascii="Times New Roman" w:hAnsi="Times New Roman" w:eastAsia="方正楷体_GBK" w:cs="Times New Roman"/>
          <w:bCs/>
          <w:sz w:val="32"/>
          <w:szCs w:val="32"/>
        </w:rPr>
        <w:t>水平有待提升</w:t>
      </w:r>
      <w:bookmarkEnd w:id="22"/>
      <w:bookmarkEnd w:id="23"/>
      <w:bookmarkEnd w:id="24"/>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项目在申报专项债券前，未开展事前绩效评估工作，前期论证工作不够充分；项目申报过程中，所填报的绩效目标合理性、明确性不足</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项目实施完成后，未及时开展绩效自评工作。</w:t>
      </w:r>
    </w:p>
    <w:p>
      <w:pPr>
        <w:widowControl w:val="0"/>
        <w:spacing w:line="560" w:lineRule="exact"/>
        <w:ind w:firstLine="640" w:firstLineChars="200"/>
        <w:rPr>
          <w:rFonts w:hint="eastAsia" w:ascii="方正黑体_GBK" w:hAnsi="黑体" w:eastAsia="方正黑体_GBK" w:cs="Times New Roman"/>
          <w:sz w:val="32"/>
          <w:szCs w:val="32"/>
        </w:rPr>
      </w:pPr>
      <w:r>
        <w:rPr>
          <w:rFonts w:hint="eastAsia" w:ascii="方正黑体_GBK" w:hAnsi="黑体" w:eastAsia="方正黑体_GBK" w:cs="Times New Roman"/>
          <w:sz w:val="32"/>
          <w:szCs w:val="32"/>
        </w:rPr>
        <w:t>四、有关建议</w:t>
      </w:r>
      <w:bookmarkStart w:id="25" w:name="_Toc112769600"/>
      <w:bookmarkStart w:id="26" w:name="_Toc107130610"/>
      <w:bookmarkStart w:id="27" w:name="_Toc107226704"/>
      <w:bookmarkStart w:id="28" w:name="_Toc107130614"/>
    </w:p>
    <w:p>
      <w:pPr>
        <w:widowControl w:val="0"/>
        <w:spacing w:line="560" w:lineRule="exact"/>
        <w:ind w:firstLine="640" w:firstLineChars="200"/>
        <w:rPr>
          <w:rFonts w:ascii="方正黑体_GBK" w:hAnsi="黑体" w:eastAsia="方正黑体_GBK" w:cs="Times New Roman"/>
          <w:sz w:val="32"/>
          <w:szCs w:val="32"/>
        </w:rPr>
      </w:pPr>
      <w:r>
        <w:rPr>
          <w:rFonts w:hint="eastAsia" w:ascii="Times New Roman" w:hAnsi="Times New Roman" w:eastAsia="方正楷体_GBK" w:cs="Times New Roman"/>
          <w:sz w:val="32"/>
          <w:szCs w:val="32"/>
        </w:rPr>
        <w:t>（一）提高项目前期论证的科学性，加强项目动态管理</w:t>
      </w:r>
      <w:bookmarkEnd w:id="25"/>
      <w:bookmarkEnd w:id="26"/>
      <w:bookmarkEnd w:id="27"/>
    </w:p>
    <w:p>
      <w:pPr>
        <w:spacing w:line="56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一是在今后类似项目实施过程中，加强项目的前期调研工作，必要时邀请专家进行充分论证，提高决策的科学性，避免在项目执行过程中因临时调整而影响项目的执行进度；二是</w:t>
      </w:r>
      <w:r>
        <w:rPr>
          <w:rFonts w:hint="eastAsia" w:ascii="Times New Roman" w:hAnsi="Times New Roman" w:eastAsia="方正仿宋_GBK" w:cs="Times New Roman"/>
          <w:sz w:val="32"/>
          <w:szCs w:val="32"/>
        </w:rPr>
        <w:t>强化前期对</w:t>
      </w:r>
      <w:r>
        <w:rPr>
          <w:rFonts w:ascii="Times New Roman" w:hAnsi="Times New Roman" w:eastAsia="方正仿宋_GBK" w:cs="Times New Roman"/>
          <w:sz w:val="32"/>
          <w:szCs w:val="32"/>
        </w:rPr>
        <w:t>项目建设资金来源</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论证</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加强项目运行的过程管理，及时发现执行过程存在的偏差；三是建议</w:t>
      </w:r>
      <w:r>
        <w:rPr>
          <w:rFonts w:hint="eastAsia" w:ascii="Times New Roman" w:hAnsi="Times New Roman" w:eastAsia="方正仿宋_GBK" w:cs="Times New Roman"/>
          <w:sz w:val="32"/>
          <w:szCs w:val="32"/>
        </w:rPr>
        <w:t>财政部门</w:t>
      </w:r>
      <w:r>
        <w:rPr>
          <w:rFonts w:ascii="Times New Roman" w:hAnsi="Times New Roman" w:eastAsia="方正仿宋_GBK" w:cs="Times New Roman"/>
          <w:sz w:val="32"/>
          <w:szCs w:val="32"/>
        </w:rPr>
        <w:t>加强对</w:t>
      </w:r>
      <w:r>
        <w:rPr>
          <w:rFonts w:hint="eastAsia" w:ascii="Times New Roman" w:hAnsi="Times New Roman" w:eastAsia="方正仿宋_GBK" w:cs="Times New Roman"/>
          <w:sz w:val="32"/>
          <w:szCs w:val="32"/>
        </w:rPr>
        <w:t>第三方机构出具的专项债券财务评价报告进行核查</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关注项目运营收入、运营成本测算假设的合理性以及预期运营收益分析的合理性</w:t>
      </w:r>
      <w:r>
        <w:rPr>
          <w:rFonts w:ascii="Times New Roman" w:hAnsi="Times New Roman" w:eastAsia="方正仿宋_GBK" w:cs="Times New Roman"/>
          <w:sz w:val="32"/>
          <w:szCs w:val="32"/>
        </w:rPr>
        <w:t>。</w:t>
      </w:r>
      <w:bookmarkStart w:id="29" w:name="_Toc107130612"/>
      <w:bookmarkStart w:id="30" w:name="_Toc107226706"/>
      <w:bookmarkStart w:id="31" w:name="_Toc112769601"/>
      <w:bookmarkStart w:id="32" w:name="_Toc107226705"/>
      <w:bookmarkStart w:id="33" w:name="_Toc107130611"/>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（二）建立项目统筹管理机制，</w:t>
      </w:r>
      <w:bookmarkEnd w:id="29"/>
      <w:bookmarkEnd w:id="30"/>
      <w:r>
        <w:rPr>
          <w:rFonts w:hint="eastAsia" w:ascii="Times New Roman" w:hAnsi="Times New Roman" w:eastAsia="方正楷体_GBK" w:cs="Times New Roman"/>
          <w:sz w:val="32"/>
          <w:szCs w:val="32"/>
        </w:rPr>
        <w:t>加强项目精细化管理水平</w:t>
      </w:r>
      <w:bookmarkEnd w:id="31"/>
    </w:p>
    <w:p>
      <w:pPr>
        <w:spacing w:line="56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加强项目的精细化管理</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针对项目存在滞后的问题，应及时进行内部方案调整，避免财政资金闲置时间过长；同时在信息系统、医疗设备投入使用后，对信息系统、医疗设备的使用情况应进行相关记录，</w:t>
      </w:r>
      <w:r>
        <w:rPr>
          <w:rFonts w:hint="eastAsia" w:ascii="Times New Roman" w:hAnsi="Times New Roman" w:eastAsia="方正仿宋_GBK" w:cs="Times New Roman"/>
          <w:sz w:val="32"/>
          <w:szCs w:val="32"/>
        </w:rPr>
        <w:t>如实</w:t>
      </w:r>
      <w:r>
        <w:rPr>
          <w:rFonts w:ascii="Times New Roman" w:hAnsi="Times New Roman" w:eastAsia="方正仿宋_GBK" w:cs="Times New Roman"/>
          <w:sz w:val="32"/>
          <w:szCs w:val="32"/>
        </w:rPr>
        <w:t>反映设备</w:t>
      </w:r>
      <w:r>
        <w:rPr>
          <w:rFonts w:hint="eastAsia" w:ascii="Times New Roman" w:hAnsi="Times New Roman" w:eastAsia="方正仿宋_GBK" w:cs="Times New Roman"/>
          <w:sz w:val="32"/>
          <w:szCs w:val="32"/>
        </w:rPr>
        <w:t>、系统</w:t>
      </w:r>
      <w:r>
        <w:rPr>
          <w:rFonts w:ascii="Times New Roman" w:hAnsi="Times New Roman" w:eastAsia="方正仿宋_GBK" w:cs="Times New Roman"/>
          <w:sz w:val="32"/>
          <w:szCs w:val="32"/>
        </w:rPr>
        <w:t>的运行情况。</w:t>
      </w:r>
      <w:bookmarkStart w:id="34" w:name="_Toc112769602"/>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（三）完善管理机制，促进项目的可持续发展</w:t>
      </w:r>
      <w:bookmarkEnd w:id="32"/>
      <w:bookmarkEnd w:id="33"/>
      <w:bookmarkEnd w:id="34"/>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一是</w:t>
      </w:r>
      <w:r>
        <w:rPr>
          <w:rFonts w:ascii="Times New Roman" w:hAnsi="Times New Roman" w:eastAsia="方正仿宋_GBK" w:cs="Times New Roman"/>
          <w:sz w:val="32"/>
          <w:szCs w:val="32"/>
        </w:rPr>
        <w:t>切实做好项目事前绩效评估，</w:t>
      </w:r>
      <w:r>
        <w:rPr>
          <w:rFonts w:hint="eastAsia" w:ascii="Times New Roman" w:hAnsi="Times New Roman" w:eastAsia="方正仿宋_GBK" w:cs="Times New Roman"/>
          <w:sz w:val="32"/>
          <w:szCs w:val="32"/>
        </w:rPr>
        <w:t>在充分调研的</w:t>
      </w:r>
      <w:r>
        <w:rPr>
          <w:rFonts w:ascii="Times New Roman" w:hAnsi="Times New Roman" w:eastAsia="方正仿宋_GBK" w:cs="Times New Roman"/>
          <w:sz w:val="32"/>
          <w:szCs w:val="32"/>
        </w:rPr>
        <w:t>基础</w:t>
      </w:r>
      <w:r>
        <w:rPr>
          <w:rFonts w:hint="eastAsia" w:ascii="Times New Roman" w:hAnsi="Times New Roman" w:eastAsia="方正仿宋_GBK" w:cs="Times New Roman"/>
          <w:sz w:val="32"/>
          <w:szCs w:val="32"/>
        </w:rPr>
        <w:t>上合理</w:t>
      </w:r>
      <w:r>
        <w:rPr>
          <w:rFonts w:ascii="Times New Roman" w:hAnsi="Times New Roman" w:eastAsia="方正仿宋_GBK" w:cs="Times New Roman"/>
          <w:sz w:val="32"/>
          <w:szCs w:val="32"/>
        </w:rPr>
        <w:t>测算项目收入</w:t>
      </w:r>
      <w:r>
        <w:rPr>
          <w:rFonts w:hint="eastAsia" w:ascii="Times New Roman" w:hAnsi="Times New Roman" w:eastAsia="方正仿宋_GBK" w:cs="Times New Roman"/>
          <w:sz w:val="32"/>
          <w:szCs w:val="32"/>
        </w:rPr>
        <w:t>和</w:t>
      </w:r>
      <w:r>
        <w:rPr>
          <w:rFonts w:ascii="Times New Roman" w:hAnsi="Times New Roman" w:eastAsia="方正仿宋_GBK" w:cs="Times New Roman"/>
          <w:sz w:val="32"/>
          <w:szCs w:val="32"/>
        </w:rPr>
        <w:t>成本，准确评估专项债券的</w:t>
      </w:r>
      <w:r>
        <w:rPr>
          <w:rFonts w:hint="eastAsia" w:ascii="Times New Roman" w:hAnsi="Times New Roman" w:eastAsia="方正仿宋_GBK" w:cs="Times New Roman"/>
          <w:sz w:val="32"/>
          <w:szCs w:val="32"/>
        </w:rPr>
        <w:t>资金平衡性和</w:t>
      </w:r>
      <w:r>
        <w:rPr>
          <w:rFonts w:ascii="Times New Roman" w:hAnsi="Times New Roman" w:eastAsia="方正仿宋_GBK" w:cs="Times New Roman"/>
          <w:sz w:val="32"/>
          <w:szCs w:val="32"/>
        </w:rPr>
        <w:t>偿还能力</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降低债券的偿债风险</w:t>
      </w:r>
      <w:r>
        <w:rPr>
          <w:rFonts w:hint="eastAsia" w:ascii="Times New Roman" w:hAnsi="Times New Roman" w:eastAsia="方正仿宋_GBK" w:cs="Times New Roman"/>
          <w:sz w:val="32"/>
          <w:szCs w:val="32"/>
        </w:rPr>
        <w:t>；二是完善人才引进机制的建立，优化</w:t>
      </w:r>
      <w:r>
        <w:rPr>
          <w:rFonts w:ascii="Times New Roman" w:hAnsi="Times New Roman" w:eastAsia="方正仿宋_GBK" w:cs="Times New Roman"/>
          <w:sz w:val="32"/>
          <w:szCs w:val="32"/>
        </w:rPr>
        <w:t>医院行政管理架构</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岗位设置</w:t>
      </w:r>
      <w:r>
        <w:rPr>
          <w:rFonts w:hint="eastAsia" w:ascii="Times New Roman" w:hAnsi="Times New Roman" w:eastAsia="方正仿宋_GBK" w:cs="Times New Roman"/>
          <w:sz w:val="32"/>
          <w:szCs w:val="32"/>
        </w:rPr>
        <w:t>以及运行机制，促进项目的可持续发展。</w:t>
      </w:r>
      <w:bookmarkStart w:id="35" w:name="_Toc112769603"/>
      <w:bookmarkStart w:id="36" w:name="_Toc107130613"/>
      <w:bookmarkStart w:id="37" w:name="_Toc107226707"/>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（四）强化部门协调机制，出台相关支持政策</w:t>
      </w:r>
      <w:bookmarkEnd w:id="35"/>
    </w:p>
    <w:p>
      <w:pPr>
        <w:spacing w:line="56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建议</w:t>
      </w:r>
      <w:r>
        <w:rPr>
          <w:rFonts w:hint="eastAsia" w:ascii="Times New Roman" w:hAnsi="Times New Roman" w:eastAsia="方正仿宋_GBK" w:cs="Times New Roman"/>
          <w:sz w:val="32"/>
          <w:szCs w:val="32"/>
        </w:rPr>
        <w:t>璧山</w:t>
      </w:r>
      <w:r>
        <w:rPr>
          <w:rFonts w:ascii="Times New Roman" w:hAnsi="Times New Roman" w:eastAsia="方正仿宋_GBK" w:cs="Times New Roman"/>
          <w:sz w:val="32"/>
          <w:szCs w:val="32"/>
        </w:rPr>
        <w:t>区</w:t>
      </w:r>
      <w:r>
        <w:rPr>
          <w:rFonts w:hint="eastAsia" w:ascii="Times New Roman" w:hAnsi="Times New Roman" w:eastAsia="方正仿宋_GBK" w:cs="Times New Roman"/>
          <w:sz w:val="32"/>
          <w:szCs w:val="32"/>
        </w:rPr>
        <w:t>卫生健康、</w:t>
      </w:r>
      <w:r>
        <w:rPr>
          <w:rFonts w:ascii="Times New Roman" w:hAnsi="Times New Roman" w:eastAsia="方正仿宋_GBK" w:cs="Times New Roman"/>
          <w:sz w:val="32"/>
          <w:szCs w:val="32"/>
        </w:rPr>
        <w:t>发展改革、人社、财政等部门加大对</w:t>
      </w:r>
      <w:r>
        <w:rPr>
          <w:rFonts w:hint="eastAsia" w:ascii="Times New Roman" w:hAnsi="Times New Roman" w:eastAsia="方正仿宋_GBK" w:cs="Times New Roman"/>
          <w:sz w:val="32"/>
          <w:szCs w:val="32"/>
        </w:rPr>
        <w:t>区妇幼保健院</w:t>
      </w:r>
      <w:r>
        <w:rPr>
          <w:rFonts w:ascii="Times New Roman" w:hAnsi="Times New Roman" w:eastAsia="方正仿宋_GBK" w:cs="Times New Roman"/>
          <w:sz w:val="32"/>
          <w:szCs w:val="32"/>
        </w:rPr>
        <w:t>的支持力度，研究制定完善高水平医院建设的相关配套政策，</w:t>
      </w:r>
      <w:r>
        <w:rPr>
          <w:rFonts w:hint="eastAsia" w:ascii="Times New Roman" w:hAnsi="Times New Roman" w:eastAsia="方正仿宋_GBK" w:cs="Times New Roman"/>
          <w:sz w:val="32"/>
          <w:szCs w:val="32"/>
        </w:rPr>
        <w:t>完善</w:t>
      </w:r>
      <w:r>
        <w:rPr>
          <w:rFonts w:ascii="Times New Roman" w:hAnsi="Times New Roman" w:eastAsia="方正仿宋_GBK" w:cs="Times New Roman"/>
          <w:sz w:val="32"/>
          <w:szCs w:val="32"/>
        </w:rPr>
        <w:t>医院</w:t>
      </w:r>
      <w:r>
        <w:rPr>
          <w:rFonts w:hint="eastAsia" w:ascii="Times New Roman" w:hAnsi="Times New Roman" w:eastAsia="方正仿宋_GBK" w:cs="Times New Roman"/>
          <w:sz w:val="32"/>
          <w:szCs w:val="32"/>
        </w:rPr>
        <w:t>职称评审制度和绩效管理办法</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加大对医院医疗房屋、设施设备的投入，改造</w:t>
      </w:r>
      <w:r>
        <w:rPr>
          <w:rFonts w:ascii="Times New Roman" w:hAnsi="Times New Roman" w:eastAsia="方正仿宋_GBK" w:cs="Times New Roman"/>
          <w:sz w:val="32"/>
          <w:szCs w:val="32"/>
        </w:rPr>
        <w:t>营造有利于充分调动医院积极性、主动性，促进医院良性自主发展的环境。</w:t>
      </w:r>
      <w:bookmarkStart w:id="38" w:name="_Toc112769604"/>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（五）加强绩效管理，提升资金使用效益</w:t>
      </w:r>
      <w:bookmarkEnd w:id="36"/>
      <w:bookmarkEnd w:id="37"/>
      <w:bookmarkEnd w:id="38"/>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一是强化“预算与绩效管理一体化”理念，将项目决策、预算编制、预算执行、监督决算和验收与全过程预算绩效管理结合起来；</w:t>
      </w:r>
      <w:r>
        <w:rPr>
          <w:rFonts w:hint="eastAsia" w:ascii="Times New Roman" w:hAnsi="Times New Roman" w:eastAsia="方正仿宋_GBK" w:cs="Times New Roman"/>
          <w:sz w:val="32"/>
          <w:szCs w:val="32"/>
        </w:rPr>
        <w:t>二</w:t>
      </w:r>
      <w:r>
        <w:rPr>
          <w:rFonts w:ascii="Times New Roman" w:hAnsi="Times New Roman" w:eastAsia="方正仿宋_GBK" w:cs="Times New Roman"/>
          <w:sz w:val="32"/>
          <w:szCs w:val="32"/>
        </w:rPr>
        <w:t>是</w:t>
      </w:r>
      <w:r>
        <w:rPr>
          <w:rFonts w:hint="eastAsia" w:ascii="Times New Roman" w:hAnsi="Times New Roman" w:eastAsia="方正仿宋_GBK" w:cs="Times New Roman"/>
          <w:sz w:val="32"/>
          <w:szCs w:val="32"/>
        </w:rPr>
        <w:t>加强对预算绩效的全过程管理，根据项目实际设置绩效目标和绩效指标，不断</w:t>
      </w:r>
      <w:r>
        <w:rPr>
          <w:rFonts w:ascii="Times New Roman" w:hAnsi="Times New Roman" w:eastAsia="方正仿宋_GBK" w:cs="Times New Roman"/>
          <w:sz w:val="32"/>
          <w:szCs w:val="32"/>
        </w:rPr>
        <w:t>提高绩效目标设置的科学性，</w:t>
      </w:r>
      <w:r>
        <w:rPr>
          <w:rFonts w:hint="eastAsia" w:ascii="Times New Roman" w:hAnsi="Times New Roman" w:eastAsia="方正仿宋_GBK" w:cs="Times New Roman"/>
          <w:sz w:val="32"/>
          <w:szCs w:val="32"/>
        </w:rPr>
        <w:t>同时做好</w:t>
      </w:r>
      <w:r>
        <w:rPr>
          <w:rFonts w:ascii="Times New Roman" w:hAnsi="Times New Roman" w:eastAsia="方正仿宋_GBK" w:cs="Times New Roman"/>
          <w:sz w:val="32"/>
          <w:szCs w:val="32"/>
        </w:rPr>
        <w:t>项目执行过程中的绩效监控，</w:t>
      </w:r>
      <w:r>
        <w:rPr>
          <w:rFonts w:hint="eastAsia" w:ascii="Times New Roman" w:hAnsi="Times New Roman" w:eastAsia="方正仿宋_GBK" w:cs="Times New Roman"/>
          <w:sz w:val="32"/>
          <w:szCs w:val="32"/>
        </w:rPr>
        <w:t>项目结合后及时开展</w:t>
      </w:r>
      <w:r>
        <w:rPr>
          <w:rFonts w:ascii="Times New Roman" w:hAnsi="Times New Roman" w:eastAsia="方正仿宋_GBK" w:cs="Times New Roman"/>
          <w:sz w:val="32"/>
          <w:szCs w:val="32"/>
        </w:rPr>
        <w:t>绩效评价工作</w:t>
      </w: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是加强绩效评价培训工作，让医院全体职工了解绩效评价工作的流程，理解绩效评价工作的指标和内容；四是重视绩效评价信息管理，日常工作中加强对绩效评价信息的收集和整理，为绩效评价工作提供数据支撑。</w:t>
      </w:r>
      <w:bookmarkEnd w:id="28"/>
    </w:p>
    <w:sectPr>
      <w:pgSz w:w="11906" w:h="16838"/>
      <w:pgMar w:top="2098" w:right="1531" w:bottom="1418" w:left="1531" w:header="851" w:footer="992" w:gutter="0"/>
      <w:pgNumType w:start="1"/>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Arial Unicode MS"/>
    <w:panose1 w:val="00000000000000000000"/>
    <w:charset w:val="86"/>
    <w:family w:val="auto"/>
    <w:pitch w:val="default"/>
    <w:sig w:usb0="00000000" w:usb1="00000000" w:usb2="00000016" w:usb3="00000000" w:csb0="0004000F" w:csb1="00000000"/>
  </w:font>
  <w:font w:name="方正楷体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yOGM1YmY0ZTA1MjU0NzBjMDJmZGMwZmUzYzdkODcifQ=="/>
  </w:docVars>
  <w:rsids>
    <w:rsidRoot w:val="009552A7"/>
    <w:rsid w:val="00004BE5"/>
    <w:rsid w:val="000060EB"/>
    <w:rsid w:val="00006CF8"/>
    <w:rsid w:val="00010C88"/>
    <w:rsid w:val="0001701F"/>
    <w:rsid w:val="00023A36"/>
    <w:rsid w:val="000330F7"/>
    <w:rsid w:val="00033BAF"/>
    <w:rsid w:val="000408C2"/>
    <w:rsid w:val="00040C90"/>
    <w:rsid w:val="00040CDE"/>
    <w:rsid w:val="00050A96"/>
    <w:rsid w:val="00057C1C"/>
    <w:rsid w:val="00060BA4"/>
    <w:rsid w:val="00060C96"/>
    <w:rsid w:val="000661F3"/>
    <w:rsid w:val="00073BC9"/>
    <w:rsid w:val="00074A5A"/>
    <w:rsid w:val="00084F16"/>
    <w:rsid w:val="0008678D"/>
    <w:rsid w:val="00087D20"/>
    <w:rsid w:val="0009228B"/>
    <w:rsid w:val="00093A88"/>
    <w:rsid w:val="00094824"/>
    <w:rsid w:val="00096C7A"/>
    <w:rsid w:val="000A0CD4"/>
    <w:rsid w:val="000A24FE"/>
    <w:rsid w:val="000B0CE5"/>
    <w:rsid w:val="000B1323"/>
    <w:rsid w:val="000B783E"/>
    <w:rsid w:val="000D1E6E"/>
    <w:rsid w:val="000E0CA5"/>
    <w:rsid w:val="000E13F9"/>
    <w:rsid w:val="000E51DD"/>
    <w:rsid w:val="000F150B"/>
    <w:rsid w:val="000F23B5"/>
    <w:rsid w:val="00100A0A"/>
    <w:rsid w:val="00100AF9"/>
    <w:rsid w:val="00101490"/>
    <w:rsid w:val="00113AEA"/>
    <w:rsid w:val="001174CF"/>
    <w:rsid w:val="00125839"/>
    <w:rsid w:val="00125E84"/>
    <w:rsid w:val="0012723F"/>
    <w:rsid w:val="00132A9F"/>
    <w:rsid w:val="00132D86"/>
    <w:rsid w:val="0014460E"/>
    <w:rsid w:val="00145B77"/>
    <w:rsid w:val="0015748F"/>
    <w:rsid w:val="001601BB"/>
    <w:rsid w:val="001719AC"/>
    <w:rsid w:val="00182BEE"/>
    <w:rsid w:val="001857CE"/>
    <w:rsid w:val="001918AC"/>
    <w:rsid w:val="001A263B"/>
    <w:rsid w:val="001A26D9"/>
    <w:rsid w:val="001A5C56"/>
    <w:rsid w:val="001C138F"/>
    <w:rsid w:val="001C1D2F"/>
    <w:rsid w:val="001C6C64"/>
    <w:rsid w:val="001D2C86"/>
    <w:rsid w:val="001D6A0D"/>
    <w:rsid w:val="001E50FE"/>
    <w:rsid w:val="001F4613"/>
    <w:rsid w:val="002104FA"/>
    <w:rsid w:val="002106F9"/>
    <w:rsid w:val="00213B3C"/>
    <w:rsid w:val="002159C9"/>
    <w:rsid w:val="002160BD"/>
    <w:rsid w:val="00217B94"/>
    <w:rsid w:val="00217BDC"/>
    <w:rsid w:val="00232123"/>
    <w:rsid w:val="00234610"/>
    <w:rsid w:val="0024033E"/>
    <w:rsid w:val="00241106"/>
    <w:rsid w:val="00242645"/>
    <w:rsid w:val="002535B5"/>
    <w:rsid w:val="00262319"/>
    <w:rsid w:val="00262D75"/>
    <w:rsid w:val="00263454"/>
    <w:rsid w:val="0027453F"/>
    <w:rsid w:val="00276B47"/>
    <w:rsid w:val="002828E0"/>
    <w:rsid w:val="0029009D"/>
    <w:rsid w:val="002936E6"/>
    <w:rsid w:val="00296B4A"/>
    <w:rsid w:val="002B0E3D"/>
    <w:rsid w:val="002C0722"/>
    <w:rsid w:val="002C0889"/>
    <w:rsid w:val="002C102F"/>
    <w:rsid w:val="002C757B"/>
    <w:rsid w:val="002D22DE"/>
    <w:rsid w:val="002E4353"/>
    <w:rsid w:val="002F05B3"/>
    <w:rsid w:val="002F13BD"/>
    <w:rsid w:val="002F66DB"/>
    <w:rsid w:val="00300BE2"/>
    <w:rsid w:val="00303660"/>
    <w:rsid w:val="00303A5D"/>
    <w:rsid w:val="00306B0F"/>
    <w:rsid w:val="00307E3E"/>
    <w:rsid w:val="00315CC4"/>
    <w:rsid w:val="00317CC8"/>
    <w:rsid w:val="00324D7A"/>
    <w:rsid w:val="00335534"/>
    <w:rsid w:val="00351CEE"/>
    <w:rsid w:val="00352918"/>
    <w:rsid w:val="003548F0"/>
    <w:rsid w:val="00355439"/>
    <w:rsid w:val="00360B33"/>
    <w:rsid w:val="003616C5"/>
    <w:rsid w:val="00363184"/>
    <w:rsid w:val="00363535"/>
    <w:rsid w:val="00363F10"/>
    <w:rsid w:val="00373E66"/>
    <w:rsid w:val="00384314"/>
    <w:rsid w:val="0039006A"/>
    <w:rsid w:val="00391D90"/>
    <w:rsid w:val="003C0E49"/>
    <w:rsid w:val="003C44E8"/>
    <w:rsid w:val="003C6161"/>
    <w:rsid w:val="003D0E99"/>
    <w:rsid w:val="003D164F"/>
    <w:rsid w:val="003F1BFB"/>
    <w:rsid w:val="003F3131"/>
    <w:rsid w:val="003F6DED"/>
    <w:rsid w:val="0040026F"/>
    <w:rsid w:val="00403E5B"/>
    <w:rsid w:val="00417615"/>
    <w:rsid w:val="0042282F"/>
    <w:rsid w:val="00422D79"/>
    <w:rsid w:val="00425BE6"/>
    <w:rsid w:val="00433225"/>
    <w:rsid w:val="004349C8"/>
    <w:rsid w:val="0043617F"/>
    <w:rsid w:val="00446F80"/>
    <w:rsid w:val="004474F8"/>
    <w:rsid w:val="00467B5E"/>
    <w:rsid w:val="00475121"/>
    <w:rsid w:val="00477354"/>
    <w:rsid w:val="00481400"/>
    <w:rsid w:val="00484978"/>
    <w:rsid w:val="00490F2E"/>
    <w:rsid w:val="00494281"/>
    <w:rsid w:val="004B387C"/>
    <w:rsid w:val="004C3087"/>
    <w:rsid w:val="004C3C6A"/>
    <w:rsid w:val="004C6771"/>
    <w:rsid w:val="004D108E"/>
    <w:rsid w:val="004E2766"/>
    <w:rsid w:val="004E6894"/>
    <w:rsid w:val="004F2796"/>
    <w:rsid w:val="004F4BFA"/>
    <w:rsid w:val="004F5FED"/>
    <w:rsid w:val="00500235"/>
    <w:rsid w:val="00502AE0"/>
    <w:rsid w:val="005034B3"/>
    <w:rsid w:val="00506F1A"/>
    <w:rsid w:val="00507A1C"/>
    <w:rsid w:val="00510D3F"/>
    <w:rsid w:val="00513EC6"/>
    <w:rsid w:val="005168BF"/>
    <w:rsid w:val="00520DB3"/>
    <w:rsid w:val="00523982"/>
    <w:rsid w:val="00524503"/>
    <w:rsid w:val="00524BDA"/>
    <w:rsid w:val="00526CB5"/>
    <w:rsid w:val="005349A0"/>
    <w:rsid w:val="0053538C"/>
    <w:rsid w:val="00535F22"/>
    <w:rsid w:val="00537791"/>
    <w:rsid w:val="00537997"/>
    <w:rsid w:val="00537FD1"/>
    <w:rsid w:val="00553917"/>
    <w:rsid w:val="00553E5C"/>
    <w:rsid w:val="00560C59"/>
    <w:rsid w:val="00564C8D"/>
    <w:rsid w:val="0057139D"/>
    <w:rsid w:val="00572A4C"/>
    <w:rsid w:val="00573B44"/>
    <w:rsid w:val="00591177"/>
    <w:rsid w:val="00592B3E"/>
    <w:rsid w:val="00596310"/>
    <w:rsid w:val="00597528"/>
    <w:rsid w:val="005A2854"/>
    <w:rsid w:val="005A67DF"/>
    <w:rsid w:val="005B05B2"/>
    <w:rsid w:val="005B2D3F"/>
    <w:rsid w:val="005B5E21"/>
    <w:rsid w:val="005C1DB5"/>
    <w:rsid w:val="005C4359"/>
    <w:rsid w:val="005E039B"/>
    <w:rsid w:val="005E10F0"/>
    <w:rsid w:val="005E2F68"/>
    <w:rsid w:val="005F5A64"/>
    <w:rsid w:val="005F6BB1"/>
    <w:rsid w:val="00601408"/>
    <w:rsid w:val="006027F4"/>
    <w:rsid w:val="00611FCA"/>
    <w:rsid w:val="006159F1"/>
    <w:rsid w:val="00620615"/>
    <w:rsid w:val="0062234C"/>
    <w:rsid w:val="006372F7"/>
    <w:rsid w:val="00640C1F"/>
    <w:rsid w:val="00641A13"/>
    <w:rsid w:val="00641B08"/>
    <w:rsid w:val="00646FD7"/>
    <w:rsid w:val="00652806"/>
    <w:rsid w:val="00656BE9"/>
    <w:rsid w:val="0067042F"/>
    <w:rsid w:val="00671144"/>
    <w:rsid w:val="00686EAC"/>
    <w:rsid w:val="006961F8"/>
    <w:rsid w:val="006A6E75"/>
    <w:rsid w:val="006A7409"/>
    <w:rsid w:val="006B2B73"/>
    <w:rsid w:val="006B3D26"/>
    <w:rsid w:val="006C52F3"/>
    <w:rsid w:val="006D1A1B"/>
    <w:rsid w:val="006D2462"/>
    <w:rsid w:val="006D47D7"/>
    <w:rsid w:val="006D5222"/>
    <w:rsid w:val="006D7C7C"/>
    <w:rsid w:val="006E2298"/>
    <w:rsid w:val="006E53AE"/>
    <w:rsid w:val="00702FD2"/>
    <w:rsid w:val="0070534C"/>
    <w:rsid w:val="0071035E"/>
    <w:rsid w:val="00710E8F"/>
    <w:rsid w:val="00711E1F"/>
    <w:rsid w:val="00713D24"/>
    <w:rsid w:val="00715D4F"/>
    <w:rsid w:val="00723E1B"/>
    <w:rsid w:val="00724C02"/>
    <w:rsid w:val="00726425"/>
    <w:rsid w:val="007337A4"/>
    <w:rsid w:val="007410BC"/>
    <w:rsid w:val="007435E4"/>
    <w:rsid w:val="007437DA"/>
    <w:rsid w:val="00762D4D"/>
    <w:rsid w:val="00764869"/>
    <w:rsid w:val="00770870"/>
    <w:rsid w:val="00771707"/>
    <w:rsid w:val="007746DA"/>
    <w:rsid w:val="0077495C"/>
    <w:rsid w:val="007753EB"/>
    <w:rsid w:val="00781148"/>
    <w:rsid w:val="007875B1"/>
    <w:rsid w:val="007913A4"/>
    <w:rsid w:val="007A00ED"/>
    <w:rsid w:val="007A1977"/>
    <w:rsid w:val="007A2E99"/>
    <w:rsid w:val="007A4430"/>
    <w:rsid w:val="007B11D8"/>
    <w:rsid w:val="007B13C6"/>
    <w:rsid w:val="007B4C27"/>
    <w:rsid w:val="007C07A7"/>
    <w:rsid w:val="007D077B"/>
    <w:rsid w:val="007D2562"/>
    <w:rsid w:val="007D4B3A"/>
    <w:rsid w:val="007E06FF"/>
    <w:rsid w:val="007F36D3"/>
    <w:rsid w:val="007F6648"/>
    <w:rsid w:val="008008DE"/>
    <w:rsid w:val="008011E4"/>
    <w:rsid w:val="00801B1C"/>
    <w:rsid w:val="008102F1"/>
    <w:rsid w:val="00816393"/>
    <w:rsid w:val="00822D23"/>
    <w:rsid w:val="00831706"/>
    <w:rsid w:val="00834FD8"/>
    <w:rsid w:val="00857E5C"/>
    <w:rsid w:val="00860FBB"/>
    <w:rsid w:val="008740CC"/>
    <w:rsid w:val="0087443D"/>
    <w:rsid w:val="00877D02"/>
    <w:rsid w:val="00884BF2"/>
    <w:rsid w:val="00885F7A"/>
    <w:rsid w:val="00887629"/>
    <w:rsid w:val="00887AB7"/>
    <w:rsid w:val="00891E7D"/>
    <w:rsid w:val="008920D4"/>
    <w:rsid w:val="00894C70"/>
    <w:rsid w:val="008A0EBB"/>
    <w:rsid w:val="008A1C7B"/>
    <w:rsid w:val="008A58EF"/>
    <w:rsid w:val="008B1AA5"/>
    <w:rsid w:val="008B5166"/>
    <w:rsid w:val="008B5398"/>
    <w:rsid w:val="008C5A88"/>
    <w:rsid w:val="008C5DBF"/>
    <w:rsid w:val="008C7EFA"/>
    <w:rsid w:val="008E18AC"/>
    <w:rsid w:val="008E2E4C"/>
    <w:rsid w:val="008E3BB8"/>
    <w:rsid w:val="008E51C4"/>
    <w:rsid w:val="008F3A31"/>
    <w:rsid w:val="008F62C6"/>
    <w:rsid w:val="008F68E7"/>
    <w:rsid w:val="00900BE4"/>
    <w:rsid w:val="00900EC6"/>
    <w:rsid w:val="009010DC"/>
    <w:rsid w:val="009040D9"/>
    <w:rsid w:val="00904DFB"/>
    <w:rsid w:val="0091150A"/>
    <w:rsid w:val="009212A2"/>
    <w:rsid w:val="0093637D"/>
    <w:rsid w:val="00936F6D"/>
    <w:rsid w:val="009426D2"/>
    <w:rsid w:val="0094667F"/>
    <w:rsid w:val="00951541"/>
    <w:rsid w:val="00954110"/>
    <w:rsid w:val="009552A7"/>
    <w:rsid w:val="00956EA9"/>
    <w:rsid w:val="009609AA"/>
    <w:rsid w:val="00961201"/>
    <w:rsid w:val="00962262"/>
    <w:rsid w:val="009647BE"/>
    <w:rsid w:val="00965E75"/>
    <w:rsid w:val="009679A3"/>
    <w:rsid w:val="009805F9"/>
    <w:rsid w:val="00980906"/>
    <w:rsid w:val="00984114"/>
    <w:rsid w:val="009A0A39"/>
    <w:rsid w:val="009A5F75"/>
    <w:rsid w:val="009B1022"/>
    <w:rsid w:val="009B1C88"/>
    <w:rsid w:val="009B64F0"/>
    <w:rsid w:val="009B6B4F"/>
    <w:rsid w:val="009C3C61"/>
    <w:rsid w:val="009C4DDB"/>
    <w:rsid w:val="009C5239"/>
    <w:rsid w:val="009D07E1"/>
    <w:rsid w:val="009D4A8E"/>
    <w:rsid w:val="009D6444"/>
    <w:rsid w:val="009D7012"/>
    <w:rsid w:val="009D70A4"/>
    <w:rsid w:val="009E1100"/>
    <w:rsid w:val="009E22DE"/>
    <w:rsid w:val="009F11CB"/>
    <w:rsid w:val="009F1A3F"/>
    <w:rsid w:val="009F1CDF"/>
    <w:rsid w:val="009F7DDE"/>
    <w:rsid w:val="009F7F6E"/>
    <w:rsid w:val="00A01AD6"/>
    <w:rsid w:val="00A1236F"/>
    <w:rsid w:val="00A20597"/>
    <w:rsid w:val="00A46F8F"/>
    <w:rsid w:val="00A51841"/>
    <w:rsid w:val="00A52965"/>
    <w:rsid w:val="00A6558E"/>
    <w:rsid w:val="00A717BC"/>
    <w:rsid w:val="00A74240"/>
    <w:rsid w:val="00A81C70"/>
    <w:rsid w:val="00A823A1"/>
    <w:rsid w:val="00A86C2C"/>
    <w:rsid w:val="00AA0967"/>
    <w:rsid w:val="00AA26FD"/>
    <w:rsid w:val="00AA3DB5"/>
    <w:rsid w:val="00AA3E09"/>
    <w:rsid w:val="00AA5D40"/>
    <w:rsid w:val="00AA7914"/>
    <w:rsid w:val="00AC1465"/>
    <w:rsid w:val="00AC57C4"/>
    <w:rsid w:val="00AC62DC"/>
    <w:rsid w:val="00AC7D0B"/>
    <w:rsid w:val="00AD0B94"/>
    <w:rsid w:val="00AD4CC9"/>
    <w:rsid w:val="00AD6B15"/>
    <w:rsid w:val="00AD6F4B"/>
    <w:rsid w:val="00AD7278"/>
    <w:rsid w:val="00AE487A"/>
    <w:rsid w:val="00AF21C1"/>
    <w:rsid w:val="00AF2E1F"/>
    <w:rsid w:val="00AF40BE"/>
    <w:rsid w:val="00AF488B"/>
    <w:rsid w:val="00AF4B37"/>
    <w:rsid w:val="00B01F89"/>
    <w:rsid w:val="00B01FE8"/>
    <w:rsid w:val="00B02135"/>
    <w:rsid w:val="00B04B26"/>
    <w:rsid w:val="00B051AD"/>
    <w:rsid w:val="00B06A53"/>
    <w:rsid w:val="00B072D3"/>
    <w:rsid w:val="00B106BD"/>
    <w:rsid w:val="00B165BD"/>
    <w:rsid w:val="00B16FCB"/>
    <w:rsid w:val="00B31735"/>
    <w:rsid w:val="00B32173"/>
    <w:rsid w:val="00B35B57"/>
    <w:rsid w:val="00B47257"/>
    <w:rsid w:val="00B4746B"/>
    <w:rsid w:val="00B47F1C"/>
    <w:rsid w:val="00B51747"/>
    <w:rsid w:val="00B51974"/>
    <w:rsid w:val="00B53A95"/>
    <w:rsid w:val="00B57453"/>
    <w:rsid w:val="00B723A0"/>
    <w:rsid w:val="00B73C53"/>
    <w:rsid w:val="00B8094E"/>
    <w:rsid w:val="00B828E4"/>
    <w:rsid w:val="00B858B7"/>
    <w:rsid w:val="00B91D36"/>
    <w:rsid w:val="00B923A6"/>
    <w:rsid w:val="00BA00DD"/>
    <w:rsid w:val="00BA1CFD"/>
    <w:rsid w:val="00BB731D"/>
    <w:rsid w:val="00BC61B0"/>
    <w:rsid w:val="00BD7484"/>
    <w:rsid w:val="00BF2CD5"/>
    <w:rsid w:val="00C020C9"/>
    <w:rsid w:val="00C05DF6"/>
    <w:rsid w:val="00C0773C"/>
    <w:rsid w:val="00C07CA5"/>
    <w:rsid w:val="00C14603"/>
    <w:rsid w:val="00C16DC1"/>
    <w:rsid w:val="00C25E16"/>
    <w:rsid w:val="00C25F77"/>
    <w:rsid w:val="00C31294"/>
    <w:rsid w:val="00C31ED7"/>
    <w:rsid w:val="00C32A4E"/>
    <w:rsid w:val="00C37918"/>
    <w:rsid w:val="00C42A63"/>
    <w:rsid w:val="00C43EF1"/>
    <w:rsid w:val="00C45B3F"/>
    <w:rsid w:val="00C46F1C"/>
    <w:rsid w:val="00C50CB3"/>
    <w:rsid w:val="00C51AF6"/>
    <w:rsid w:val="00C522BC"/>
    <w:rsid w:val="00C766D7"/>
    <w:rsid w:val="00C82944"/>
    <w:rsid w:val="00C84C95"/>
    <w:rsid w:val="00C9279B"/>
    <w:rsid w:val="00C93D3A"/>
    <w:rsid w:val="00C940AE"/>
    <w:rsid w:val="00C94F3D"/>
    <w:rsid w:val="00CA0726"/>
    <w:rsid w:val="00CA7031"/>
    <w:rsid w:val="00CB0335"/>
    <w:rsid w:val="00CB64B1"/>
    <w:rsid w:val="00CC1CB0"/>
    <w:rsid w:val="00CC34AB"/>
    <w:rsid w:val="00CC42CD"/>
    <w:rsid w:val="00CD42BB"/>
    <w:rsid w:val="00CE2FEE"/>
    <w:rsid w:val="00CE518B"/>
    <w:rsid w:val="00D01C59"/>
    <w:rsid w:val="00D03620"/>
    <w:rsid w:val="00D134BD"/>
    <w:rsid w:val="00D1469F"/>
    <w:rsid w:val="00D21F17"/>
    <w:rsid w:val="00D257B7"/>
    <w:rsid w:val="00D32F81"/>
    <w:rsid w:val="00D33AED"/>
    <w:rsid w:val="00D40E24"/>
    <w:rsid w:val="00D41D27"/>
    <w:rsid w:val="00D446E0"/>
    <w:rsid w:val="00D478BF"/>
    <w:rsid w:val="00D50B02"/>
    <w:rsid w:val="00D51D35"/>
    <w:rsid w:val="00D53D27"/>
    <w:rsid w:val="00D611B9"/>
    <w:rsid w:val="00D633FD"/>
    <w:rsid w:val="00D67335"/>
    <w:rsid w:val="00D71120"/>
    <w:rsid w:val="00D73F29"/>
    <w:rsid w:val="00D74EB7"/>
    <w:rsid w:val="00D844C0"/>
    <w:rsid w:val="00D8558F"/>
    <w:rsid w:val="00D94C95"/>
    <w:rsid w:val="00DA137F"/>
    <w:rsid w:val="00DA72BD"/>
    <w:rsid w:val="00DD47D6"/>
    <w:rsid w:val="00DD69C7"/>
    <w:rsid w:val="00DD7AD5"/>
    <w:rsid w:val="00DD7BE5"/>
    <w:rsid w:val="00DE2A4D"/>
    <w:rsid w:val="00DE4CE9"/>
    <w:rsid w:val="00DF113E"/>
    <w:rsid w:val="00DF227F"/>
    <w:rsid w:val="00DF2B47"/>
    <w:rsid w:val="00E07ACA"/>
    <w:rsid w:val="00E10CDF"/>
    <w:rsid w:val="00E1168A"/>
    <w:rsid w:val="00E12AA2"/>
    <w:rsid w:val="00E15995"/>
    <w:rsid w:val="00E163EA"/>
    <w:rsid w:val="00E2129A"/>
    <w:rsid w:val="00E2205A"/>
    <w:rsid w:val="00E31C89"/>
    <w:rsid w:val="00E3635C"/>
    <w:rsid w:val="00E36A78"/>
    <w:rsid w:val="00E40AD9"/>
    <w:rsid w:val="00E41260"/>
    <w:rsid w:val="00E50D09"/>
    <w:rsid w:val="00E57CE2"/>
    <w:rsid w:val="00E6578C"/>
    <w:rsid w:val="00E82828"/>
    <w:rsid w:val="00E83C19"/>
    <w:rsid w:val="00E9267F"/>
    <w:rsid w:val="00E969D8"/>
    <w:rsid w:val="00E97CCC"/>
    <w:rsid w:val="00EC5E83"/>
    <w:rsid w:val="00EC6981"/>
    <w:rsid w:val="00ED079E"/>
    <w:rsid w:val="00ED68E1"/>
    <w:rsid w:val="00EE010E"/>
    <w:rsid w:val="00EE0DB5"/>
    <w:rsid w:val="00EE323F"/>
    <w:rsid w:val="00EE47AE"/>
    <w:rsid w:val="00EE4841"/>
    <w:rsid w:val="00EF07EC"/>
    <w:rsid w:val="00F05DBC"/>
    <w:rsid w:val="00F069FE"/>
    <w:rsid w:val="00F1119E"/>
    <w:rsid w:val="00F119B4"/>
    <w:rsid w:val="00F12B53"/>
    <w:rsid w:val="00F15173"/>
    <w:rsid w:val="00F21179"/>
    <w:rsid w:val="00F40A4C"/>
    <w:rsid w:val="00F50E38"/>
    <w:rsid w:val="00F52F58"/>
    <w:rsid w:val="00F75F13"/>
    <w:rsid w:val="00F7738C"/>
    <w:rsid w:val="00F90E06"/>
    <w:rsid w:val="00F941DA"/>
    <w:rsid w:val="00F96044"/>
    <w:rsid w:val="00FA0F3B"/>
    <w:rsid w:val="00FA525A"/>
    <w:rsid w:val="00FA52DE"/>
    <w:rsid w:val="00FC7408"/>
    <w:rsid w:val="1C81337D"/>
    <w:rsid w:val="48CA5329"/>
    <w:rsid w:val="59CE00BE"/>
    <w:rsid w:val="65CB5D30"/>
    <w:rsid w:val="7103213F"/>
    <w:rsid w:val="75837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00" w:lineRule="exact"/>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9"/>
    <w:pPr>
      <w:keepNext/>
      <w:keepLines/>
      <w:widowControl w:val="0"/>
      <w:ind w:firstLine="200" w:firstLineChars="200"/>
      <w:outlineLvl w:val="0"/>
    </w:pPr>
    <w:rPr>
      <w:rFonts w:ascii="Calibri" w:hAnsi="Calibri" w:eastAsia="方正黑体简体" w:cs="Calibri"/>
      <w:bCs/>
      <w:kern w:val="44"/>
      <w:sz w:val="32"/>
      <w:szCs w:val="44"/>
    </w:rPr>
  </w:style>
  <w:style w:type="paragraph" w:styleId="3">
    <w:name w:val="heading 2"/>
    <w:basedOn w:val="1"/>
    <w:next w:val="1"/>
    <w:link w:val="30"/>
    <w:semiHidden/>
    <w:unhideWhenUsed/>
    <w:qFormat/>
    <w:uiPriority w:val="9"/>
    <w:pPr>
      <w:keepNext/>
      <w:keepLines/>
      <w:spacing w:before="260" w:after="260" w:line="416" w:lineRule="atLeast"/>
      <w:outlineLvl w:val="1"/>
    </w:pPr>
    <w:rPr>
      <w:rFonts w:ascii="等线 Light" w:hAnsi="等线 Light" w:eastAsia="方正楷体简体" w:cs="Times New Roman"/>
      <w:bCs/>
      <w:sz w:val="32"/>
      <w:szCs w:val="32"/>
    </w:rPr>
  </w:style>
  <w:style w:type="paragraph" w:styleId="4">
    <w:name w:val="heading 3"/>
    <w:basedOn w:val="1"/>
    <w:next w:val="1"/>
    <w:link w:val="29"/>
    <w:unhideWhenUsed/>
    <w:qFormat/>
    <w:uiPriority w:val="9"/>
    <w:pPr>
      <w:keepNext/>
      <w:keepLines/>
      <w:widowControl w:val="0"/>
      <w:spacing w:before="260" w:after="260" w:line="240" w:lineRule="auto"/>
      <w:ind w:firstLine="643" w:firstLineChars="200"/>
      <w:outlineLvl w:val="2"/>
    </w:pPr>
    <w:rPr>
      <w:rFonts w:ascii="仿宋_GB2312" w:hAnsi="Calibri" w:eastAsia="仿宋_GB2312" w:cs="Calibri"/>
      <w:b/>
      <w:bCs/>
      <w:sz w:val="32"/>
      <w:szCs w:val="32"/>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33"/>
    <w:semiHidden/>
    <w:unhideWhenUsed/>
    <w:uiPriority w:val="99"/>
    <w:pPr>
      <w:jc w:val="left"/>
    </w:pPr>
  </w:style>
  <w:style w:type="paragraph" w:styleId="6">
    <w:name w:val="endnote text"/>
    <w:basedOn w:val="1"/>
    <w:link w:val="56"/>
    <w:semiHidden/>
    <w:unhideWhenUsed/>
    <w:uiPriority w:val="99"/>
    <w:pPr>
      <w:snapToGrid w:val="0"/>
      <w:jc w:val="left"/>
    </w:pPr>
  </w:style>
  <w:style w:type="paragraph" w:styleId="7">
    <w:name w:val="Balloon Text"/>
    <w:basedOn w:val="1"/>
    <w:link w:val="57"/>
    <w:semiHidden/>
    <w:unhideWhenUsed/>
    <w:uiPriority w:val="99"/>
    <w:pPr>
      <w:spacing w:line="240" w:lineRule="auto"/>
    </w:pPr>
    <w:rPr>
      <w:sz w:val="18"/>
      <w:szCs w:val="18"/>
    </w:rPr>
  </w:style>
  <w:style w:type="paragraph" w:styleId="8">
    <w:name w:val="footer"/>
    <w:basedOn w:val="1"/>
    <w:link w:val="23"/>
    <w:unhideWhenUsed/>
    <w:qFormat/>
    <w:uiPriority w:val="99"/>
    <w:pPr>
      <w:tabs>
        <w:tab w:val="center" w:pos="4153"/>
        <w:tab w:val="right" w:pos="8306"/>
      </w:tabs>
      <w:snapToGrid w:val="0"/>
      <w:spacing w:line="240" w:lineRule="atLeast"/>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0">
    <w:name w:val="toc 1"/>
    <w:basedOn w:val="1"/>
    <w:next w:val="1"/>
    <w:unhideWhenUsed/>
    <w:qFormat/>
    <w:uiPriority w:val="39"/>
    <w:pPr>
      <w:widowControl w:val="0"/>
      <w:tabs>
        <w:tab w:val="right" w:leader="dot" w:pos="8296"/>
      </w:tabs>
    </w:pPr>
    <w:rPr>
      <w:rFonts w:ascii="方正仿宋简体" w:hAnsi="Times New Roman" w:eastAsia="方正仿宋简体" w:cs="Times New Roman"/>
      <w:b/>
      <w:bCs/>
      <w:sz w:val="32"/>
      <w:szCs w:val="32"/>
    </w:rPr>
  </w:style>
  <w:style w:type="paragraph" w:styleId="11">
    <w:name w:val="footnote text"/>
    <w:basedOn w:val="1"/>
    <w:link w:val="39"/>
    <w:unhideWhenUsed/>
    <w:qFormat/>
    <w:uiPriority w:val="99"/>
    <w:pPr>
      <w:widowControl w:val="0"/>
      <w:snapToGrid w:val="0"/>
      <w:ind w:firstLine="200" w:firstLineChars="200"/>
      <w:jc w:val="left"/>
    </w:pPr>
    <w:rPr>
      <w:rFonts w:ascii="Calibri" w:hAnsi="Calibri" w:eastAsia="宋体" w:cs="Calibri"/>
      <w:sz w:val="18"/>
      <w:szCs w:val="18"/>
    </w:rPr>
  </w:style>
  <w:style w:type="paragraph" w:styleId="12">
    <w:name w:val="toc 2"/>
    <w:basedOn w:val="1"/>
    <w:next w:val="1"/>
    <w:unhideWhenUsed/>
    <w:qFormat/>
    <w:uiPriority w:val="39"/>
    <w:pPr>
      <w:widowControl w:val="0"/>
      <w:tabs>
        <w:tab w:val="right" w:leader="dot" w:pos="8296"/>
      </w:tabs>
      <w:ind w:hanging="1"/>
    </w:pPr>
    <w:rPr>
      <w:rFonts w:ascii="Calibri" w:hAnsi="Calibri" w:eastAsia="宋体" w:cs="Calibri"/>
      <w:sz w:val="32"/>
      <w:szCs w:val="21"/>
    </w:rPr>
  </w:style>
  <w:style w:type="paragraph" w:styleId="13">
    <w:name w:val="Normal (Web)"/>
    <w:basedOn w:val="1"/>
    <w:semiHidden/>
    <w:unhideWhenUsed/>
    <w:uiPriority w:val="99"/>
    <w:pPr>
      <w:spacing w:before="100" w:beforeAutospacing="1" w:after="100" w:afterAutospacing="1" w:line="240" w:lineRule="auto"/>
      <w:jc w:val="left"/>
    </w:pPr>
    <w:rPr>
      <w:rFonts w:ascii="宋体" w:hAnsi="宋体" w:eastAsia="宋体" w:cs="宋体"/>
      <w:kern w:val="0"/>
      <w:sz w:val="24"/>
      <w:szCs w:val="24"/>
    </w:rPr>
  </w:style>
  <w:style w:type="paragraph" w:styleId="14">
    <w:name w:val="annotation subject"/>
    <w:basedOn w:val="5"/>
    <w:next w:val="5"/>
    <w:link w:val="34"/>
    <w:unhideWhenUsed/>
    <w:qFormat/>
    <w:uiPriority w:val="99"/>
    <w:pPr>
      <w:widowControl w:val="0"/>
      <w:ind w:firstLine="200" w:firstLineChars="200"/>
    </w:pPr>
    <w:rPr>
      <w:rFonts w:ascii="Calibri" w:hAnsi="Calibri" w:eastAsia="宋体" w:cs="Calibri"/>
      <w:b/>
      <w:bCs/>
      <w:sz w:val="32"/>
      <w:szCs w:val="21"/>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endnote reference"/>
    <w:basedOn w:val="17"/>
    <w:unhideWhenUsed/>
    <w:qFormat/>
    <w:uiPriority w:val="99"/>
    <w:rPr>
      <w:vertAlign w:val="superscript"/>
    </w:rPr>
  </w:style>
  <w:style w:type="character" w:styleId="19">
    <w:name w:val="Hyperlink"/>
    <w:basedOn w:val="17"/>
    <w:unhideWhenUsed/>
    <w:qFormat/>
    <w:uiPriority w:val="99"/>
    <w:rPr>
      <w:color w:val="0563C1" w:themeColor="hyperlink"/>
      <w:u w:val="single"/>
      <w14:textFill>
        <w14:solidFill>
          <w14:schemeClr w14:val="hlink"/>
        </w14:solidFill>
      </w14:textFill>
    </w:rPr>
  </w:style>
  <w:style w:type="character" w:styleId="20">
    <w:name w:val="annotation reference"/>
    <w:basedOn w:val="17"/>
    <w:unhideWhenUsed/>
    <w:qFormat/>
    <w:uiPriority w:val="99"/>
    <w:rPr>
      <w:sz w:val="21"/>
      <w:szCs w:val="21"/>
    </w:rPr>
  </w:style>
  <w:style w:type="character" w:styleId="21">
    <w:name w:val="footnote reference"/>
    <w:basedOn w:val="17"/>
    <w:unhideWhenUsed/>
    <w:qFormat/>
    <w:uiPriority w:val="99"/>
    <w:rPr>
      <w:vertAlign w:val="superscript"/>
    </w:rPr>
  </w:style>
  <w:style w:type="character" w:customStyle="1" w:styleId="22">
    <w:name w:val="页眉 Char"/>
    <w:basedOn w:val="17"/>
    <w:link w:val="9"/>
    <w:qFormat/>
    <w:uiPriority w:val="99"/>
    <w:rPr>
      <w:sz w:val="18"/>
      <w:szCs w:val="18"/>
    </w:rPr>
  </w:style>
  <w:style w:type="character" w:customStyle="1" w:styleId="23">
    <w:name w:val="页脚 Char"/>
    <w:basedOn w:val="17"/>
    <w:link w:val="8"/>
    <w:qFormat/>
    <w:uiPriority w:val="99"/>
    <w:rPr>
      <w:sz w:val="18"/>
      <w:szCs w:val="18"/>
    </w:rPr>
  </w:style>
  <w:style w:type="paragraph" w:styleId="24">
    <w:name w:val="List Paragraph"/>
    <w:basedOn w:val="1"/>
    <w:qFormat/>
    <w:uiPriority w:val="99"/>
    <w:pPr>
      <w:ind w:firstLine="420" w:firstLineChars="200"/>
    </w:pPr>
  </w:style>
  <w:style w:type="paragraph" w:customStyle="1" w:styleId="25">
    <w:name w:val="二级标题"/>
    <w:basedOn w:val="1"/>
    <w:link w:val="26"/>
    <w:qFormat/>
    <w:uiPriority w:val="0"/>
    <w:pPr>
      <w:widowControl w:val="0"/>
      <w:ind w:firstLine="200" w:firstLineChars="200"/>
      <w:jc w:val="left"/>
    </w:pPr>
    <w:rPr>
      <w:rFonts w:ascii="Times New Roman" w:hAnsi="Times New Roman" w:eastAsia="方正楷体简体" w:cs="Times New Roman"/>
      <w:b/>
      <w:kern w:val="0"/>
      <w:sz w:val="32"/>
      <w:szCs w:val="28"/>
    </w:rPr>
  </w:style>
  <w:style w:type="character" w:customStyle="1" w:styleId="26">
    <w:name w:val="二级标题 字符"/>
    <w:link w:val="25"/>
    <w:qFormat/>
    <w:uiPriority w:val="0"/>
    <w:rPr>
      <w:rFonts w:ascii="Times New Roman" w:hAnsi="Times New Roman" w:eastAsia="方正楷体简体" w:cs="Times New Roman"/>
      <w:b/>
      <w:sz w:val="32"/>
      <w:szCs w:val="28"/>
    </w:rPr>
  </w:style>
  <w:style w:type="character" w:customStyle="1" w:styleId="27">
    <w:name w:val="标题 1 Char"/>
    <w:basedOn w:val="17"/>
    <w:link w:val="2"/>
    <w:qFormat/>
    <w:uiPriority w:val="9"/>
    <w:rPr>
      <w:rFonts w:ascii="Calibri" w:hAnsi="Calibri" w:eastAsia="方正黑体简体" w:cs="Calibri"/>
      <w:bCs/>
      <w:kern w:val="44"/>
      <w:sz w:val="32"/>
      <w:szCs w:val="44"/>
    </w:rPr>
  </w:style>
  <w:style w:type="paragraph" w:customStyle="1" w:styleId="28">
    <w:name w:val="标题 21"/>
    <w:basedOn w:val="1"/>
    <w:next w:val="1"/>
    <w:unhideWhenUsed/>
    <w:qFormat/>
    <w:uiPriority w:val="9"/>
    <w:pPr>
      <w:keepNext/>
      <w:keepLines/>
      <w:widowControl w:val="0"/>
      <w:ind w:firstLine="200" w:firstLineChars="200"/>
      <w:outlineLvl w:val="1"/>
    </w:pPr>
    <w:rPr>
      <w:rFonts w:ascii="等线 Light" w:hAnsi="等线 Light" w:eastAsia="方正楷体简体" w:cs="Times New Roman"/>
      <w:bCs/>
      <w:sz w:val="32"/>
      <w:szCs w:val="32"/>
    </w:rPr>
  </w:style>
  <w:style w:type="character" w:customStyle="1" w:styleId="29">
    <w:name w:val="标题 3 Char"/>
    <w:basedOn w:val="17"/>
    <w:link w:val="4"/>
    <w:qFormat/>
    <w:uiPriority w:val="9"/>
    <w:rPr>
      <w:rFonts w:ascii="仿宋_GB2312" w:hAnsi="Calibri" w:eastAsia="仿宋_GB2312" w:cs="Calibri"/>
      <w:b/>
      <w:bCs/>
      <w:kern w:val="2"/>
      <w:sz w:val="32"/>
      <w:szCs w:val="32"/>
    </w:rPr>
  </w:style>
  <w:style w:type="character" w:customStyle="1" w:styleId="30">
    <w:name w:val="标题 2 Char"/>
    <w:basedOn w:val="17"/>
    <w:link w:val="3"/>
    <w:qFormat/>
    <w:uiPriority w:val="9"/>
    <w:rPr>
      <w:rFonts w:ascii="等线 Light" w:hAnsi="等线 Light" w:eastAsia="方正楷体简体" w:cs="Times New Roman"/>
      <w:bCs/>
      <w:kern w:val="2"/>
      <w:sz w:val="32"/>
      <w:szCs w:val="32"/>
    </w:rPr>
  </w:style>
  <w:style w:type="paragraph" w:customStyle="1" w:styleId="31">
    <w:name w:val="批注文字1"/>
    <w:basedOn w:val="1"/>
    <w:next w:val="5"/>
    <w:link w:val="32"/>
    <w:unhideWhenUsed/>
    <w:qFormat/>
    <w:uiPriority w:val="99"/>
    <w:pPr>
      <w:widowControl w:val="0"/>
      <w:ind w:firstLine="200" w:firstLineChars="200"/>
      <w:jc w:val="left"/>
    </w:pPr>
    <w:rPr>
      <w:rFonts w:ascii="等线" w:hAnsi="等线" w:eastAsia="方正黑体简体" w:cs="Times New Roman"/>
      <w:sz w:val="32"/>
    </w:rPr>
  </w:style>
  <w:style w:type="character" w:customStyle="1" w:styleId="32">
    <w:name w:val="批注文字 字符"/>
    <w:basedOn w:val="17"/>
    <w:link w:val="31"/>
    <w:qFormat/>
    <w:uiPriority w:val="99"/>
    <w:rPr>
      <w:rFonts w:ascii="等线" w:hAnsi="等线" w:eastAsia="方正黑体简体" w:cs="Times New Roman"/>
      <w:kern w:val="2"/>
      <w:sz w:val="32"/>
      <w:szCs w:val="22"/>
    </w:rPr>
  </w:style>
  <w:style w:type="character" w:customStyle="1" w:styleId="33">
    <w:name w:val="批注文字 Char"/>
    <w:basedOn w:val="17"/>
    <w:link w:val="5"/>
    <w:semiHidden/>
    <w:uiPriority w:val="99"/>
    <w:rPr>
      <w:kern w:val="2"/>
      <w:sz w:val="21"/>
      <w:szCs w:val="22"/>
    </w:rPr>
  </w:style>
  <w:style w:type="character" w:customStyle="1" w:styleId="34">
    <w:name w:val="批注主题 Char"/>
    <w:basedOn w:val="33"/>
    <w:link w:val="14"/>
    <w:qFormat/>
    <w:uiPriority w:val="99"/>
    <w:rPr>
      <w:rFonts w:ascii="Calibri" w:hAnsi="Calibri" w:eastAsia="宋体" w:cs="Calibri"/>
      <w:b/>
      <w:bCs/>
      <w:kern w:val="2"/>
      <w:sz w:val="32"/>
      <w:szCs w:val="21"/>
    </w:rPr>
  </w:style>
  <w:style w:type="paragraph" w:customStyle="1" w:styleId="35">
    <w:name w:val="尾注文本1"/>
    <w:basedOn w:val="1"/>
    <w:next w:val="6"/>
    <w:link w:val="36"/>
    <w:unhideWhenUsed/>
    <w:qFormat/>
    <w:uiPriority w:val="99"/>
    <w:pPr>
      <w:widowControl w:val="0"/>
      <w:snapToGrid w:val="0"/>
      <w:ind w:firstLine="200" w:firstLineChars="200"/>
      <w:jc w:val="left"/>
    </w:pPr>
    <w:rPr>
      <w:rFonts w:ascii="等线" w:hAnsi="等线" w:eastAsia="方正黑体简体" w:cs="Times New Roman"/>
      <w:sz w:val="32"/>
    </w:rPr>
  </w:style>
  <w:style w:type="character" w:customStyle="1" w:styleId="36">
    <w:name w:val="尾注文本 字符"/>
    <w:basedOn w:val="17"/>
    <w:link w:val="35"/>
    <w:qFormat/>
    <w:uiPriority w:val="99"/>
    <w:rPr>
      <w:rFonts w:ascii="等线" w:hAnsi="等线" w:eastAsia="方正黑体简体" w:cs="Times New Roman"/>
      <w:kern w:val="2"/>
      <w:sz w:val="32"/>
      <w:szCs w:val="22"/>
    </w:rPr>
  </w:style>
  <w:style w:type="paragraph" w:customStyle="1" w:styleId="37">
    <w:name w:val="批注框文本1"/>
    <w:basedOn w:val="1"/>
    <w:next w:val="7"/>
    <w:link w:val="38"/>
    <w:unhideWhenUsed/>
    <w:qFormat/>
    <w:uiPriority w:val="99"/>
    <w:pPr>
      <w:widowControl w:val="0"/>
      <w:ind w:firstLine="200" w:firstLineChars="200"/>
    </w:pPr>
    <w:rPr>
      <w:rFonts w:ascii="等线" w:hAnsi="等线" w:eastAsia="方正黑体简体" w:cs="Times New Roman"/>
      <w:sz w:val="18"/>
      <w:szCs w:val="18"/>
    </w:rPr>
  </w:style>
  <w:style w:type="character" w:customStyle="1" w:styleId="38">
    <w:name w:val="批注框文本 字符"/>
    <w:basedOn w:val="17"/>
    <w:link w:val="37"/>
    <w:qFormat/>
    <w:uiPriority w:val="99"/>
    <w:rPr>
      <w:rFonts w:ascii="等线" w:hAnsi="等线" w:eastAsia="方正黑体简体" w:cs="Times New Roman"/>
      <w:kern w:val="2"/>
      <w:sz w:val="18"/>
      <w:szCs w:val="18"/>
    </w:rPr>
  </w:style>
  <w:style w:type="character" w:customStyle="1" w:styleId="39">
    <w:name w:val="脚注文本 Char"/>
    <w:basedOn w:val="17"/>
    <w:link w:val="11"/>
    <w:qFormat/>
    <w:uiPriority w:val="99"/>
    <w:rPr>
      <w:rFonts w:ascii="Calibri" w:hAnsi="Calibri" w:eastAsia="宋体" w:cs="Calibri"/>
      <w:kern w:val="2"/>
      <w:sz w:val="18"/>
      <w:szCs w:val="18"/>
    </w:rPr>
  </w:style>
  <w:style w:type="table" w:customStyle="1" w:styleId="40">
    <w:name w:val="网格型1"/>
    <w:basedOn w:val="15"/>
    <w:unhideWhenUsed/>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1">
    <w:name w:val="列表段落1"/>
    <w:basedOn w:val="1"/>
    <w:qFormat/>
    <w:uiPriority w:val="34"/>
    <w:pPr>
      <w:widowControl w:val="0"/>
      <w:ind w:firstLine="420" w:firstLineChars="200"/>
    </w:pPr>
    <w:rPr>
      <w:rFonts w:ascii="Calibri" w:hAnsi="Calibri" w:eastAsia="宋体" w:cs="Calibri"/>
      <w:sz w:val="32"/>
      <w:szCs w:val="21"/>
    </w:rPr>
  </w:style>
  <w:style w:type="paragraph" w:customStyle="1" w:styleId="42">
    <w:name w:val="标题一级"/>
    <w:basedOn w:val="1"/>
    <w:link w:val="43"/>
    <w:qFormat/>
    <w:uiPriority w:val="0"/>
    <w:pPr>
      <w:widowControl w:val="0"/>
      <w:ind w:firstLine="200" w:firstLineChars="200"/>
    </w:pPr>
    <w:rPr>
      <w:rFonts w:ascii="Times New Roman" w:hAnsi="Times New Roman" w:eastAsia="方正黑体简体" w:cs="Times New Roman"/>
      <w:kern w:val="0"/>
      <w:sz w:val="32"/>
      <w:szCs w:val="28"/>
    </w:rPr>
  </w:style>
  <w:style w:type="character" w:customStyle="1" w:styleId="43">
    <w:name w:val="标题一级 字符"/>
    <w:link w:val="42"/>
    <w:qFormat/>
    <w:uiPriority w:val="0"/>
    <w:rPr>
      <w:rFonts w:ascii="Times New Roman" w:hAnsi="Times New Roman" w:eastAsia="方正黑体简体" w:cs="Times New Roman"/>
      <w:sz w:val="32"/>
      <w:szCs w:val="28"/>
    </w:rPr>
  </w:style>
  <w:style w:type="character" w:customStyle="1" w:styleId="44">
    <w:name w:val="闻政正文 Char"/>
    <w:link w:val="45"/>
    <w:qFormat/>
    <w:uiPriority w:val="0"/>
    <w:rPr>
      <w:rFonts w:eastAsia="仿宋_GB2312"/>
      <w:sz w:val="28"/>
      <w:szCs w:val="28"/>
    </w:rPr>
  </w:style>
  <w:style w:type="paragraph" w:customStyle="1" w:styleId="45">
    <w:name w:val="闻政正文"/>
    <w:basedOn w:val="1"/>
    <w:link w:val="44"/>
    <w:qFormat/>
    <w:uiPriority w:val="0"/>
    <w:pPr>
      <w:widowControl w:val="0"/>
      <w:spacing w:line="500" w:lineRule="exact"/>
      <w:ind w:firstLine="560" w:firstLineChars="200"/>
    </w:pPr>
    <w:rPr>
      <w:rFonts w:eastAsia="仿宋_GB2312"/>
      <w:kern w:val="0"/>
      <w:sz w:val="28"/>
      <w:szCs w:val="28"/>
    </w:rPr>
  </w:style>
  <w:style w:type="table" w:customStyle="1" w:styleId="46">
    <w:name w:val="网格型41"/>
    <w:basedOn w:val="15"/>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7">
    <w:name w:val="TOC 标题1"/>
    <w:basedOn w:val="2"/>
    <w:next w:val="1"/>
    <w:unhideWhenUsed/>
    <w:qFormat/>
    <w:uiPriority w:val="39"/>
    <w:pPr>
      <w:widowControl/>
      <w:spacing w:before="240" w:line="259" w:lineRule="auto"/>
      <w:ind w:firstLine="0" w:firstLineChars="0"/>
      <w:jc w:val="left"/>
      <w:outlineLvl w:val="9"/>
    </w:pPr>
    <w:rPr>
      <w:rFonts w:ascii="等线 Light" w:hAnsi="等线 Light" w:eastAsia="等线 Light" w:cs="Times New Roman"/>
      <w:bCs w:val="0"/>
      <w:color w:val="2F5496"/>
      <w:kern w:val="0"/>
      <w:szCs w:val="32"/>
    </w:rPr>
  </w:style>
  <w:style w:type="table" w:customStyle="1" w:styleId="48">
    <w:name w:val="网格型411"/>
    <w:basedOn w:val="15"/>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
    <w:name w:val="网格型2"/>
    <w:basedOn w:val="15"/>
    <w:unhideWhenUsed/>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
    <w:name w:val="网格型3"/>
    <w:basedOn w:val="15"/>
    <w:unhideWhenUsed/>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1">
    <w:name w:val="001"/>
    <w:basedOn w:val="1"/>
    <w:qFormat/>
    <w:uiPriority w:val="0"/>
    <w:pPr>
      <w:widowControl w:val="0"/>
      <w:spacing w:line="560" w:lineRule="exact"/>
      <w:jc w:val="center"/>
      <w:outlineLvl w:val="0"/>
    </w:pPr>
    <w:rPr>
      <w:rFonts w:ascii="方正小标宋简体" w:hAnsi="宋体" w:eastAsia="方正小标宋简体" w:cs="Times New Roman"/>
      <w:color w:val="000000"/>
      <w:sz w:val="44"/>
      <w:szCs w:val="44"/>
    </w:rPr>
  </w:style>
  <w:style w:type="paragraph" w:customStyle="1" w:styleId="52">
    <w:name w:val="修订1"/>
    <w:next w:val="53"/>
    <w:hidden/>
    <w:semiHidden/>
    <w:uiPriority w:val="99"/>
    <w:rPr>
      <w:rFonts w:eastAsia="方正黑体简体" w:asciiTheme="minorHAnsi" w:hAnsiTheme="minorHAnsi" w:cstheme="minorBidi"/>
      <w:kern w:val="2"/>
      <w:sz w:val="32"/>
      <w:szCs w:val="22"/>
      <w:lang w:val="en-US" w:eastAsia="zh-CN" w:bidi="ar-SA"/>
    </w:rPr>
  </w:style>
  <w:style w:type="paragraph" w:customStyle="1" w:styleId="53">
    <w:name w:val="Revision"/>
    <w:hidden/>
    <w:semiHidden/>
    <w:uiPriority w:val="99"/>
    <w:rPr>
      <w:rFonts w:asciiTheme="minorHAnsi" w:hAnsiTheme="minorHAnsi" w:eastAsiaTheme="minorEastAsia" w:cstheme="minorBidi"/>
      <w:kern w:val="2"/>
      <w:sz w:val="21"/>
      <w:szCs w:val="22"/>
      <w:lang w:val="en-US" w:eastAsia="zh-CN" w:bidi="ar-SA"/>
    </w:rPr>
  </w:style>
  <w:style w:type="paragraph" w:customStyle="1" w:styleId="54">
    <w:name w:val="TOC 31"/>
    <w:basedOn w:val="1"/>
    <w:next w:val="1"/>
    <w:unhideWhenUsed/>
    <w:uiPriority w:val="39"/>
    <w:pPr>
      <w:widowControl w:val="0"/>
      <w:ind w:left="840" w:leftChars="400" w:firstLine="200" w:firstLineChars="200"/>
    </w:pPr>
    <w:rPr>
      <w:rFonts w:eastAsia="方正黑体简体"/>
      <w:sz w:val="32"/>
    </w:rPr>
  </w:style>
  <w:style w:type="character" w:customStyle="1" w:styleId="55">
    <w:name w:val="标题 2 字符1"/>
    <w:basedOn w:val="17"/>
    <w:semiHidden/>
    <w:uiPriority w:val="9"/>
    <w:rPr>
      <w:rFonts w:asciiTheme="majorHAnsi" w:hAnsiTheme="majorHAnsi" w:eastAsiaTheme="majorEastAsia" w:cstheme="majorBidi"/>
      <w:b/>
      <w:bCs/>
      <w:kern w:val="2"/>
      <w:sz w:val="32"/>
      <w:szCs w:val="32"/>
    </w:rPr>
  </w:style>
  <w:style w:type="character" w:customStyle="1" w:styleId="56">
    <w:name w:val="尾注文本 Char"/>
    <w:basedOn w:val="17"/>
    <w:link w:val="6"/>
    <w:semiHidden/>
    <w:uiPriority w:val="99"/>
    <w:rPr>
      <w:kern w:val="2"/>
      <w:sz w:val="21"/>
      <w:szCs w:val="22"/>
    </w:rPr>
  </w:style>
  <w:style w:type="character" w:customStyle="1" w:styleId="57">
    <w:name w:val="批注框文本 Char"/>
    <w:basedOn w:val="17"/>
    <w:link w:val="7"/>
    <w:semiHidden/>
    <w:uiPriority w:val="99"/>
    <w:rPr>
      <w:kern w:val="2"/>
      <w:sz w:val="18"/>
      <w:szCs w:val="18"/>
    </w:rPr>
  </w:style>
  <w:style w:type="paragraph" w:customStyle="1" w:styleId="58">
    <w:name w:val="TOC Heading"/>
    <w:basedOn w:val="2"/>
    <w:next w:val="1"/>
    <w:unhideWhenUsed/>
    <w:qFormat/>
    <w:uiPriority w:val="39"/>
    <w:pPr>
      <w:widowControl/>
      <w:spacing w:before="240" w:line="259" w:lineRule="auto"/>
      <w:ind w:firstLine="0" w:firstLineChars="0"/>
      <w:jc w:val="left"/>
      <w:outlineLvl w:val="9"/>
    </w:pPr>
    <w:rPr>
      <w:rFonts w:asciiTheme="majorHAnsi" w:hAnsiTheme="majorHAnsi" w:eastAsiaTheme="majorEastAsia" w:cstheme="majorBidi"/>
      <w:bCs w:val="0"/>
      <w:color w:val="2E75B6" w:themeColor="accent1" w:themeShade="BF"/>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E90E7-97D6-49C3-B18F-31C0435833BC}">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3054</Words>
  <Characters>3299</Characters>
  <Lines>23</Lines>
  <Paragraphs>6</Paragraphs>
  <TotalTime>138</TotalTime>
  <ScaleCrop>false</ScaleCrop>
  <LinksUpToDate>false</LinksUpToDate>
  <CharactersWithSpaces>3300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2022-09-15T07:41:00Z</dcterms:created>
  <dc:creator>聂珊</dc:creator>
  <cp:lastModifiedBy>Ivis</cp:lastModifiedBy>
  <dcterms:modified xsi:type="dcterms:W3CDTF">2022-10-08T11:02:45Z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C1120B192EC04360BDF73370B2E53FC0</vt:lpwstr>
  </property>
</Properties>
</file>