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附件4</w:t>
      </w:r>
    </w:p>
    <w:p>
      <w:pPr>
        <w:spacing w:line="596" w:lineRule="exact"/>
        <w:jc w:val="center"/>
        <w:rPr>
          <w:rFonts w:hint="default" w:eastAsia="方正小标宋_GBK"/>
          <w:sz w:val="44"/>
          <w:szCs w:val="32"/>
          <w:lang w:val="en-US" w:eastAsia="zh-CN"/>
        </w:rPr>
      </w:pPr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val="en-US" w:eastAsia="zh-CN"/>
        </w:rPr>
        <w:t>大兴镇人民政府</w:t>
      </w:r>
    </w:p>
    <w:p>
      <w:pPr>
        <w:pStyle w:val="13"/>
        <w:spacing w:line="596" w:lineRule="exact"/>
        <w:ind w:left="359" w:leftChars="171" w:firstLine="1100" w:firstLineChars="250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</w:rPr>
        <w:t>2022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spacing w:line="596" w:lineRule="exact"/>
        <w:ind w:firstLine="640" w:firstLineChars="20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outlineLvl w:val="1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（一）职能职责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执行本级人民代表大会的决议和上级国家机关的决议和命令，发布决定和命令；执行本镇的经济和社会发展规划、预算，管理本镇的经济、教育、科学、文化、卫生、体育事业和财政、社会事务、计划生育、安全生产、农村集体资产管理等行政工作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推动产业结构调整，转变农业发展方式，优化发展环境。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关注和改善民生，加快社会事业发展，推动公共服务均等化；保护合法财产，维护社会秩序，保障公民的人身权利、民主权利和其他权利；保护各种经济组织的合法权益。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全面落实支农惠农政策，增加农民收入。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加强生态建设和保护，加大环境整治，完善和落实环境保护政策。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不断强化社会维稳体系，加强农村社会治安综合治理，防范和化解农村社会矛盾，确保社会稳定。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7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完成上级交办的其他事项。</w:t>
      </w:r>
    </w:p>
    <w:p>
      <w:pPr>
        <w:spacing w:line="596" w:lineRule="exact"/>
        <w:ind w:firstLine="640" w:firstLineChars="200"/>
        <w:outlineLvl w:val="1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（二）单位构成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璧山区大兴镇人民政府统一设置综合办事机构8个，即：党政办公室、党群工作办公室、经济发展办公室（挂统计办公室、农村经营管理办公室牌子）、民政和社会事务办公室（挂卫生健康办公室牌子）、平安建设办公室、规划建设管理环保办公室、财政办公室、应急管理办公室；设置事业机构7个，即：农业服务中心、文化服务中心、劳动就业和社会保障服务所、退役军人服务站、综合行政执法大队、建设环保服务中心、产业发展服务中心。</w:t>
      </w:r>
    </w:p>
    <w:p>
      <w:pPr>
        <w:spacing w:line="596" w:lineRule="exact"/>
        <w:ind w:firstLine="640" w:firstLineChars="200"/>
        <w:outlineLvl w:val="1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三</w:t>
      </w:r>
      <w:r>
        <w:rPr>
          <w:rFonts w:hint="eastAsia" w:eastAsia="方正仿宋_GBK"/>
          <w:sz w:val="32"/>
          <w:szCs w:val="32"/>
        </w:rPr>
        <w:t>）预算及支出情况</w:t>
      </w:r>
    </w:p>
    <w:p>
      <w:pPr>
        <w:spacing w:line="596" w:lineRule="exact"/>
        <w:ind w:firstLine="640" w:firstLineChars="200"/>
        <w:outlineLvl w:val="9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2022年度部门全年预算数为57,251,587.30元，其中一般公共预算财政拨款收入全年预算数为55,918,357.00元，政府性基金预算财政拨款收入全年预算数为1,333,230.30元。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2022年度部门实际支出57,251,587.30元，其中基本支出34,542,515.07元，项目支出22,709,072.23元。</w:t>
      </w:r>
    </w:p>
    <w:p>
      <w:pPr>
        <w:spacing w:line="596" w:lineRule="exact"/>
        <w:ind w:firstLine="640" w:firstLineChars="200"/>
        <w:outlineLvl w:val="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主要成效</w:t>
      </w:r>
    </w:p>
    <w:p>
      <w:pPr>
        <w:pStyle w:val="3"/>
        <w:spacing w:line="594" w:lineRule="exact"/>
        <w:ind w:firstLine="640"/>
        <w:rPr>
          <w:rFonts w:hint="eastAsia" w:cs="Times New Roman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（一）</w:t>
      </w:r>
      <w:r>
        <w:rPr>
          <w:rFonts w:hint="eastAsia" w:cs="Times New Roman"/>
          <w:sz w:val="32"/>
          <w:lang w:val="en-US" w:eastAsia="zh-CN"/>
        </w:rPr>
        <w:t>坚持人民至上安全为首，集众力攻坚克难增进民生福祉。面对</w:t>
      </w:r>
      <w:r>
        <w:rPr>
          <w:rFonts w:hint="eastAsia" w:cs="Times New Roman"/>
          <w:b w:val="0"/>
          <w:bCs w:val="0"/>
          <w:kern w:val="2"/>
          <w:sz w:val="32"/>
          <w:szCs w:val="20"/>
          <w:lang w:val="en-US" w:eastAsia="zh-CN" w:bidi="ar-SA"/>
        </w:rPr>
        <w:t>持续极端的高温、点多面广的山火、复杂多变的疫情，全体干部群众抗疫情、灭山火、战高温，众志成城抵御住了来自各方面的风险挑战。秉持安全第一的理念，开展各类专项整治和大排查大整治9次，检查企业和个体经营户135次，处罚企业13家，查出隐患91条，并全部整改完毕，开展消防巡查80余次，抢救火灾40起，实施社会救援3起，组织各类应急演练6次。</w:t>
      </w:r>
    </w:p>
    <w:p>
      <w:pPr>
        <w:bidi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（二）</w:t>
      </w:r>
      <w:r>
        <w:rPr>
          <w:rFonts w:hint="eastAsia" w:eastAsia="方正仿宋_GBK" w:cs="Times New Roman"/>
          <w:sz w:val="32"/>
          <w:lang w:val="en-US" w:eastAsia="zh-CN"/>
        </w:rPr>
        <w:t>抓住机遇致力于产业融合发展，不断深化精神文明建设。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把握合璧津高速璧山西建成通车和茅莱山隧道“双洞双通”带来的历史发展机遇，以项目建设为抓手，</w:t>
      </w:r>
      <w:r>
        <w:rPr>
          <w:rFonts w:hint="eastAsia" w:eastAsia="方正仿宋_GBK" w:cs="Times New Roman"/>
          <w:sz w:val="32"/>
          <w:lang w:val="en-US" w:eastAsia="zh-CN"/>
        </w:rPr>
        <w:t>聚集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区域发展新动能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快速推进征地拆迁工作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集体经济</w:t>
      </w:r>
      <w:r>
        <w:rPr>
          <w:rFonts w:hint="eastAsia" w:eastAsia="方正仿宋_GBK" w:cs="Times New Roman"/>
          <w:sz w:val="32"/>
          <w:lang w:val="en-US" w:eastAsia="zh-CN"/>
        </w:rPr>
        <w:t>大幅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增长。</w:t>
      </w:r>
      <w:r>
        <w:rPr>
          <w:rFonts w:hint="eastAsia" w:eastAsia="方正仿宋_GBK" w:cs="Times New Roman"/>
          <w:sz w:val="32"/>
          <w:lang w:val="en-US" w:eastAsia="zh-CN"/>
        </w:rPr>
        <w:t>创建文明城区，2022年辖区内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8个村通过了全国村（社区）优质示范站创建市级验收，</w:t>
      </w:r>
      <w:r>
        <w:rPr>
          <w:rFonts w:hint="eastAsia" w:eastAsia="方正仿宋_GBK" w:cs="Times New Roman"/>
          <w:sz w:val="32"/>
          <w:lang w:val="en-US" w:eastAsia="zh-CN"/>
        </w:rPr>
        <w:t>其中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高桥村通过国家乡村治理示范村检查验收工作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建设新时代文明实践所1个，实践站19个，新挂牌新时代文明实践院落365个，开展新时代文明实践活动256场。</w:t>
      </w:r>
    </w:p>
    <w:p>
      <w:pPr>
        <w:pStyle w:val="5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）扎实开展生态环境综合整治，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发展各项特色产业</w:t>
      </w:r>
      <w:r>
        <w:rPr>
          <w:rFonts w:hint="eastAsia" w:eastAsia="方正仿宋_GBK" w:cs="Times New Roman"/>
          <w:sz w:val="32"/>
          <w:lang w:val="en-US" w:eastAsia="zh-CN"/>
        </w:rPr>
        <w:t>以推动城乡融合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val="en-US" w:eastAsia="zh-CN"/>
        </w:rPr>
        <w:t>按照区里安排的线路，</w:t>
      </w:r>
      <w:r>
        <w:rPr>
          <w:rFonts w:hint="eastAsia" w:eastAsia="方正仿宋_GBK"/>
          <w:b w:val="0"/>
          <w:bCs w:val="0"/>
          <w:color w:val="auto"/>
          <w:sz w:val="32"/>
          <w:szCs w:val="32"/>
        </w:rPr>
        <w:t>对联盟村、山王村等7个村居绿化美化6500㎡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val="en-US" w:eastAsia="zh-CN"/>
        </w:rPr>
        <w:t>打造人居环境示范点3个，特色院落3个，</w:t>
      </w:r>
      <w:r>
        <w:rPr>
          <w:rFonts w:hint="eastAsia" w:eastAsia="方正仿宋_GBK"/>
          <w:b w:val="0"/>
          <w:bCs w:val="0"/>
          <w:color w:val="auto"/>
          <w:sz w:val="32"/>
          <w:szCs w:val="32"/>
        </w:rPr>
        <w:t>评比整洁庭院372户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val="en-US" w:eastAsia="zh-CN"/>
        </w:rPr>
        <w:t>。深入开展垃圾收运治理，</w:t>
      </w:r>
      <w:r>
        <w:rPr>
          <w:rFonts w:hint="eastAsia" w:eastAsia="方正仿宋_GBK"/>
          <w:b w:val="0"/>
          <w:bCs w:val="0"/>
          <w:color w:val="auto"/>
          <w:sz w:val="32"/>
          <w:szCs w:val="32"/>
        </w:rPr>
        <w:t>农村生活垃圾治理覆盖率达100%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b w:val="0"/>
          <w:bCs w:val="0"/>
          <w:color w:val="auto"/>
          <w:sz w:val="32"/>
          <w:szCs w:val="32"/>
        </w:rPr>
        <w:t>全年清运生活垃圾2660吨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完善金丝皇菊核心基地配套功能，完善菲油果产业链条，成功举办第十三届重庆璧山葡萄采摘季，持续推广</w:t>
      </w:r>
      <w:r>
        <w:rPr>
          <w:rFonts w:hint="eastAsia" w:eastAsia="方正仿宋_GBK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互联网+现代农业</w:t>
      </w:r>
      <w:r>
        <w:rPr>
          <w:rFonts w:hint="eastAsia" w:eastAsia="方正仿宋_GBK" w:cs="Times New Roman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模式，</w:t>
      </w:r>
      <w:r>
        <w:rPr>
          <w:rFonts w:hint="eastAsia" w:eastAsia="方正仿宋_GBK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璧山葡萄</w:t>
      </w:r>
      <w:r>
        <w:rPr>
          <w:rFonts w:hint="eastAsia" w:eastAsia="方正仿宋_GBK" w:cs="Times New Roman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品牌知名度进一步提升。</w:t>
      </w:r>
    </w:p>
    <w:p>
      <w:pPr>
        <w:spacing w:line="596" w:lineRule="exact"/>
        <w:ind w:firstLine="640" w:firstLineChars="200"/>
        <w:outlineLvl w:val="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40" w:firstLineChars="200"/>
        <w:jc w:val="left"/>
        <w:outlineLvl w:val="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（一）绩效评价情况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产业发展场镇梳理（5分）</w:t>
      </w:r>
    </w:p>
    <w:p>
      <w:pPr>
        <w:bidi w:val="0"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2022年度，我单位计划完成5个场镇产业发展梳理，实际完成5个场镇产业发展梳理，该指标得分为5分。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规范化建设基层党组织（5分）</w:t>
      </w:r>
    </w:p>
    <w:p>
      <w:pPr>
        <w:bidi w:val="0"/>
        <w:spacing w:line="360" w:lineRule="auto"/>
        <w:ind w:firstLine="640" w:firstLineChars="200"/>
        <w:jc w:val="left"/>
        <w:outlineLvl w:val="9"/>
        <w:rPr>
          <w:rFonts w:hint="default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2022年度，我单位计划至少完成25个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规范化建设基层党组织，实际</w:t>
      </w:r>
      <w:r>
        <w:rPr>
          <w:rFonts w:hint="eastAsia" w:eastAsia="方正仿宋_GBK" w:cs="Times New Roman"/>
          <w:sz w:val="32"/>
          <w:lang w:val="en-US" w:eastAsia="zh-CN"/>
        </w:rPr>
        <w:t>完成25个基层党组织规范化建设，当年度持续开展基层党组织书记述职评议会、“擂台比武”，并加大人才培养力度，继续深入实施“兴苗”青年人才培养计划，全面提高机关、村（社区）干部素质，为推进乡村全面振兴提供强有力人才支撑。该指标得分为5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安全隐患整治及时率（5分）</w:t>
      </w:r>
    </w:p>
    <w:p>
      <w:pPr>
        <w:bidi w:val="0"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2022年度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，我</w:t>
      </w:r>
      <w:r>
        <w:rPr>
          <w:rFonts w:hint="eastAsia" w:eastAsia="方正仿宋_GBK" w:cs="Times New Roman"/>
          <w:sz w:val="32"/>
          <w:lang w:val="en-US" w:eastAsia="zh-CN"/>
        </w:rPr>
        <w:t>单位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把安全稳定放在首位，平安建设取得新成效。落实安全生产责任制，签订安全目标责任书70余份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完成全镇16932栋城乡自建房排查录入工作，对鉴定存在安全隐患的6栋经营性自建房全部</w:t>
      </w:r>
      <w:r>
        <w:rPr>
          <w:rFonts w:hint="eastAsia" w:eastAsia="方正仿宋_GBK" w:cs="Times New Roman"/>
          <w:sz w:val="32"/>
          <w:lang w:val="en-US" w:eastAsia="zh-CN"/>
        </w:rPr>
        <w:t>及时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完成整治</w:t>
      </w:r>
      <w:r>
        <w:rPr>
          <w:rFonts w:hint="eastAsia" w:eastAsia="方正仿宋_GBK" w:cs="Times New Roman"/>
          <w:sz w:val="32"/>
          <w:lang w:val="en-US" w:eastAsia="zh-CN"/>
        </w:rPr>
        <w:t>，安全隐患整治及时率100%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  <w:r>
        <w:rPr>
          <w:rFonts w:hint="eastAsia" w:eastAsia="方正仿宋_GBK" w:cs="Times New Roman"/>
          <w:sz w:val="32"/>
          <w:lang w:val="en-US" w:eastAsia="zh-CN"/>
        </w:rPr>
        <w:t>该指标得分为5分。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村居垃圾清理及时率（10分）</w:t>
      </w:r>
    </w:p>
    <w:p>
      <w:pPr>
        <w:bidi w:val="0"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2022年，我单位计划村居垃圾清理及时率达90%及以上，实际村居垃圾清理及时率为90%。当年度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深入开展垃圾收运治理，新建5个垃圾分类厢房、10个标准化四分类点，规范设置60个不锈钢两分类果皮箱，清理漂浮物、砍伐倒伏物400吨，清理沿线生活垃圾96.8吨，清理水塘329口、沟渠147.8公里，清理畜禽养殖粪污等农业废弃物40.7吨</w:t>
      </w:r>
      <w:r>
        <w:rPr>
          <w:rFonts w:hint="eastAsia" w:eastAsia="方正仿宋_GBK" w:cs="Times New Roman"/>
          <w:sz w:val="32"/>
          <w:lang w:val="en-US" w:eastAsia="zh-CN"/>
        </w:rPr>
        <w:t>。该指标得分为10分。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信访问题处置及时率（5分）</w:t>
      </w:r>
    </w:p>
    <w:p>
      <w:pPr>
        <w:bidi w:val="0"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2022年度，我单位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信访稳定持续用力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实行领导干部“乡场”接访制度，领导干部接访70件，化解率100%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定期开展“代表接待日”，接待群众150余人次，走访群众700余人次，收集社情民意60余条，形成工作性意见建议30余条，帮助群众解决问题100余项</w:t>
      </w:r>
      <w:r>
        <w:rPr>
          <w:rFonts w:hint="eastAsia" w:eastAsia="方正仿宋_GBK" w:cs="Times New Roman"/>
          <w:sz w:val="32"/>
          <w:lang w:val="en-US" w:eastAsia="zh-CN"/>
        </w:rPr>
        <w:t>，信访问题处置及时率100%。该指标得分为5分。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预决算公开及时率（5分）</w:t>
      </w:r>
    </w:p>
    <w:p>
      <w:pPr>
        <w:bidi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2022年，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我单位严格按照重庆市璧山区财政局的要求，在规定时间内完成了202</w:t>
      </w:r>
      <w:r>
        <w:rPr>
          <w:rFonts w:hint="eastAsia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年度的预算、决算信息公开工作，除涉密信息</w:t>
      </w:r>
      <w:r>
        <w:rPr>
          <w:rFonts w:hint="eastAsia" w:eastAsia="方正仿宋_GBK" w:cs="Times New Roman"/>
          <w:sz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，预决算信息公开及时率100%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该指标评价得分为</w:t>
      </w:r>
      <w:r>
        <w:rPr>
          <w:rFonts w:hint="eastAsia" w:eastAsia="方正仿宋_GBK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三公经费控制率（5分）</w:t>
      </w:r>
    </w:p>
    <w:p>
      <w:pPr>
        <w:bidi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年度，我单位三公经费预算</w:t>
      </w:r>
      <w:r>
        <w:rPr>
          <w:rFonts w:hint="eastAsia" w:eastAsia="方正仿宋_GBK" w:cs="Times New Roman"/>
          <w:sz w:val="32"/>
          <w:lang w:val="en-US" w:eastAsia="zh-CN"/>
        </w:rPr>
        <w:t>数为189,000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元，实际支出</w:t>
      </w:r>
      <w:r>
        <w:rPr>
          <w:rFonts w:hint="eastAsia" w:eastAsia="方正仿宋_GBK" w:cs="Times New Roman"/>
          <w:sz w:val="32"/>
          <w:lang w:val="en-US" w:eastAsia="zh-CN"/>
        </w:rPr>
        <w:t>131,013.48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元，单位严格控制三公经费支出，三公经费</w:t>
      </w:r>
      <w:r>
        <w:rPr>
          <w:rFonts w:hint="eastAsia" w:eastAsia="方正仿宋_GBK" w:cs="Times New Roman"/>
          <w:sz w:val="32"/>
          <w:lang w:val="en-US" w:eastAsia="zh-CN"/>
        </w:rPr>
        <w:t>控制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率</w:t>
      </w:r>
      <w:r>
        <w:rPr>
          <w:rFonts w:hint="eastAsia" w:eastAsia="方正仿宋_GBK" w:cs="Times New Roman"/>
          <w:sz w:val="32"/>
          <w:lang w:val="en-US" w:eastAsia="zh-CN"/>
        </w:rPr>
        <w:t>为69.32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%，未超过100%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该指标得分为5分。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预算执行率（10分）</w:t>
      </w:r>
    </w:p>
    <w:p>
      <w:pPr>
        <w:bidi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年度，我单位年初预算</w:t>
      </w:r>
      <w:r>
        <w:rPr>
          <w:rFonts w:hint="eastAsia" w:eastAsia="方正仿宋_GBK" w:cs="Times New Roman"/>
          <w:sz w:val="32"/>
          <w:lang w:val="en-US" w:eastAsia="zh-CN"/>
        </w:rPr>
        <w:t>数为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55</w:t>
      </w:r>
      <w:r>
        <w:rPr>
          <w:rFonts w:hint="eastAsia" w:eastAsia="方正仿宋_GBK" w:cs="Times New Roman"/>
          <w:sz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330</w:t>
      </w:r>
      <w:r>
        <w:rPr>
          <w:rFonts w:hint="eastAsia" w:eastAsia="方正仿宋_GBK" w:cs="Times New Roman"/>
          <w:sz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000元，全年预算</w:t>
      </w:r>
      <w:r>
        <w:rPr>
          <w:rFonts w:hint="eastAsia" w:eastAsia="方正仿宋_GBK" w:cs="Times New Roman"/>
          <w:sz w:val="32"/>
          <w:lang w:val="en-US" w:eastAsia="zh-CN"/>
        </w:rPr>
        <w:t>数为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57</w:t>
      </w:r>
      <w:r>
        <w:rPr>
          <w:rFonts w:hint="eastAsia" w:eastAsia="方正仿宋_GBK" w:cs="Times New Roman"/>
          <w:sz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251</w:t>
      </w:r>
      <w:r>
        <w:rPr>
          <w:rFonts w:hint="eastAsia" w:eastAsia="方正仿宋_GBK" w:cs="Times New Roman"/>
          <w:sz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587.3元，</w:t>
      </w:r>
      <w:r>
        <w:rPr>
          <w:rFonts w:hint="eastAsia" w:eastAsia="方正仿宋_GBK" w:cs="Times New Roman"/>
          <w:sz w:val="32"/>
          <w:lang w:val="en-US" w:eastAsia="zh-CN"/>
        </w:rPr>
        <w:t>决算数为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57</w:t>
      </w:r>
      <w:r>
        <w:rPr>
          <w:rFonts w:hint="eastAsia" w:eastAsia="方正仿宋_GBK" w:cs="Times New Roman"/>
          <w:sz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251</w:t>
      </w:r>
      <w:r>
        <w:rPr>
          <w:rFonts w:hint="eastAsia" w:eastAsia="方正仿宋_GBK" w:cs="Times New Roman"/>
          <w:sz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587.3元，预算执行率</w:t>
      </w:r>
      <w:r>
        <w:rPr>
          <w:rFonts w:hint="eastAsia" w:eastAsia="方正仿宋_GBK" w:cs="Times New Roman"/>
          <w:sz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100%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该指标得分为10分。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各村集体经济收入增长率（10分）</w:t>
      </w:r>
    </w:p>
    <w:p>
      <w:pPr>
        <w:bidi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2022年度，计划完成</w:t>
      </w:r>
      <w:r>
        <w:rPr>
          <w:rFonts w:hint="eastAsia" w:eastAsia="方正仿宋_GBK" w:cs="Times New Roman"/>
          <w:sz w:val="32"/>
          <w:lang w:val="en-US" w:eastAsia="zh-CN"/>
        </w:rPr>
        <w:t>实现各村集体经济收入增长20%以上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，由于50万</w:t>
      </w:r>
      <w:r>
        <w:rPr>
          <w:rFonts w:hint="eastAsia" w:eastAsia="方正仿宋_GBK" w:cs="Times New Roman"/>
          <w:sz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以下的项目可以由村集体经济组织实施，2022年全力发展壮大村集体经济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很多项目由村集体自主实施，实际</w:t>
      </w:r>
      <w:r>
        <w:rPr>
          <w:rFonts w:hint="eastAsia" w:eastAsia="方正仿宋_GBK" w:cs="Times New Roman"/>
          <w:sz w:val="32"/>
          <w:lang w:val="en-US" w:eastAsia="zh-CN"/>
        </w:rPr>
        <w:t>各村集体经济收入增长为64.83%。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2021年大兴镇17个村村集体经济经营性收入</w:t>
      </w:r>
      <w:r>
        <w:rPr>
          <w:rFonts w:hint="eastAsia" w:eastAsia="方正仿宋_GBK" w:cs="Times New Roman"/>
          <w:sz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370.7958万元，2022年大兴镇17个村村集体经营性收入</w:t>
      </w:r>
      <w:r>
        <w:rPr>
          <w:rFonts w:hint="eastAsia" w:eastAsia="方正仿宋_GBK" w:cs="Times New Roman"/>
          <w:sz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611.1836万元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该指标得分为</w:t>
      </w:r>
      <w:r>
        <w:rPr>
          <w:rFonts w:hint="eastAsia" w:eastAsia="方正仿宋_GBK" w:cs="Times New Roman"/>
          <w:sz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城乡居民养老保险覆盖率（10分）</w:t>
      </w:r>
    </w:p>
    <w:p>
      <w:pPr>
        <w:bidi w:val="0"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2022年度，我单位坚持实干为先，加大社保投入，继续扩大城乡居民养老保险受益人群，计划城乡居民养老保险覆盖率95%以上，实际城乡居民养老保险覆盖率为95%。当年度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发放农村低保金322.80万元4196户6480人次，城市低保金51.40万元591户862人次，发放特困人员供养金625.07万元6647人次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全镇20个养老服务中心全部实现正常运营</w:t>
      </w:r>
      <w:r>
        <w:rPr>
          <w:rFonts w:hint="eastAsia" w:eastAsia="方正仿宋_GBK" w:cs="Times New Roman"/>
          <w:sz w:val="32"/>
          <w:lang w:val="en-US" w:eastAsia="zh-CN"/>
        </w:rPr>
        <w:t>。该指标得分为10分。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城镇居民合作医疗覆盖率（10分）</w:t>
      </w:r>
    </w:p>
    <w:p>
      <w:pPr>
        <w:bidi w:val="0"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2022年度，</w:t>
      </w:r>
      <w:r>
        <w:rPr>
          <w:rFonts w:hint="eastAsia" w:eastAsia="方正仿宋_GBK" w:cs="Times New Roman"/>
          <w:sz w:val="32"/>
          <w:lang w:val="en-US" w:eastAsia="zh-CN"/>
        </w:rPr>
        <w:t>我单位精准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社会保障</w:t>
      </w:r>
      <w:r>
        <w:rPr>
          <w:rFonts w:hint="eastAsia" w:eastAsia="方正仿宋_GBK" w:cs="Times New Roman"/>
          <w:sz w:val="32"/>
          <w:lang w:val="en-US" w:eastAsia="zh-CN"/>
        </w:rPr>
        <w:t>，计划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实现城乡居民医疗保险全镇的参保率95%以上，</w:t>
      </w:r>
      <w:r>
        <w:rPr>
          <w:rFonts w:hint="eastAsia" w:eastAsia="方正仿宋_GBK" w:cs="Times New Roman"/>
          <w:sz w:val="32"/>
          <w:lang w:val="en-US" w:eastAsia="zh-CN"/>
        </w:rPr>
        <w:t>实际城镇居民合作医疗覆盖率为95%，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贫困人员参保率达100%，电子医保卡激活25143人，实现社会救助全覆盖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该指标得分</w:t>
      </w:r>
      <w:r>
        <w:rPr>
          <w:rFonts w:hint="eastAsia" w:eastAsia="方正仿宋_GBK" w:cs="Times New Roman"/>
          <w:sz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10分。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乡村振兴村居数量覆盖率（10分）</w:t>
      </w:r>
    </w:p>
    <w:p>
      <w:pPr>
        <w:bidi w:val="0"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2022年度，我单位辖区内的2个社区和17个行政村均处在乡村振兴道路当中，乡村振兴村居数量覆盖率达100%。该指标得分为10分。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13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辖区群众满意度（10分）</w:t>
      </w:r>
    </w:p>
    <w:p>
      <w:pPr>
        <w:bidi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绩效自评工作小组对</w:t>
      </w:r>
      <w:r>
        <w:rPr>
          <w:rFonts w:hint="eastAsia" w:eastAsia="方正仿宋_GBK" w:cs="Times New Roman"/>
          <w:sz w:val="32"/>
          <w:lang w:val="en-US" w:eastAsia="zh-CN"/>
        </w:rPr>
        <w:t>大兴镇辖区内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的人民群众进行了社会调查，经调研人民群众对我单位的相关工作满意度达</w:t>
      </w:r>
      <w:r>
        <w:rPr>
          <w:rFonts w:hint="eastAsia" w:eastAsia="方正仿宋_GBK" w:cs="Times New Roman"/>
          <w:sz w:val="32"/>
          <w:lang w:val="en-US" w:eastAsia="zh-CN"/>
        </w:rPr>
        <w:t>88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%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该指标得分为</w:t>
      </w:r>
      <w:r>
        <w:rPr>
          <w:rFonts w:hint="eastAsia" w:eastAsia="方正仿宋_GBK" w:cs="Times New Roman"/>
          <w:sz w:val="32"/>
          <w:lang w:val="en-US" w:eastAsia="zh-CN"/>
        </w:rPr>
        <w:t>9.78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分。</w:t>
      </w:r>
      <w:bookmarkStart w:id="0" w:name="_GoBack"/>
      <w:bookmarkEnd w:id="0"/>
    </w:p>
    <w:p>
      <w:pPr>
        <w:spacing w:line="596" w:lineRule="exact"/>
        <w:ind w:firstLine="640" w:firstLineChars="200"/>
        <w:jc w:val="left"/>
        <w:outlineLvl w:val="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（二）绩效评价结论</w:t>
      </w:r>
    </w:p>
    <w:p>
      <w:pPr>
        <w:spacing w:line="596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本次绩效评价综合得分</w:t>
      </w:r>
      <w:r>
        <w:rPr>
          <w:rFonts w:hint="eastAsia" w:eastAsia="方正仿宋_GBK"/>
          <w:sz w:val="32"/>
          <w:szCs w:val="32"/>
          <w:lang w:val="en-US" w:eastAsia="zh-CN"/>
        </w:rPr>
        <w:t>99.78分</w:t>
      </w:r>
      <w:r>
        <w:rPr>
          <w:rFonts w:hint="eastAsia" w:eastAsia="方正仿宋_GBK"/>
          <w:sz w:val="32"/>
          <w:szCs w:val="32"/>
        </w:rPr>
        <w:t>，绩效评价等级为</w:t>
      </w:r>
      <w:r>
        <w:rPr>
          <w:rFonts w:hint="eastAsia" w:eastAsia="方正仿宋_GBK"/>
          <w:sz w:val="32"/>
          <w:szCs w:val="32"/>
          <w:highlight w:val="none"/>
        </w:rPr>
        <w:t>“优”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outlineLvl w:val="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需重点关注的问题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在预算绩效管理过程中，我单位工作人员及管理人员缺乏专业理论知识，</w:t>
      </w:r>
      <w:r>
        <w:rPr>
          <w:rFonts w:hint="eastAsia" w:eastAsia="方正仿宋_GBK"/>
          <w:sz w:val="32"/>
          <w:szCs w:val="32"/>
          <w:lang w:val="en-US" w:eastAsia="zh-CN"/>
        </w:rPr>
        <w:t>部分项目经办人对绩效管理意识不强，绩效工作力量薄弱，对绩效评价指标体系的内容和要求理解把握不够到位，绩效指标设置针对性、操作性不够。</w:t>
      </w:r>
    </w:p>
    <w:p>
      <w:pPr>
        <w:spacing w:line="596" w:lineRule="exact"/>
        <w:ind w:firstLine="640" w:firstLineChars="200"/>
        <w:outlineLvl w:val="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五、有关建议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加强</w:t>
      </w:r>
      <w:r>
        <w:rPr>
          <w:rFonts w:hint="eastAsia" w:eastAsia="方正仿宋_GBK"/>
          <w:sz w:val="32"/>
          <w:szCs w:val="32"/>
          <w:lang w:val="en-US" w:eastAsia="zh-CN"/>
        </w:rPr>
        <w:t>绩效管理体系相关知识的交流</w:t>
      </w:r>
      <w:r>
        <w:rPr>
          <w:rFonts w:hint="eastAsia" w:eastAsia="方正仿宋_GBK"/>
          <w:sz w:val="32"/>
          <w:szCs w:val="32"/>
        </w:rPr>
        <w:t>学习，制定学习和培训计划，组织</w:t>
      </w:r>
      <w:r>
        <w:rPr>
          <w:rFonts w:hint="eastAsia" w:eastAsia="方正仿宋_GBK"/>
          <w:sz w:val="32"/>
          <w:szCs w:val="32"/>
          <w:lang w:val="en-US" w:eastAsia="zh-CN"/>
        </w:rPr>
        <w:t>相关人员</w:t>
      </w:r>
      <w:r>
        <w:rPr>
          <w:rFonts w:hint="eastAsia" w:eastAsia="方正仿宋_GBK"/>
          <w:sz w:val="32"/>
          <w:szCs w:val="32"/>
        </w:rPr>
        <w:t>认真学习预算绩效管理相关法律法规及制度，</w:t>
      </w:r>
      <w:r>
        <w:rPr>
          <w:rFonts w:hint="eastAsia" w:eastAsia="方正仿宋_GBK"/>
          <w:sz w:val="32"/>
          <w:szCs w:val="32"/>
          <w:lang w:val="en-US" w:eastAsia="zh-CN"/>
        </w:rPr>
        <w:t>强化</w:t>
      </w:r>
      <w:r>
        <w:rPr>
          <w:rFonts w:hint="eastAsia" w:eastAsia="方正仿宋_GBK"/>
          <w:sz w:val="32"/>
          <w:szCs w:val="32"/>
        </w:rPr>
        <w:t>单位工作人员</w:t>
      </w:r>
      <w:r>
        <w:rPr>
          <w:rFonts w:hint="eastAsia" w:eastAsia="方正仿宋_GBK"/>
          <w:sz w:val="32"/>
          <w:szCs w:val="32"/>
          <w:lang w:val="en-US" w:eastAsia="zh-CN"/>
        </w:rPr>
        <w:t>及管理人员的</w:t>
      </w:r>
      <w:r>
        <w:rPr>
          <w:rFonts w:hint="eastAsia" w:eastAsia="方正仿宋_GBK"/>
          <w:sz w:val="32"/>
          <w:szCs w:val="32"/>
        </w:rPr>
        <w:t>预算绩效管理意识。</w:t>
      </w:r>
    </w:p>
    <w:p>
      <w:pPr>
        <w:pStyle w:val="5"/>
        <w:rPr>
          <w:rFonts w:hint="eastAsia" w:eastAsia="方正仿宋_GBK"/>
          <w:sz w:val="32"/>
          <w:szCs w:val="32"/>
          <w:lang w:eastAsia="zh-CN"/>
        </w:rPr>
      </w:pPr>
    </w:p>
    <w:p>
      <w:pPr>
        <w:spacing w:line="596" w:lineRule="exact"/>
        <w:ind w:firstLine="640" w:firstLineChars="200"/>
        <w:jc w:val="righ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重庆</w:t>
      </w:r>
      <w:r>
        <w:rPr>
          <w:rFonts w:hint="eastAsia" w:eastAsia="方正仿宋_GBK"/>
          <w:sz w:val="32"/>
          <w:szCs w:val="32"/>
          <w:lang w:val="en-US" w:eastAsia="zh-CN"/>
        </w:rPr>
        <w:t>市璧山区大兴镇人民政府</w:t>
      </w:r>
    </w:p>
    <w:p>
      <w:pPr>
        <w:spacing w:line="596" w:lineRule="exact"/>
        <w:ind w:firstLine="640" w:firstLineChars="200"/>
        <w:jc w:val="righ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2023年3月24日</w:t>
      </w: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jBlZDI0NTdkMjRiYWQxM2JkNDI5MzJjNzU2M2I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4410B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9497F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11CE4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38776D0"/>
    <w:rsid w:val="066259F9"/>
    <w:rsid w:val="06954F2E"/>
    <w:rsid w:val="07893B2F"/>
    <w:rsid w:val="09952748"/>
    <w:rsid w:val="0A432ABB"/>
    <w:rsid w:val="0C114CE0"/>
    <w:rsid w:val="0C765B42"/>
    <w:rsid w:val="0F22557B"/>
    <w:rsid w:val="0F5222DC"/>
    <w:rsid w:val="0F8E37C8"/>
    <w:rsid w:val="11983A72"/>
    <w:rsid w:val="12212C84"/>
    <w:rsid w:val="135B1893"/>
    <w:rsid w:val="13C5033C"/>
    <w:rsid w:val="14D70072"/>
    <w:rsid w:val="14EB2375"/>
    <w:rsid w:val="151052C3"/>
    <w:rsid w:val="171878C4"/>
    <w:rsid w:val="1732013F"/>
    <w:rsid w:val="184F5668"/>
    <w:rsid w:val="1AC5171A"/>
    <w:rsid w:val="1C205F6D"/>
    <w:rsid w:val="1C9176B6"/>
    <w:rsid w:val="1D3E0A2A"/>
    <w:rsid w:val="1D5C5247"/>
    <w:rsid w:val="1F3C1B5B"/>
    <w:rsid w:val="20372363"/>
    <w:rsid w:val="2450027C"/>
    <w:rsid w:val="2504624B"/>
    <w:rsid w:val="27537F3A"/>
    <w:rsid w:val="28A919EA"/>
    <w:rsid w:val="2B747E98"/>
    <w:rsid w:val="2C0960E1"/>
    <w:rsid w:val="2CA73CBC"/>
    <w:rsid w:val="2EAF54B3"/>
    <w:rsid w:val="352C3FC8"/>
    <w:rsid w:val="362178A5"/>
    <w:rsid w:val="372C3036"/>
    <w:rsid w:val="3A4A6B02"/>
    <w:rsid w:val="3EFC4A0B"/>
    <w:rsid w:val="3F42391B"/>
    <w:rsid w:val="3F7C26D1"/>
    <w:rsid w:val="3F894422"/>
    <w:rsid w:val="40044B6A"/>
    <w:rsid w:val="401B34E1"/>
    <w:rsid w:val="40D95004"/>
    <w:rsid w:val="40E57F2E"/>
    <w:rsid w:val="411201B7"/>
    <w:rsid w:val="41823BFB"/>
    <w:rsid w:val="41C27789"/>
    <w:rsid w:val="45192E40"/>
    <w:rsid w:val="45E2019D"/>
    <w:rsid w:val="47902A18"/>
    <w:rsid w:val="48E94325"/>
    <w:rsid w:val="490C4C58"/>
    <w:rsid w:val="4A0F74A8"/>
    <w:rsid w:val="4C33503E"/>
    <w:rsid w:val="4DA70238"/>
    <w:rsid w:val="4DAD7BC4"/>
    <w:rsid w:val="504A7CCC"/>
    <w:rsid w:val="50EF5975"/>
    <w:rsid w:val="511D4240"/>
    <w:rsid w:val="517905F2"/>
    <w:rsid w:val="52A90DAB"/>
    <w:rsid w:val="55B7015C"/>
    <w:rsid w:val="568622B3"/>
    <w:rsid w:val="57434F00"/>
    <w:rsid w:val="583F79EB"/>
    <w:rsid w:val="5BA4092D"/>
    <w:rsid w:val="5D361561"/>
    <w:rsid w:val="5ECF3E31"/>
    <w:rsid w:val="5FE2056F"/>
    <w:rsid w:val="64722FDC"/>
    <w:rsid w:val="651264F1"/>
    <w:rsid w:val="65535873"/>
    <w:rsid w:val="663761A5"/>
    <w:rsid w:val="66547382"/>
    <w:rsid w:val="666A0329"/>
    <w:rsid w:val="676F50FC"/>
    <w:rsid w:val="67835B30"/>
    <w:rsid w:val="67B93D6E"/>
    <w:rsid w:val="684D3A5E"/>
    <w:rsid w:val="685D21D2"/>
    <w:rsid w:val="6898646E"/>
    <w:rsid w:val="68FB5567"/>
    <w:rsid w:val="6A8F7F86"/>
    <w:rsid w:val="6C626AA1"/>
    <w:rsid w:val="6D362885"/>
    <w:rsid w:val="6E492F1A"/>
    <w:rsid w:val="6FEA70C7"/>
    <w:rsid w:val="70887EA9"/>
    <w:rsid w:val="717E737E"/>
    <w:rsid w:val="71C2046C"/>
    <w:rsid w:val="71C75C56"/>
    <w:rsid w:val="72E25342"/>
    <w:rsid w:val="747B1BB4"/>
    <w:rsid w:val="748141CE"/>
    <w:rsid w:val="7548217D"/>
    <w:rsid w:val="76160BFC"/>
    <w:rsid w:val="7763299F"/>
    <w:rsid w:val="7B2F1B69"/>
    <w:rsid w:val="7C4B4802"/>
    <w:rsid w:val="7D8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tabs>
        <w:tab w:val="left" w:pos="907"/>
      </w:tabs>
      <w:spacing w:line="288" w:lineRule="auto"/>
      <w:ind w:firstLine="200" w:firstLineChars="200"/>
      <w:jc w:val="left"/>
      <w:outlineLvl w:val="1"/>
    </w:pPr>
    <w:rPr>
      <w:rFonts w:ascii="宋体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方正仿宋_GBK"/>
      <w:sz w:val="32"/>
      <w:szCs w:val="20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Body Text Indent 2"/>
    <w:basedOn w:val="1"/>
    <w:qFormat/>
    <w:uiPriority w:val="0"/>
    <w:pPr>
      <w:spacing w:line="360" w:lineRule="auto"/>
      <w:ind w:firstLine="524"/>
    </w:pPr>
    <w:rPr>
      <w:sz w:val="28"/>
      <w:szCs w:val="2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rFonts w:ascii="Times New Roman" w:hAnsi="Times New Roman"/>
      <w:sz w:val="28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3009</Words>
  <Characters>3368</Characters>
  <Lines>1</Lines>
  <Paragraphs>1</Paragraphs>
  <TotalTime>54</TotalTime>
  <ScaleCrop>false</ScaleCrop>
  <LinksUpToDate>false</LinksUpToDate>
  <CharactersWithSpaces>3368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优服-D</cp:lastModifiedBy>
  <cp:lastPrinted>2020-04-20T08:58:00Z</cp:lastPrinted>
  <dcterms:modified xsi:type="dcterms:W3CDTF">2023-03-29T08:07:41Z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5F8B71BF889F4DB2AE33A19E89A19C83</vt:lpwstr>
  </property>
</Properties>
</file>