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autoSpaceDN/>
        <w:bidi w:val="0"/>
        <w:adjustRightInd/>
        <w:snapToGrid w:val="0"/>
        <w:spacing w:line="594" w:lineRule="exact"/>
        <w:jc w:val="center"/>
        <w:textAlignment w:val="auto"/>
        <w:rPr>
          <w:rFonts w:hint="eastAsia" w:eastAsia="方正小标宋_GBK"/>
          <w:sz w:val="44"/>
          <w:szCs w:val="32"/>
          <w:lang w:eastAsia="zh-CN"/>
        </w:rPr>
      </w:pPr>
      <w:r>
        <w:rPr>
          <w:rFonts w:hint="eastAsia" w:eastAsia="方正小标宋_GBK"/>
          <w:sz w:val="44"/>
          <w:szCs w:val="32"/>
        </w:rPr>
        <w:t>璧山</w:t>
      </w:r>
      <w:r>
        <w:rPr>
          <w:rFonts w:eastAsia="方正小标宋_GBK"/>
          <w:sz w:val="44"/>
          <w:szCs w:val="32"/>
        </w:rPr>
        <w:t>区</w:t>
      </w:r>
      <w:r>
        <w:rPr>
          <w:rFonts w:hint="eastAsia" w:eastAsia="方正小标宋_GBK"/>
          <w:sz w:val="44"/>
          <w:szCs w:val="32"/>
          <w:lang w:eastAsia="zh-CN"/>
        </w:rPr>
        <w:t>人力资源和社会保障局</w:t>
      </w:r>
    </w:p>
    <w:p>
      <w:pPr>
        <w:pStyle w:val="13"/>
        <w:pageBreakBefore w:val="0"/>
        <w:widowControl w:val="0"/>
        <w:kinsoku/>
        <w:wordWrap/>
        <w:overflowPunct/>
        <w:autoSpaceDN/>
        <w:bidi w:val="0"/>
        <w:adjustRightInd/>
        <w:snapToGrid w:val="0"/>
        <w:spacing w:line="594" w:lineRule="exact"/>
        <w:ind w:left="359" w:leftChars="171" w:firstLine="1100" w:firstLineChars="250"/>
        <w:textAlignment w:val="auto"/>
        <w:rPr>
          <w:rFonts w:eastAsia="方正小标宋_GBK"/>
          <w:sz w:val="44"/>
          <w:szCs w:val="32"/>
        </w:rPr>
      </w:pPr>
      <w:r>
        <w:rPr>
          <w:rFonts w:hint="eastAsia" w:eastAsia="方正小标宋_GBK"/>
          <w:sz w:val="44"/>
          <w:szCs w:val="32"/>
        </w:rPr>
        <w:t>2022</w:t>
      </w:r>
      <w:r>
        <w:rPr>
          <w:rFonts w:eastAsia="方正小标宋_GBK"/>
          <w:sz w:val="44"/>
          <w:szCs w:val="32"/>
        </w:rPr>
        <w:t>年</w:t>
      </w:r>
      <w:r>
        <w:rPr>
          <w:rFonts w:hint="eastAsia" w:eastAsia="方正小标宋_GBK"/>
          <w:sz w:val="44"/>
          <w:szCs w:val="32"/>
        </w:rPr>
        <w:t>度</w:t>
      </w:r>
      <w:r>
        <w:rPr>
          <w:rFonts w:eastAsia="方正小标宋_GBK"/>
          <w:sz w:val="44"/>
          <w:szCs w:val="32"/>
        </w:rPr>
        <w:t>整体支出绩效</w:t>
      </w:r>
      <w:r>
        <w:rPr>
          <w:rFonts w:hint="eastAsia" w:eastAsia="方正小标宋_GBK"/>
          <w:sz w:val="44"/>
          <w:szCs w:val="32"/>
        </w:rPr>
        <w:t>自评</w:t>
      </w:r>
      <w:r>
        <w:rPr>
          <w:rFonts w:eastAsia="方正小标宋_GBK"/>
          <w:sz w:val="44"/>
          <w:szCs w:val="32"/>
        </w:rPr>
        <w:t>报告</w:t>
      </w:r>
    </w:p>
    <w:p>
      <w:pPr>
        <w:pStyle w:val="13"/>
        <w:pageBreakBefore w:val="0"/>
        <w:widowControl w:val="0"/>
        <w:kinsoku/>
        <w:wordWrap/>
        <w:overflowPunct/>
        <w:autoSpaceDN/>
        <w:bidi w:val="0"/>
        <w:adjustRightInd/>
        <w:snapToGrid w:val="0"/>
        <w:spacing w:line="594" w:lineRule="exact"/>
        <w:ind w:left="357" w:firstLine="640"/>
        <w:textAlignment w:val="auto"/>
        <w:rPr>
          <w:rFonts w:eastAsia="方正仿宋_GBK"/>
          <w:sz w:val="32"/>
          <w:szCs w:val="32"/>
        </w:rPr>
      </w:pPr>
    </w:p>
    <w:p>
      <w:pPr>
        <w:pageBreakBefore w:val="0"/>
        <w:widowControl w:val="0"/>
        <w:kinsoku/>
        <w:wordWrap/>
        <w:overflowPunct/>
        <w:autoSpaceDN/>
        <w:bidi w:val="0"/>
        <w:adjustRightInd/>
        <w:snapToGrid w:val="0"/>
        <w:spacing w:line="594" w:lineRule="exact"/>
        <w:ind w:firstLine="640" w:firstLineChars="200"/>
        <w:textAlignment w:val="auto"/>
        <w:rPr>
          <w:rFonts w:eastAsia="方正黑体_GBK"/>
          <w:sz w:val="32"/>
          <w:szCs w:val="32"/>
        </w:rPr>
      </w:pPr>
      <w:r>
        <w:rPr>
          <w:rFonts w:eastAsia="方正黑体_GBK"/>
          <w:sz w:val="32"/>
          <w:szCs w:val="32"/>
        </w:rPr>
        <w:t>一、基本</w:t>
      </w:r>
      <w:r>
        <w:rPr>
          <w:rFonts w:hint="eastAsia" w:eastAsia="方正黑体_GBK"/>
          <w:sz w:val="32"/>
          <w:szCs w:val="32"/>
        </w:rPr>
        <w:t>情况</w:t>
      </w:r>
    </w:p>
    <w:p>
      <w:pPr>
        <w:pageBreakBefore w:val="0"/>
        <w:widowControl w:val="0"/>
        <w:kinsoku/>
        <w:wordWrap/>
        <w:overflowPunct/>
        <w:autoSpaceDN/>
        <w:bidi w:val="0"/>
        <w:adjustRightInd/>
        <w:snapToGrid w:val="0"/>
        <w:spacing w:line="594" w:lineRule="exact"/>
        <w:ind w:firstLine="640" w:firstLineChars="200"/>
        <w:textAlignment w:val="auto"/>
        <w:rPr>
          <w:rFonts w:hint="eastAsia" w:eastAsia="方正仿宋_GBK"/>
          <w:sz w:val="32"/>
          <w:szCs w:val="32"/>
        </w:rPr>
      </w:pPr>
      <w:r>
        <w:rPr>
          <w:rFonts w:eastAsia="方正仿宋_GBK"/>
          <w:sz w:val="32"/>
          <w:szCs w:val="32"/>
        </w:rPr>
        <w:t>（一）</w:t>
      </w:r>
      <w:r>
        <w:rPr>
          <w:rFonts w:hint="eastAsia" w:eastAsia="方正仿宋_GBK"/>
          <w:sz w:val="32"/>
          <w:szCs w:val="32"/>
          <w:lang w:eastAsia="zh-CN"/>
        </w:rPr>
        <w:t>单位</w:t>
      </w:r>
      <w:r>
        <w:rPr>
          <w:rFonts w:hint="eastAsia" w:eastAsia="方正仿宋_GBK"/>
          <w:sz w:val="32"/>
          <w:szCs w:val="32"/>
        </w:rPr>
        <w:t>基本情况</w:t>
      </w:r>
    </w:p>
    <w:p>
      <w:pPr>
        <w:keepNext w:val="0"/>
        <w:keepLines w:val="0"/>
        <w:pageBreakBefore w:val="0"/>
        <w:widowControl w:val="0"/>
        <w:suppressLineNumbers w:val="0"/>
        <w:kinsoku/>
        <w:wordWrap/>
        <w:overflowPunct/>
        <w:autoSpaceDN/>
        <w:bidi w:val="0"/>
        <w:adjustRightInd/>
        <w:snapToGrid w:val="0"/>
        <w:spacing w:before="0" w:beforeAutospacing="0" w:after="0" w:afterAutospacing="0" w:line="594" w:lineRule="exact"/>
        <w:ind w:left="0" w:right="0" w:firstLine="640" w:firstLineChars="200"/>
        <w:jc w:val="both"/>
        <w:textAlignment w:val="auto"/>
        <w:rPr>
          <w:rFonts w:hint="eastAsia" w:ascii="方正仿宋_GBK" w:hAnsi="方正仿宋_GBK" w:eastAsia="方正仿宋_GBK" w:cs="方正仿宋_GBK"/>
          <w:color w:val="000000"/>
          <w:szCs w:val="32"/>
          <w:lang w:val="en-US"/>
        </w:rPr>
      </w:pPr>
      <w:r>
        <w:rPr>
          <w:rFonts w:hint="eastAsia" w:ascii="方正仿宋_GBK" w:hAnsi="方正仿宋_GBK" w:eastAsia="方正仿宋_GBK" w:cs="方正仿宋_GBK"/>
          <w:color w:val="000000"/>
          <w:kern w:val="2"/>
          <w:sz w:val="32"/>
          <w:szCs w:val="32"/>
          <w:lang w:val="en-US" w:eastAsia="zh-CN" w:bidi="ar"/>
        </w:rPr>
        <w:t>1、职能职责及人员编制情况。</w:t>
      </w:r>
    </w:p>
    <w:p>
      <w:pPr>
        <w:keepNext w:val="0"/>
        <w:keepLines w:val="0"/>
        <w:pageBreakBefore w:val="0"/>
        <w:widowControl w:val="0"/>
        <w:suppressLineNumbers w:val="0"/>
        <w:kinsoku/>
        <w:wordWrap/>
        <w:overflowPunct/>
        <w:autoSpaceDN/>
        <w:bidi w:val="0"/>
        <w:adjustRightInd/>
        <w:snapToGrid w:val="0"/>
        <w:spacing w:before="0" w:beforeAutospacing="0" w:after="0" w:afterAutospacing="0" w:line="594" w:lineRule="exact"/>
        <w:ind w:left="0" w:right="0" w:firstLine="640" w:firstLineChars="200"/>
        <w:jc w:val="both"/>
        <w:textAlignment w:val="auto"/>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重庆市璧山区人力资源和社会保障局</w:t>
      </w:r>
      <w:r>
        <w:rPr>
          <w:rFonts w:hint="eastAsia" w:ascii="方正仿宋_GBK" w:hAnsi="方正仿宋_GBK" w:eastAsia="方正仿宋_GBK" w:cs="方正仿宋_GBK"/>
          <w:color w:val="000000"/>
          <w:kern w:val="2"/>
          <w:sz w:val="32"/>
          <w:szCs w:val="32"/>
          <w:lang w:val="en-US" w:eastAsia="zh-CN" w:bidi="ar"/>
        </w:rPr>
        <w:t>属区政府工作部门，区财政一级预算的行政单位，2022年财务执行行政单位财务制度，按照综合财政预算管理办法，实行“收支两条线”管理。其主要职责：1、贯彻执行人力资源和社会保障法律、法规、规章和方针政策，拟订相关发展规划、政策措施，并组织实施和监督检查。2、拟订人力资源市场发展规划和人力资源服务业发展、人力资源流动措施，规范完善人力资源市场体系。综合管理全区人力资源市场、人力资源服务机构和人才流动调配工作。3、负责促进就业再就业工作。拟订统筹城乡的就业发展规划和措施，完善公共就业服务体系，贯彻落实面向城乡劳动者的职业技能培训制度，实施就业援助制度。负责高校毕业生离校后的就业指导和服务工作。 4、牵头推进覆盖城乡的多层次社会保障体系建设。贯彻执行养老、失业、工伤等社会保险及其补充保险（含企业年金，下同）政策和标准；贯彻执行全市统一的养老、失业、工伤保险关系转续办法；贯彻执行养老、失业、工伤等社会保险及其补充保险基金管理和监督制度；拟订养老、失业、工伤等相关社会保险基金预决算草案；会同有关部门实施全民参保计划。5、牵头负责就业、失业和相关社会保险基金预测预警和信息引导，拟订应对预案并组织实施，保持就业形势总体稳定，维护相关社会保险基金安全。6、贯彻执行劳动关系政策，完善劳动关系协商协调机制，贯彻落实职工工作时间、休息休假和假期制度，贯彻执行消除非法使用童工政策和女工、未成年工特殊劳动保护政策。贯彻执行劳动人事争议调解仲裁法律、法规、政策和制度；组织实施劳动保障监察，协调劳动者维权工作，依法查处人力资源、社会保障违法案件。负责人力资源和社会</w:t>
      </w:r>
      <w:bookmarkStart w:id="0" w:name="_GoBack"/>
      <w:bookmarkEnd w:id="0"/>
      <w:r>
        <w:rPr>
          <w:rFonts w:hint="eastAsia" w:ascii="方正仿宋_GBK" w:hAnsi="方正仿宋_GBK" w:eastAsia="方正仿宋_GBK" w:cs="方正仿宋_GBK"/>
          <w:color w:val="000000"/>
          <w:kern w:val="2"/>
          <w:sz w:val="32"/>
          <w:szCs w:val="32"/>
          <w:lang w:val="en-US" w:eastAsia="zh-CN" w:bidi="ar"/>
        </w:rPr>
        <w:t>保障领域执法，具体执法交由执法队伍承担，并以部门的名义统一执法。7、牵头推进深化职称制度改革工作，负责全区专业技术人员的职称管理，组织实施各类专业技术职称考试、评审和聘用；贯彻执行专业技术人员管理、继续教育和博士后管理等政策，按照管理权限负责高层次专业技术人才选拔和培养工作，负责人才交流、人才引进、开发和管理服务工作。拟订吸引留学人员来（回）区工作或定居措施；组织拟订技能人才培养、评价、使用和激励制度；贯彻落实职业资格制度，健全职业技能多元化评价措施。8、牵头推进事业单位人事制度改革，按照管理权限，负责规范事业单位岗位设置、聘用合同等人事综合管理工作，负责事业单位工作人员（含机关工勤人员，下同）的聘用、任免、考核、晋升、培训、奖励、处分、辞聘解聘等工作；拟订事业单位工作人员管理制度并组织实施。9、贯彻落实国家表彰奖励制度，按照管理权限，综合管理全区有关表彰奖励工作。10、贯彻执行机关事业单位人员工资收入分配、津补贴政策和企业职工工资收入分配的调控政策、措施；贯彻执行机关企事业单位人员工资决定、正常增长和支付保障政策；贯彻执行机关企事业单位人员福利、工伤政策；贯彻执行企事业单位人员离退休政策。11、贯彻执行农民工工作的综合性政策和规划，推动相关政策落实，协调解决重点难点问题，维护农民工合法权益。12、负责人力资源和社会保障领域国际交流与合作工作。13、完成区委和区政府交办的其他任务。</w:t>
      </w:r>
    </w:p>
    <w:p>
      <w:pPr>
        <w:keepNext w:val="0"/>
        <w:keepLines w:val="0"/>
        <w:pageBreakBefore w:val="0"/>
        <w:widowControl w:val="0"/>
        <w:suppressLineNumbers w:val="0"/>
        <w:kinsoku/>
        <w:wordWrap/>
        <w:overflowPunct/>
        <w:autoSpaceDN/>
        <w:bidi w:val="0"/>
        <w:adjustRightInd/>
        <w:snapToGrid w:val="0"/>
        <w:spacing w:before="0" w:beforeAutospacing="0" w:after="0" w:afterAutospacing="0" w:line="594" w:lineRule="exact"/>
        <w:ind w:left="0" w:right="0" w:firstLine="640" w:firstLineChars="200"/>
        <w:jc w:val="both"/>
        <w:textAlignment w:val="auto"/>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 xml:space="preserve">重庆市璧山区人力资源和社会保障局内设9个科室，2022年末编制人数47人，重庆市璧山区人力资源和社会保障局机关行政编制18名，机关后勤服务人员事业编制1名；重庆市璧山区人力资源和社会保障综合行政执法支队参公事业编制14名；重庆市璧山区劳动人事争议仲裁院参公事业编制14名。  </w:t>
      </w:r>
    </w:p>
    <w:p>
      <w:pPr>
        <w:keepNext w:val="0"/>
        <w:keepLines w:val="0"/>
        <w:pageBreakBefore w:val="0"/>
        <w:widowControl w:val="0"/>
        <w:suppressLineNumbers w:val="0"/>
        <w:kinsoku/>
        <w:wordWrap/>
        <w:overflowPunct/>
        <w:autoSpaceDN/>
        <w:bidi w:val="0"/>
        <w:adjustRightInd/>
        <w:snapToGrid w:val="0"/>
        <w:spacing w:before="0" w:beforeAutospacing="0" w:after="0" w:afterAutospacing="0" w:line="594" w:lineRule="exact"/>
        <w:ind w:left="0" w:right="0" w:firstLine="640" w:firstLineChars="200"/>
        <w:jc w:val="both"/>
        <w:textAlignment w:val="auto"/>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重庆市璧山区人力资源和社会保障局现有在岗人员51人(包含派驻纪检组4人)，其中：行政编制18人，参公编制28人，工勤人员1人。临聘人员16人,公益性岗位4人；离退休人员31人，其中：退休31人。</w:t>
      </w:r>
    </w:p>
    <w:p>
      <w:pPr>
        <w:keepNext w:val="0"/>
        <w:keepLines w:val="0"/>
        <w:pageBreakBefore w:val="0"/>
        <w:widowControl w:val="0"/>
        <w:suppressLineNumbers w:val="0"/>
        <w:kinsoku/>
        <w:wordWrap/>
        <w:overflowPunct/>
        <w:autoSpaceDN/>
        <w:bidi w:val="0"/>
        <w:adjustRightInd/>
        <w:snapToGrid w:val="0"/>
        <w:spacing w:before="0" w:beforeAutospacing="0" w:after="0" w:afterAutospacing="0" w:line="594" w:lineRule="exact"/>
        <w:ind w:left="0" w:right="0" w:firstLine="640" w:firstLineChars="200"/>
        <w:jc w:val="both"/>
        <w:textAlignment w:val="auto"/>
        <w:rPr>
          <w:rFonts w:hint="eastAsia" w:ascii="方正仿宋_GBK" w:hAnsi="方正仿宋_GBK" w:eastAsia="方正仿宋_GBK" w:cs="方正仿宋_GBK"/>
          <w:szCs w:val="32"/>
          <w:lang w:val="en-US"/>
        </w:rPr>
      </w:pPr>
      <w:r>
        <w:rPr>
          <w:rFonts w:hint="eastAsia" w:ascii="方正仿宋_GBK" w:hAnsi="方正仿宋_GBK" w:eastAsia="方正仿宋_GBK" w:cs="方正仿宋_GBK"/>
          <w:kern w:val="2"/>
          <w:sz w:val="32"/>
          <w:szCs w:val="32"/>
          <w:lang w:val="en-US" w:eastAsia="zh-CN" w:bidi="ar"/>
        </w:rPr>
        <w:t>璧山区人力资源和社会保障局为独立财务核算一级单位，重庆市璧山区人力资源和社会保障综合行政执法支队和重庆市璧山区劳动人事争议仲裁院未独立核算。</w:t>
      </w:r>
    </w:p>
    <w:p>
      <w:pPr>
        <w:keepNext w:val="0"/>
        <w:keepLines w:val="0"/>
        <w:pageBreakBefore w:val="0"/>
        <w:widowControl w:val="0"/>
        <w:suppressLineNumbers w:val="0"/>
        <w:kinsoku/>
        <w:wordWrap/>
        <w:overflowPunct/>
        <w:autoSpaceDN/>
        <w:bidi w:val="0"/>
        <w:adjustRightInd/>
        <w:snapToGrid w:val="0"/>
        <w:spacing w:before="0" w:beforeAutospacing="0" w:after="0" w:afterAutospacing="0" w:line="594" w:lineRule="exact"/>
        <w:ind w:left="0" w:right="0" w:firstLine="640" w:firstLineChars="200"/>
        <w:jc w:val="both"/>
        <w:textAlignment w:val="auto"/>
        <w:rPr>
          <w:rFonts w:hint="eastAsia" w:eastAsia="方正仿宋_GBK"/>
          <w:sz w:val="32"/>
          <w:szCs w:val="32"/>
        </w:rPr>
      </w:pPr>
      <w:r>
        <w:rPr>
          <w:rFonts w:hint="eastAsia" w:ascii="方正仿宋_GBK" w:hAnsi="方正仿宋_GBK" w:eastAsia="方正仿宋_GBK" w:cs="方正仿宋_GBK"/>
          <w:color w:val="000000"/>
          <w:kern w:val="2"/>
          <w:sz w:val="32"/>
          <w:szCs w:val="32"/>
          <w:lang w:val="en-US" w:eastAsia="zh-CN" w:bidi="ar"/>
        </w:rPr>
        <w:t>公务车辆情况：局机关：应急车辆1辆，区人力社保综合行政执法支队：综合行政执法车1辆。配备司机</w:t>
      </w:r>
      <w:r>
        <w:rPr>
          <w:rFonts w:hint="eastAsia" w:ascii="方正仿宋_GBK" w:hAnsi="方正仿宋_GBK" w:eastAsia="方正仿宋_GBK" w:cs="方正仿宋_GBK"/>
          <w:kern w:val="2"/>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人，司机均为</w:t>
      </w:r>
      <w:r>
        <w:rPr>
          <w:rFonts w:hint="eastAsia" w:ascii="方正仿宋_GBK" w:hAnsi="方正仿宋_GBK" w:eastAsia="方正仿宋_GBK" w:cs="方正仿宋_GBK"/>
          <w:kern w:val="2"/>
          <w:sz w:val="32"/>
          <w:szCs w:val="32"/>
          <w:lang w:val="en-US" w:eastAsia="zh-CN" w:bidi="ar"/>
        </w:rPr>
        <w:t>临聘</w:t>
      </w:r>
      <w:r>
        <w:rPr>
          <w:rFonts w:hint="eastAsia" w:ascii="方正仿宋_GBK" w:hAnsi="方正仿宋_GBK" w:eastAsia="方正仿宋_GBK" w:cs="方正仿宋_GBK"/>
          <w:color w:val="000000"/>
          <w:kern w:val="2"/>
          <w:sz w:val="32"/>
          <w:szCs w:val="32"/>
          <w:lang w:val="en-US" w:eastAsia="zh-CN" w:bidi="ar"/>
        </w:rPr>
        <w:t>人员。</w:t>
      </w:r>
    </w:p>
    <w:p>
      <w:pPr>
        <w:pageBreakBefore w:val="0"/>
        <w:widowControl w:val="0"/>
        <w:numPr>
          <w:ilvl w:val="0"/>
          <w:numId w:val="1"/>
        </w:numPr>
        <w:kinsoku/>
        <w:wordWrap/>
        <w:overflowPunct/>
        <w:autoSpaceDN/>
        <w:bidi w:val="0"/>
        <w:adjustRightInd/>
        <w:snapToGrid w:val="0"/>
        <w:spacing w:line="594" w:lineRule="exact"/>
        <w:ind w:firstLine="640" w:firstLineChars="200"/>
        <w:textAlignment w:val="auto"/>
        <w:rPr>
          <w:rFonts w:eastAsia="方正仿宋_GBK"/>
          <w:sz w:val="32"/>
          <w:szCs w:val="32"/>
        </w:rPr>
      </w:pPr>
      <w:r>
        <w:rPr>
          <w:rFonts w:hint="eastAsia" w:eastAsia="方正仿宋_GBK"/>
          <w:sz w:val="32"/>
          <w:szCs w:val="32"/>
        </w:rPr>
        <w:t>预算及支出情况</w:t>
      </w:r>
      <w:r>
        <w:rPr>
          <w:rFonts w:eastAsia="方正仿宋_GBK"/>
          <w:sz w:val="32"/>
          <w:szCs w:val="32"/>
        </w:rPr>
        <w:t>。</w:t>
      </w:r>
    </w:p>
    <w:p>
      <w:pPr>
        <w:keepNext w:val="0"/>
        <w:keepLines w:val="0"/>
        <w:pageBreakBefore w:val="0"/>
        <w:widowControl w:val="0"/>
        <w:suppressLineNumbers w:val="0"/>
        <w:kinsoku/>
        <w:wordWrap/>
        <w:overflowPunct/>
        <w:autoSpaceDN/>
        <w:bidi w:val="0"/>
        <w:adjustRightInd/>
        <w:snapToGrid w:val="0"/>
        <w:spacing w:before="0" w:beforeAutospacing="0" w:after="0" w:afterAutospacing="0" w:line="594" w:lineRule="exact"/>
        <w:ind w:left="0" w:right="0" w:firstLine="420" w:firstLineChars="200"/>
        <w:jc w:val="both"/>
        <w:textAlignment w:val="auto"/>
        <w:rPr>
          <w:rFonts w:hint="default" w:ascii="方正仿宋_GBK" w:hAnsi="方正仿宋_GBK" w:eastAsia="方正仿宋_GBK" w:cs="方正仿宋_GBK"/>
          <w:color w:val="000000"/>
          <w:kern w:val="2"/>
          <w:sz w:val="32"/>
          <w:szCs w:val="32"/>
          <w:lang w:val="en-US" w:eastAsia="zh-CN" w:bidi="ar"/>
        </w:rPr>
      </w:pPr>
      <w:r>
        <w:rPr>
          <w:rFonts w:hint="eastAsia" w:eastAsia="方正仿宋_GBK"/>
          <w:lang w:val="en-US" w:eastAsia="zh-CN"/>
        </w:rPr>
        <w:t xml:space="preserve">    </w:t>
      </w:r>
      <w:r>
        <w:rPr>
          <w:rFonts w:hint="eastAsia" w:ascii="方正仿宋_GBK" w:hAnsi="方正仿宋_GBK" w:eastAsia="方正仿宋_GBK" w:cs="方正仿宋_GBK"/>
          <w:color w:val="000000"/>
          <w:kern w:val="2"/>
          <w:sz w:val="32"/>
          <w:szCs w:val="32"/>
          <w:lang w:val="en-US" w:eastAsia="zh-CN" w:bidi="ar"/>
        </w:rPr>
        <w:t>1、2022年预算情况说明</w:t>
      </w:r>
    </w:p>
    <w:p>
      <w:pPr>
        <w:keepNext w:val="0"/>
        <w:keepLines w:val="0"/>
        <w:pageBreakBefore w:val="0"/>
        <w:widowControl w:val="0"/>
        <w:suppressLineNumbers w:val="0"/>
        <w:kinsoku/>
        <w:wordWrap/>
        <w:overflowPunct/>
        <w:autoSpaceDN/>
        <w:bidi w:val="0"/>
        <w:adjustRightInd/>
        <w:snapToGrid w:val="0"/>
        <w:spacing w:before="0" w:beforeAutospacing="0" w:after="0" w:afterAutospacing="0" w:line="594" w:lineRule="exact"/>
        <w:ind w:left="0" w:right="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2022年一般公共预算财政拨款收入1,747.59万元，一般公共预算财政拨款支出1,747.59万元，比2021年增加64.42万元。其中：基本支出1,429.84万元，比2021年增加63.78万元，主要原因是单位人员增加，主要用于保障在职人员工资福利及社会保险缴费，退休人员补助等，保障单位正常运转的各项商品服务支出；项目支出317.75万元，比2021年增加0.64万元，主要原因是公招考试报名人数增加，主要用于招考费这项重点工作。</w:t>
      </w:r>
    </w:p>
    <w:p>
      <w:pPr>
        <w:keepNext w:val="0"/>
        <w:keepLines w:val="0"/>
        <w:pageBreakBefore w:val="0"/>
        <w:widowControl w:val="0"/>
        <w:suppressLineNumbers w:val="0"/>
        <w:kinsoku/>
        <w:wordWrap/>
        <w:overflowPunct/>
        <w:autoSpaceDN/>
        <w:bidi w:val="0"/>
        <w:adjustRightInd/>
        <w:snapToGrid w:val="0"/>
        <w:spacing w:before="0" w:beforeAutospacing="0" w:after="0" w:afterAutospacing="0" w:line="594" w:lineRule="exact"/>
        <w:ind w:left="0" w:right="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2、2022年决算情况说明</w:t>
      </w:r>
    </w:p>
    <w:p>
      <w:pPr>
        <w:keepNext w:val="0"/>
        <w:keepLines w:val="0"/>
        <w:pageBreakBefore w:val="0"/>
        <w:widowControl w:val="0"/>
        <w:suppressLineNumbers w:val="0"/>
        <w:kinsoku/>
        <w:wordWrap/>
        <w:overflowPunct/>
        <w:autoSpaceDN/>
        <w:bidi w:val="0"/>
        <w:adjustRightInd/>
        <w:snapToGrid w:val="0"/>
        <w:spacing w:before="0" w:beforeAutospacing="0" w:after="0" w:afterAutospacing="0" w:line="594" w:lineRule="exact"/>
        <w:ind w:left="0" w:right="0" w:firstLine="640" w:firstLineChars="200"/>
        <w:jc w:val="both"/>
        <w:textAlignment w:val="auto"/>
        <w:rPr>
          <w:rFonts w:hint="default"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2022年度收入总计1666.93万元，支出总计1666.93万元。其中：基本支出1425.27万元，占85.5%；项目支出241.66万元，占14.5%。较上年决算数减少67.03万元、下降3.87%，主要原因是2022年项目支出比2021年项目支出较少了51.51万元，死亡抚恤增加18.49万元。2022年无结转结余资金。</w:t>
      </w:r>
    </w:p>
    <w:p>
      <w:pPr>
        <w:pageBreakBefore w:val="0"/>
        <w:widowControl w:val="0"/>
        <w:kinsoku/>
        <w:wordWrap/>
        <w:overflowPunct/>
        <w:autoSpaceDN/>
        <w:bidi w:val="0"/>
        <w:adjustRightInd/>
        <w:snapToGrid w:val="0"/>
        <w:spacing w:line="594" w:lineRule="exact"/>
        <w:ind w:firstLine="640" w:firstLineChars="200"/>
        <w:textAlignment w:val="auto"/>
        <w:rPr>
          <w:rFonts w:hint="eastAsia" w:eastAsia="方正黑体_GBK"/>
          <w:sz w:val="32"/>
          <w:szCs w:val="32"/>
        </w:rPr>
      </w:pPr>
      <w:r>
        <w:rPr>
          <w:rFonts w:hint="eastAsia" w:eastAsia="方正黑体_GBK"/>
          <w:sz w:val="32"/>
          <w:szCs w:val="32"/>
        </w:rPr>
        <w:t>二</w:t>
      </w:r>
      <w:r>
        <w:rPr>
          <w:rFonts w:eastAsia="方正黑体_GBK"/>
          <w:sz w:val="32"/>
          <w:szCs w:val="32"/>
        </w:rPr>
        <w:t>、</w:t>
      </w:r>
      <w:r>
        <w:rPr>
          <w:rFonts w:hint="eastAsia" w:eastAsia="方正黑体_GBK"/>
          <w:sz w:val="32"/>
          <w:szCs w:val="32"/>
        </w:rPr>
        <w:t>主要成效</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color w:val="000000"/>
          <w:sz w:val="32"/>
          <w:szCs w:val="32"/>
          <w:highlight w:val="none"/>
        </w:rPr>
        <w:t>1、</w:t>
      </w:r>
      <w:r>
        <w:rPr>
          <w:rFonts w:hint="eastAsia" w:ascii="方正仿宋_GBK" w:hAnsi="方正仿宋_GBK" w:eastAsia="方正仿宋_GBK" w:cs="方正仿宋_GBK"/>
          <w:b w:val="0"/>
          <w:bCs w:val="0"/>
          <w:color w:val="000000"/>
          <w:sz w:val="32"/>
          <w:szCs w:val="32"/>
          <w:highlight w:val="none"/>
          <w:lang w:eastAsia="zh-CN"/>
        </w:rPr>
        <w:t>引进高层次人才出成效。</w:t>
      </w:r>
      <w:r>
        <w:rPr>
          <w:rFonts w:hint="eastAsia" w:ascii="方正仿宋_GBK" w:hAnsi="方正仿宋_GBK" w:eastAsia="方正仿宋_GBK" w:cs="方正仿宋_GBK"/>
          <w:b w:val="0"/>
          <w:bCs w:val="0"/>
          <w:color w:val="auto"/>
          <w:spacing w:val="0"/>
          <w:kern w:val="2"/>
          <w:sz w:val="32"/>
          <w:szCs w:val="32"/>
          <w:highlight w:val="none"/>
          <w:lang w:val="en-US" w:eastAsia="zh-CN"/>
        </w:rPr>
        <w:t>一是参加“百万英才兴重庆”全国重点高校巡回引才活动。二是博士后科研工作站“质”“量”齐增。10月26日重庆中医药学院博士后科研工作站授牌后，全区博士后科研工作站达到21家，今年新招收进站博士后22名。</w:t>
      </w:r>
      <w:r>
        <w:rPr>
          <w:rFonts w:hint="eastAsia" w:ascii="方正仿宋_GBK" w:hAnsi="方正仿宋_GBK" w:eastAsia="方正仿宋_GBK" w:cs="方正仿宋_GBK"/>
          <w:b w:val="0"/>
          <w:bCs w:val="0"/>
          <w:color w:val="auto"/>
          <w:sz w:val="32"/>
          <w:szCs w:val="32"/>
          <w:highlight w:val="none"/>
          <w:lang w:val="en-US" w:eastAsia="zh-CN"/>
        </w:rPr>
        <w:t>三是推进高技能人才培养平台建设。重庆护理职业学院成功获批市级高技能人才培训基地；该学院副院长沈军养老护理员工作室被认定为</w:t>
      </w:r>
      <w:r>
        <w:rPr>
          <w:rFonts w:hint="eastAsia" w:ascii="方正仿宋_GBK" w:hAnsi="方正仿宋_GBK" w:eastAsia="方正仿宋_GBK" w:cs="方正仿宋_GBK"/>
          <w:b w:val="0"/>
          <w:bCs w:val="0"/>
          <w:sz w:val="32"/>
          <w:szCs w:val="32"/>
          <w:highlight w:val="none"/>
          <w:lang w:val="en-US" w:eastAsia="zh-CN"/>
        </w:rPr>
        <w:t>为市级首席技能大师工作室</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trike w:val="0"/>
          <w:dstrike w:val="0"/>
          <w:color w:val="000000"/>
          <w:sz w:val="32"/>
          <w:szCs w:val="32"/>
          <w:highlight w:val="none"/>
        </w:rPr>
        <w:t>2、</w:t>
      </w:r>
      <w:r>
        <w:rPr>
          <w:rFonts w:hint="eastAsia" w:ascii="方正仿宋_GBK" w:hAnsi="方正仿宋_GBK" w:eastAsia="方正仿宋_GBK" w:cs="方正仿宋_GBK"/>
          <w:b w:val="0"/>
          <w:bCs w:val="0"/>
          <w:sz w:val="32"/>
          <w:szCs w:val="32"/>
          <w:highlight w:val="none"/>
          <w:lang w:val="en-US" w:eastAsia="zh-CN"/>
        </w:rPr>
        <w:t>截至10月底主动监察用人单位446户，解决欠薪拖欠工资金额275.0791万元。根据</w:t>
      </w:r>
      <w:r>
        <w:rPr>
          <w:rFonts w:hint="eastAsia" w:ascii="方正仿宋_GBK" w:hAnsi="方正仿宋_GBK" w:eastAsia="方正仿宋_GBK" w:cs="方正仿宋_GBK"/>
          <w:b w:val="0"/>
          <w:bCs w:val="0"/>
          <w:sz w:val="32"/>
          <w:szCs w:val="32"/>
          <w:highlight w:val="none"/>
          <w:lang w:eastAsia="zh-CN"/>
        </w:rPr>
        <w:t>市根治拖欠农民工工资工作领导小组通报</w:t>
      </w:r>
      <w:r>
        <w:rPr>
          <w:rFonts w:hint="eastAsia" w:ascii="方正仿宋_GBK" w:hAnsi="方正仿宋_GBK" w:eastAsia="方正仿宋_GBK" w:cs="方正仿宋_GBK"/>
          <w:b w:val="0"/>
          <w:bCs w:val="0"/>
          <w:sz w:val="32"/>
          <w:szCs w:val="32"/>
          <w:highlight w:val="none"/>
          <w:lang w:val="en-US" w:eastAsia="zh-CN"/>
        </w:rPr>
        <w:t>，璧山区在15个同考核等级区县中排第一名，这是2017年全市启动保障农民工工资支付工作考核以来，璧山区首次被评定为全市第一名。</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strike w:val="0"/>
          <w:dstrike w:val="0"/>
          <w:color w:val="000000"/>
          <w:sz w:val="32"/>
          <w:szCs w:val="32"/>
          <w:highlight w:val="none"/>
        </w:rPr>
        <w:t>3、</w:t>
      </w:r>
      <w:r>
        <w:rPr>
          <w:rFonts w:hint="eastAsia" w:ascii="方正仿宋_GBK" w:hAnsi="方正仿宋_GBK" w:eastAsia="方正仿宋_GBK" w:cs="方正仿宋_GBK"/>
          <w:b w:val="0"/>
          <w:bCs w:val="0"/>
          <w:sz w:val="32"/>
          <w:szCs w:val="32"/>
          <w:highlight w:val="none"/>
          <w:lang w:eastAsia="zh-CN"/>
        </w:rPr>
        <w:t>2022年9月起，启用“渝新芯”工资管理信息系统进行工资管理，实现了机关事业单位工资变动在线审批。</w:t>
      </w:r>
      <w:r>
        <w:rPr>
          <w:rFonts w:hint="eastAsia" w:ascii="方正仿宋_GBK" w:hAnsi="方正仿宋_GBK" w:eastAsia="方正仿宋_GBK" w:cs="方正仿宋_GBK"/>
          <w:b w:val="0"/>
          <w:bCs w:val="0"/>
          <w:color w:val="auto"/>
          <w:sz w:val="32"/>
          <w:szCs w:val="32"/>
          <w:highlight w:val="none"/>
          <w:lang w:val="en-US" w:eastAsia="zh-CN"/>
        </w:rPr>
        <w:t>深化国有企业负责人薪酬制度改革，加强工资收入分配调控。</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default"/>
          <w:lang w:val="en-US" w:eastAsia="zh-CN"/>
        </w:rPr>
      </w:pPr>
      <w:r>
        <w:rPr>
          <w:rFonts w:hint="eastAsia" w:ascii="方正仿宋_GBK" w:hAnsi="方正仿宋_GBK" w:eastAsia="方正仿宋_GBK" w:cs="方正仿宋_GBK"/>
          <w:b w:val="0"/>
          <w:bCs w:val="0"/>
          <w:sz w:val="32"/>
          <w:szCs w:val="32"/>
          <w:highlight w:val="none"/>
          <w:lang w:val="en-US" w:eastAsia="zh-CN"/>
        </w:rPr>
        <w:t>4、</w:t>
      </w:r>
      <w:r>
        <w:rPr>
          <w:rFonts w:hint="eastAsia" w:ascii="方正仿宋_GBK" w:hAnsi="方正仿宋_GBK" w:eastAsia="方正仿宋_GBK" w:cs="方正仿宋_GBK"/>
          <w:b w:val="0"/>
          <w:bCs w:val="0"/>
          <w:color w:val="auto"/>
          <w:spacing w:val="0"/>
          <w:kern w:val="2"/>
          <w:sz w:val="32"/>
          <w:szCs w:val="32"/>
          <w:highlight w:val="none"/>
          <w:lang w:eastAsia="zh-CN"/>
        </w:rPr>
        <w:t>推广</w:t>
      </w:r>
      <w:r>
        <w:rPr>
          <w:rFonts w:hint="eastAsia" w:ascii="方正仿宋_GBK" w:hAnsi="方正仿宋_GBK" w:eastAsia="方正仿宋_GBK" w:cs="方正仿宋_GBK"/>
          <w:b w:val="0"/>
          <w:bCs w:val="0"/>
          <w:color w:val="auto"/>
          <w:spacing w:val="0"/>
          <w:kern w:val="2"/>
          <w:sz w:val="32"/>
          <w:szCs w:val="32"/>
          <w:highlight w:val="none"/>
        </w:rPr>
        <w:t>“</w:t>
      </w:r>
      <w:r>
        <w:rPr>
          <w:rFonts w:hint="eastAsia" w:ascii="方正仿宋_GBK" w:hAnsi="方正仿宋_GBK" w:eastAsia="方正仿宋_GBK" w:cs="方正仿宋_GBK"/>
          <w:b w:val="0"/>
          <w:bCs w:val="0"/>
          <w:color w:val="auto"/>
          <w:spacing w:val="0"/>
          <w:kern w:val="2"/>
          <w:sz w:val="32"/>
          <w:szCs w:val="32"/>
          <w:highlight w:val="none"/>
          <w:lang w:eastAsia="zh-CN"/>
        </w:rPr>
        <w:t>网上办</w:t>
      </w:r>
      <w:r>
        <w:rPr>
          <w:rFonts w:hint="eastAsia" w:ascii="方正仿宋_GBK" w:hAnsi="方正仿宋_GBK" w:eastAsia="方正仿宋_GBK" w:cs="方正仿宋_GBK"/>
          <w:b w:val="0"/>
          <w:bCs w:val="0"/>
          <w:color w:val="auto"/>
          <w:spacing w:val="0"/>
          <w:kern w:val="2"/>
          <w:sz w:val="32"/>
          <w:szCs w:val="32"/>
          <w:highlight w:val="none"/>
        </w:rPr>
        <w:t>”</w:t>
      </w:r>
      <w:r>
        <w:rPr>
          <w:rFonts w:hint="eastAsia" w:ascii="方正仿宋_GBK" w:hAnsi="方正仿宋_GBK" w:eastAsia="方正仿宋_GBK" w:cs="方正仿宋_GBK"/>
          <w:b w:val="0"/>
          <w:bCs w:val="0"/>
          <w:color w:val="auto"/>
          <w:spacing w:val="0"/>
          <w:kern w:val="2"/>
          <w:sz w:val="32"/>
          <w:szCs w:val="32"/>
          <w:highlight w:val="none"/>
          <w:lang w:eastAsia="zh-CN"/>
        </w:rPr>
        <w:t>。倡导“就近办”，新增</w:t>
      </w:r>
      <w:r>
        <w:rPr>
          <w:rFonts w:hint="eastAsia" w:ascii="方正仿宋_GBK" w:hAnsi="方正仿宋_GBK" w:eastAsia="方正仿宋_GBK" w:cs="方正仿宋_GBK"/>
          <w:b w:val="0"/>
          <w:bCs w:val="0"/>
          <w:color w:val="auto"/>
          <w:spacing w:val="0"/>
          <w:kern w:val="2"/>
          <w:sz w:val="32"/>
          <w:szCs w:val="32"/>
          <w:highlight w:val="none"/>
          <w:lang w:val="en-US" w:eastAsia="zh-CN"/>
        </w:rPr>
        <w:t>11家银行网点办理社会保障卡制发、密码修改、挂失解挂等业务。拓展“一次办”，推进“企业招用员工”“居民养老待遇”等一件事服务。配合相关部门推出“出生一件事”一次办；创新推进“身后一件事”一次办，计划于本年底上线运行。</w:t>
      </w:r>
    </w:p>
    <w:p>
      <w:pPr>
        <w:pageBreakBefore w:val="0"/>
        <w:widowControl w:val="0"/>
        <w:kinsoku/>
        <w:wordWrap/>
        <w:overflowPunct/>
        <w:topLinePunct/>
        <w:autoSpaceDE w:val="0"/>
        <w:autoSpaceDN/>
        <w:bidi w:val="0"/>
        <w:adjustRightInd/>
        <w:snapToGrid w:val="0"/>
        <w:spacing w:line="594" w:lineRule="exact"/>
        <w:ind w:firstLine="640" w:firstLineChars="200"/>
        <w:textAlignment w:val="auto"/>
        <w:rPr>
          <w:rFonts w:hint="eastAsia" w:eastAsia="方正黑体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val="zh-CN" w:eastAsia="zh-CN"/>
        </w:rPr>
        <w:t>认真听取群众诉求，畅通举报投诉渠道，引导群众依法理性维权。成功化解区交办</w:t>
      </w:r>
      <w:r>
        <w:rPr>
          <w:rFonts w:hint="eastAsia" w:ascii="方正仿宋_GBK" w:hAnsi="方正仿宋_GBK" w:eastAsia="方正仿宋_GBK" w:cs="方正仿宋_GBK"/>
          <w:sz w:val="32"/>
          <w:szCs w:val="32"/>
          <w:highlight w:val="none"/>
          <w:lang w:val="en-US" w:eastAsia="zh-CN"/>
        </w:rPr>
        <w:t>2022年重点信访问题1件。</w:t>
      </w:r>
    </w:p>
    <w:p>
      <w:pPr>
        <w:pageBreakBefore w:val="0"/>
        <w:widowControl w:val="0"/>
        <w:kinsoku/>
        <w:wordWrap/>
        <w:overflowPunct/>
        <w:autoSpaceDN/>
        <w:bidi w:val="0"/>
        <w:adjustRightInd/>
        <w:snapToGrid w:val="0"/>
        <w:spacing w:line="594" w:lineRule="exact"/>
        <w:ind w:firstLine="640" w:firstLineChars="200"/>
        <w:textAlignment w:val="auto"/>
        <w:rPr>
          <w:rFonts w:eastAsia="方正黑体_GBK"/>
          <w:sz w:val="32"/>
          <w:szCs w:val="32"/>
        </w:rPr>
      </w:pPr>
      <w:r>
        <w:rPr>
          <w:rFonts w:hint="eastAsia" w:eastAsia="方正黑体_GBK"/>
          <w:sz w:val="32"/>
          <w:szCs w:val="32"/>
        </w:rPr>
        <w:t>三、绩效</w:t>
      </w:r>
      <w:r>
        <w:rPr>
          <w:rFonts w:eastAsia="方正黑体_GBK"/>
          <w:sz w:val="32"/>
          <w:szCs w:val="32"/>
        </w:rPr>
        <w:t>评价情况及结论</w:t>
      </w:r>
    </w:p>
    <w:p>
      <w:pPr>
        <w:pageBreakBefore w:val="0"/>
        <w:widowControl w:val="0"/>
        <w:kinsoku/>
        <w:wordWrap/>
        <w:overflowPunct/>
        <w:autoSpaceDN/>
        <w:bidi w:val="0"/>
        <w:adjustRightInd/>
        <w:snapToGrid w:val="0"/>
        <w:spacing w:line="594"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评价工作组通过资料收集分析、指标体系搭建等方式，对璧山区</w:t>
      </w:r>
      <w:r>
        <w:rPr>
          <w:rFonts w:hint="eastAsia" w:ascii="仿宋_GB2312" w:hAnsi="仿宋" w:eastAsia="仿宋_GB2312"/>
          <w:sz w:val="32"/>
          <w:szCs w:val="32"/>
          <w:highlight w:val="none"/>
          <w:lang w:eastAsia="zh-CN"/>
        </w:rPr>
        <w:t>人力资源和社会保障局</w:t>
      </w:r>
      <w:r>
        <w:rPr>
          <w:rFonts w:hint="eastAsia" w:ascii="仿宋_GB2312" w:hAnsi="仿宋" w:eastAsia="仿宋_GB2312"/>
          <w:sz w:val="32"/>
          <w:szCs w:val="32"/>
          <w:highlight w:val="none"/>
        </w:rPr>
        <w:t>进行综合绩效评分。单个项目绩效指标分值为100分，其中投入与管理权重40%，产出与效益权重60%。</w:t>
      </w:r>
    </w:p>
    <w:p>
      <w:pPr>
        <w:pageBreakBefore w:val="0"/>
        <w:widowControl w:val="0"/>
        <w:kinsoku/>
        <w:wordWrap/>
        <w:overflowPunct/>
        <w:autoSpaceDN/>
        <w:bidi w:val="0"/>
        <w:adjustRightInd/>
        <w:snapToGrid w:val="0"/>
        <w:spacing w:line="594"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项目</w:t>
      </w:r>
      <w:r>
        <w:rPr>
          <w:rFonts w:hint="eastAsia" w:ascii="仿宋_GB2312" w:hAnsi="仿宋" w:eastAsia="仿宋_GB2312"/>
          <w:sz w:val="32"/>
          <w:szCs w:val="32"/>
          <w:highlight w:val="none"/>
        </w:rPr>
        <w:t>绩效评分得分情况：</w:t>
      </w:r>
      <w:r>
        <w:rPr>
          <w:rFonts w:hint="eastAsia" w:ascii="仿宋_GB2312" w:hAnsi="仿宋" w:eastAsia="仿宋_GB2312"/>
          <w:sz w:val="32"/>
          <w:szCs w:val="32"/>
          <w:highlight w:val="none"/>
          <w:lang w:eastAsia="zh-CN"/>
        </w:rPr>
        <w:t>奖励证书工本费</w:t>
      </w:r>
      <w:r>
        <w:rPr>
          <w:rFonts w:hint="eastAsia" w:ascii="仿宋_GB2312" w:hAnsi="仿宋" w:eastAsia="仿宋_GB2312"/>
          <w:sz w:val="32"/>
          <w:szCs w:val="32"/>
          <w:highlight w:val="none"/>
          <w:lang w:val="en-US" w:eastAsia="zh-CN"/>
        </w:rPr>
        <w:t>89分，招考费95分，信息平台光纤租赁费92分，职业技能鉴定90分，劳动能力鉴定费用92分，慰问工作经费91分，退管费92元，培训经费70分，高层次人才服务经费92.5分，2021年度平台租赁费结转费用100分，2021年事业单位人员招考经费结转费用91分，信访稳定目标管理责任优秀单位信访稳定工作经费98分，2022年春节期间慰问专业技术人才代表100分，购应急保障用车94分，鸿雁计划95分，2022年升级机关事业单位工作管理信息系统所需经费91分，2021年社保基金（资金）审计86分。</w:t>
      </w:r>
    </w:p>
    <w:p>
      <w:pPr>
        <w:pageBreakBefore w:val="0"/>
        <w:widowControl w:val="0"/>
        <w:kinsoku/>
        <w:wordWrap/>
        <w:overflowPunct/>
        <w:autoSpaceDN/>
        <w:bidi w:val="0"/>
        <w:adjustRightInd/>
        <w:snapToGrid w:val="0"/>
        <w:spacing w:line="594" w:lineRule="exact"/>
        <w:ind w:firstLine="640" w:firstLineChars="200"/>
        <w:textAlignment w:val="auto"/>
        <w:rPr>
          <w:rFonts w:eastAsia="方正仿宋_GBK"/>
          <w:sz w:val="32"/>
          <w:szCs w:val="32"/>
          <w:highlight w:val="none"/>
        </w:rPr>
      </w:pPr>
      <w:r>
        <w:rPr>
          <w:rFonts w:hint="eastAsia" w:ascii="仿宋_GB2312" w:hAnsi="仿宋" w:eastAsia="仿宋_GB2312"/>
          <w:sz w:val="32"/>
          <w:szCs w:val="32"/>
          <w:highlight w:val="none"/>
        </w:rPr>
        <w:t>综合绩效评分结果：总得分为</w:t>
      </w:r>
      <w:r>
        <w:rPr>
          <w:rFonts w:hint="eastAsia" w:ascii="仿宋_GB2312" w:hAnsi="仿宋" w:eastAsia="仿宋_GB2312"/>
          <w:sz w:val="32"/>
          <w:szCs w:val="32"/>
          <w:highlight w:val="none"/>
          <w:lang w:val="en-US" w:eastAsia="zh-CN"/>
        </w:rPr>
        <w:t>90</w:t>
      </w:r>
      <w:r>
        <w:rPr>
          <w:rFonts w:hint="eastAsia" w:ascii="仿宋_GB2312" w:hAnsi="仿宋" w:eastAsia="仿宋_GB2312"/>
          <w:sz w:val="32"/>
          <w:szCs w:val="32"/>
          <w:highlight w:val="none"/>
        </w:rPr>
        <w:t>分，绩效评级为“优”。</w:t>
      </w:r>
    </w:p>
    <w:p>
      <w:pPr>
        <w:pageBreakBefore w:val="0"/>
        <w:widowControl w:val="0"/>
        <w:kinsoku/>
        <w:wordWrap/>
        <w:overflowPunct/>
        <w:autoSpaceDN/>
        <w:bidi w:val="0"/>
        <w:adjustRightInd/>
        <w:snapToGrid w:val="0"/>
        <w:spacing w:line="594" w:lineRule="exact"/>
        <w:ind w:firstLine="640" w:firstLineChars="200"/>
        <w:textAlignment w:val="auto"/>
        <w:rPr>
          <w:rFonts w:hint="eastAsia" w:eastAsia="方正黑体_GBK"/>
          <w:sz w:val="32"/>
          <w:szCs w:val="32"/>
        </w:rPr>
      </w:pPr>
      <w:r>
        <w:rPr>
          <w:rFonts w:hint="eastAsia" w:eastAsia="方正黑体_GBK"/>
          <w:sz w:val="32"/>
          <w:szCs w:val="32"/>
        </w:rPr>
        <w:t>四</w:t>
      </w:r>
      <w:r>
        <w:rPr>
          <w:rFonts w:eastAsia="方正黑体_GBK"/>
          <w:sz w:val="32"/>
          <w:szCs w:val="32"/>
        </w:rPr>
        <w:t>、</w:t>
      </w:r>
      <w:r>
        <w:rPr>
          <w:rFonts w:hint="eastAsia" w:eastAsia="方正黑体_GBK"/>
          <w:sz w:val="32"/>
          <w:szCs w:val="32"/>
        </w:rPr>
        <w:t>需重点关注的问题</w:t>
      </w:r>
    </w:p>
    <w:p>
      <w:pPr>
        <w:pageBreakBefore w:val="0"/>
        <w:widowControl w:val="0"/>
        <w:kinsoku/>
        <w:wordWrap/>
        <w:overflowPunct/>
        <w:topLinePunct/>
        <w:autoSpaceDE w:val="0"/>
        <w:autoSpaceDN/>
        <w:bidi w:val="0"/>
        <w:adjustRightInd/>
        <w:snapToGrid w:val="0"/>
        <w:spacing w:line="594"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1、未申报绩效目标，且绩效目标不够明确，未细化量化为具体的指标，缺乏数量指标和质量指标，不利于项目完整性、可衡量方面的考核。</w:t>
      </w:r>
    </w:p>
    <w:p>
      <w:pPr>
        <w:pageBreakBefore w:val="0"/>
        <w:widowControl w:val="0"/>
        <w:kinsoku/>
        <w:wordWrap/>
        <w:overflowPunct/>
        <w:topLinePunct/>
        <w:autoSpaceDE w:val="0"/>
        <w:autoSpaceDN/>
        <w:bidi w:val="0"/>
        <w:adjustRightInd/>
        <w:snapToGrid w:val="0"/>
        <w:spacing w:line="594"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2、随着</w:t>
      </w:r>
      <w:r>
        <w:rPr>
          <w:rFonts w:ascii="仿宋_GB2312" w:hAnsi="仿宋" w:eastAsia="仿宋_GB2312"/>
          <w:color w:val="000000" w:themeColor="text1"/>
          <w:sz w:val="32"/>
          <w:szCs w:val="32"/>
        </w:rPr>
        <w:t>新的工作模式</w:t>
      </w:r>
      <w:r>
        <w:rPr>
          <w:rFonts w:hint="eastAsia" w:ascii="仿宋_GB2312" w:hAnsi="仿宋" w:eastAsia="仿宋_GB2312"/>
          <w:color w:val="000000" w:themeColor="text1"/>
          <w:sz w:val="32"/>
          <w:szCs w:val="32"/>
        </w:rPr>
        <w:t>的</w:t>
      </w:r>
      <w:r>
        <w:rPr>
          <w:rFonts w:ascii="仿宋_GB2312" w:hAnsi="仿宋" w:eastAsia="仿宋_GB2312"/>
          <w:color w:val="000000" w:themeColor="text1"/>
          <w:sz w:val="32"/>
          <w:szCs w:val="32"/>
        </w:rPr>
        <w:t>转变，</w:t>
      </w:r>
      <w:r>
        <w:rPr>
          <w:rFonts w:hint="eastAsia" w:ascii="仿宋_GB2312" w:hAnsi="仿宋" w:eastAsia="仿宋_GB2312"/>
          <w:color w:val="000000" w:themeColor="text1"/>
          <w:sz w:val="32"/>
          <w:szCs w:val="32"/>
          <w:lang w:eastAsia="zh-CN"/>
        </w:rPr>
        <w:t>财政一体化</w:t>
      </w:r>
      <w:r>
        <w:rPr>
          <w:rFonts w:ascii="仿宋_GB2312" w:hAnsi="仿宋" w:eastAsia="仿宋_GB2312"/>
          <w:color w:val="000000" w:themeColor="text1"/>
          <w:sz w:val="32"/>
          <w:szCs w:val="32"/>
        </w:rPr>
        <w:t>系统有待升级完善</w:t>
      </w:r>
      <w:r>
        <w:rPr>
          <w:rFonts w:hint="eastAsia" w:ascii="仿宋_GB2312" w:hAnsi="仿宋" w:eastAsia="仿宋_GB2312"/>
          <w:color w:val="000000" w:themeColor="text1"/>
          <w:sz w:val="32"/>
          <w:szCs w:val="32"/>
          <w:lang w:eastAsia="zh-CN"/>
        </w:rPr>
        <w:t>，导致</w:t>
      </w:r>
      <w:r>
        <w:rPr>
          <w:rFonts w:hint="eastAsia" w:ascii="仿宋_GB2312" w:hAnsi="仿宋" w:eastAsia="仿宋_GB2312"/>
          <w:color w:val="000000" w:themeColor="text1"/>
          <w:sz w:val="32"/>
          <w:szCs w:val="32"/>
        </w:rPr>
        <w:t>单位与</w:t>
      </w:r>
      <w:r>
        <w:rPr>
          <w:rFonts w:ascii="仿宋_GB2312" w:hAnsi="仿宋" w:eastAsia="仿宋_GB2312"/>
          <w:color w:val="000000" w:themeColor="text1"/>
          <w:sz w:val="32"/>
          <w:szCs w:val="32"/>
        </w:rPr>
        <w:t>银行、税务、财政等部门间的协调需进一步加强。</w:t>
      </w:r>
    </w:p>
    <w:p>
      <w:pPr>
        <w:pageBreakBefore w:val="0"/>
        <w:widowControl w:val="0"/>
        <w:kinsoku/>
        <w:wordWrap/>
        <w:overflowPunct/>
        <w:autoSpaceDN/>
        <w:bidi w:val="0"/>
        <w:adjustRightInd/>
        <w:snapToGrid w:val="0"/>
        <w:spacing w:line="594" w:lineRule="exact"/>
        <w:ind w:firstLine="640" w:firstLineChars="200"/>
        <w:textAlignment w:val="auto"/>
        <w:rPr>
          <w:rFonts w:hint="eastAsia" w:eastAsia="方正黑体_GBK"/>
          <w:sz w:val="32"/>
          <w:szCs w:val="32"/>
        </w:rPr>
      </w:pPr>
      <w:r>
        <w:rPr>
          <w:rFonts w:hint="eastAsia" w:eastAsia="方正黑体_GBK"/>
          <w:sz w:val="32"/>
          <w:szCs w:val="32"/>
        </w:rPr>
        <w:t>五、有关建议</w:t>
      </w:r>
    </w:p>
    <w:p>
      <w:pPr>
        <w:pageBreakBefore w:val="0"/>
        <w:widowControl w:val="0"/>
        <w:kinsoku/>
        <w:wordWrap/>
        <w:overflowPunct/>
        <w:topLinePunct/>
        <w:autoSpaceDE w:val="0"/>
        <w:autoSpaceDN/>
        <w:bidi w:val="0"/>
        <w:adjustRightInd/>
        <w:snapToGrid w:val="0"/>
        <w:spacing w:line="594"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1、按要求申报绩效目标，建立设置绩效考核指标体系的意识，为以后提供历史依据。根据“总体设计，细化明晰”原则设置绩效指标，“总体设计”是结合项目特点设置整体绩效指标，“细化明晰”指从投入、管理、产出以及效益四个维度进行设置，并考虑指标的可衡性、相关性、可控性。</w:t>
      </w:r>
    </w:p>
    <w:p>
      <w:pPr>
        <w:pageBreakBefore w:val="0"/>
        <w:widowControl w:val="0"/>
        <w:kinsoku/>
        <w:wordWrap/>
        <w:overflowPunct/>
        <w:topLinePunct/>
        <w:autoSpaceDE w:val="0"/>
        <w:autoSpaceDN/>
        <w:bidi w:val="0"/>
        <w:adjustRightInd/>
        <w:snapToGrid w:val="0"/>
        <w:spacing w:line="594"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2、做好优化营商环境的宣传工作，让</w:t>
      </w:r>
      <w:r>
        <w:rPr>
          <w:rFonts w:hint="eastAsia" w:ascii="仿宋_GB2312" w:hAnsi="仿宋" w:eastAsia="仿宋_GB2312"/>
          <w:color w:val="000000" w:themeColor="text1"/>
          <w:sz w:val="32"/>
          <w:szCs w:val="32"/>
          <w:lang w:eastAsia="zh-CN"/>
        </w:rPr>
        <w:t>企业、人民群众</w:t>
      </w:r>
      <w:r>
        <w:rPr>
          <w:rFonts w:hint="eastAsia" w:ascii="仿宋_GB2312" w:hAnsi="仿宋" w:eastAsia="仿宋_GB2312"/>
          <w:color w:val="000000" w:themeColor="text1"/>
          <w:sz w:val="32"/>
          <w:szCs w:val="32"/>
        </w:rPr>
        <w:t>等</w:t>
      </w:r>
      <w:r>
        <w:rPr>
          <w:rFonts w:hint="eastAsia" w:ascii="仿宋_GB2312" w:hAnsi="仿宋" w:eastAsia="仿宋_GB2312"/>
          <w:color w:val="000000" w:themeColor="text1"/>
          <w:sz w:val="32"/>
          <w:szCs w:val="32"/>
          <w:lang w:eastAsia="zh-CN"/>
        </w:rPr>
        <w:t>人力社保政策</w:t>
      </w:r>
      <w:r>
        <w:rPr>
          <w:rFonts w:hint="eastAsia" w:ascii="仿宋_GB2312" w:hAnsi="仿宋" w:eastAsia="仿宋_GB2312"/>
          <w:color w:val="000000" w:themeColor="text1"/>
          <w:sz w:val="32"/>
          <w:szCs w:val="32"/>
        </w:rPr>
        <w:t>的具体事项。</w:t>
      </w:r>
    </w:p>
    <w:p>
      <w:pPr>
        <w:pageBreakBefore w:val="0"/>
        <w:widowControl w:val="0"/>
        <w:kinsoku/>
        <w:wordWrap/>
        <w:overflowPunct/>
        <w:topLinePunct/>
        <w:autoSpaceDE w:val="0"/>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000000" w:themeColor="text1"/>
          <w:sz w:val="32"/>
          <w:szCs w:val="32"/>
        </w:rPr>
      </w:pPr>
      <w:r>
        <w:rPr>
          <w:rFonts w:hint="eastAsia" w:ascii="仿宋_GB2312" w:hAnsi="仿宋" w:eastAsia="仿宋_GB2312"/>
          <w:color w:val="000000" w:themeColor="text1"/>
          <w:sz w:val="32"/>
          <w:szCs w:val="32"/>
        </w:rPr>
        <w:t>3、</w:t>
      </w:r>
      <w:r>
        <w:rPr>
          <w:rFonts w:hint="eastAsia" w:ascii="方正仿宋_GBK" w:hAnsi="方正仿宋_GBK" w:eastAsia="方正仿宋_GBK" w:cs="方正仿宋_GBK"/>
          <w:color w:val="000000" w:themeColor="text1"/>
          <w:sz w:val="32"/>
          <w:szCs w:val="32"/>
        </w:rPr>
        <w:t>加大数据清理力度。持续对</w:t>
      </w:r>
      <w:r>
        <w:rPr>
          <w:rFonts w:hint="eastAsia" w:ascii="方正仿宋_GBK" w:hAnsi="方正仿宋_GBK" w:eastAsia="方正仿宋_GBK" w:cs="方正仿宋_GBK"/>
          <w:color w:val="000000" w:themeColor="text1"/>
          <w:sz w:val="32"/>
          <w:szCs w:val="32"/>
          <w:lang w:eastAsia="zh-CN"/>
        </w:rPr>
        <w:t>金保</w:t>
      </w:r>
      <w:r>
        <w:rPr>
          <w:rFonts w:hint="eastAsia" w:ascii="方正仿宋_GBK" w:hAnsi="方正仿宋_GBK" w:eastAsia="方正仿宋_GBK" w:cs="方正仿宋_GBK"/>
          <w:color w:val="000000" w:themeColor="text1"/>
          <w:sz w:val="32"/>
          <w:szCs w:val="32"/>
        </w:rPr>
        <w:t>系统中的相关登记业务数据的清理，为优化营商环境提供坚强的数据保障。</w:t>
      </w:r>
    </w:p>
    <w:p>
      <w:pPr>
        <w:pageBreakBefore w:val="0"/>
        <w:widowControl w:val="0"/>
        <w:kinsoku/>
        <w:wordWrap/>
        <w:overflowPunct/>
        <w:topLinePunct/>
        <w:autoSpaceDE w:val="0"/>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4、加强人员技能培训。加强</w:t>
      </w:r>
      <w:r>
        <w:rPr>
          <w:rFonts w:hint="eastAsia" w:ascii="方正仿宋_GBK" w:hAnsi="方正仿宋_GBK" w:eastAsia="方正仿宋_GBK" w:cs="方正仿宋_GBK"/>
          <w:color w:val="000000" w:themeColor="text1"/>
          <w:sz w:val="32"/>
          <w:szCs w:val="32"/>
          <w:lang w:eastAsia="zh-CN"/>
        </w:rPr>
        <w:t>人力社保</w:t>
      </w:r>
      <w:r>
        <w:rPr>
          <w:rFonts w:hint="eastAsia" w:ascii="方正仿宋_GBK" w:hAnsi="方正仿宋_GBK" w:eastAsia="方正仿宋_GBK" w:cs="方正仿宋_GBK"/>
          <w:color w:val="000000" w:themeColor="text1"/>
          <w:sz w:val="32"/>
          <w:szCs w:val="32"/>
        </w:rPr>
        <w:t>工作人员对相关工作流程、业务知识培训，让全体“综合窗口”工作人员尽快适应“优化营商环境”改革工作要求。</w:t>
      </w:r>
    </w:p>
    <w:p>
      <w:pPr>
        <w:pageBreakBefore w:val="0"/>
        <w:widowControl w:val="0"/>
        <w:kinsoku/>
        <w:wordWrap/>
        <w:overflowPunct/>
        <w:autoSpaceDN/>
        <w:bidi w:val="0"/>
        <w:adjustRightInd/>
        <w:snapToGrid w:val="0"/>
        <w:spacing w:line="594" w:lineRule="exact"/>
        <w:ind w:firstLine="640" w:firstLineChars="200"/>
        <w:jc w:val="right"/>
        <w:textAlignment w:val="auto"/>
        <w:rPr>
          <w:rFonts w:hint="eastAsia" w:ascii="方正仿宋_GBK" w:hAnsi="方正仿宋_GBK" w:eastAsia="方正仿宋_GBK" w:cs="方正仿宋_GBK"/>
          <w:sz w:val="32"/>
          <w:szCs w:val="32"/>
        </w:rPr>
      </w:pPr>
    </w:p>
    <w:p>
      <w:pPr>
        <w:pStyle w:val="2"/>
        <w:pageBreakBefore w:val="0"/>
        <w:widowControl w:val="0"/>
        <w:kinsoku/>
        <w:wordWrap/>
        <w:overflowPunct/>
        <w:autoSpaceDN/>
        <w:bidi w:val="0"/>
        <w:adjustRightInd/>
        <w:snapToGrid w:val="0"/>
        <w:spacing w:line="594" w:lineRule="exact"/>
        <w:textAlignment w:val="auto"/>
        <w:rPr>
          <w:rFonts w:hint="eastAsia" w:ascii="方正仿宋_GBK" w:hAnsi="方正仿宋_GBK" w:eastAsia="方正仿宋_GBK" w:cs="方正仿宋_GBK"/>
          <w:sz w:val="32"/>
          <w:szCs w:val="32"/>
        </w:rPr>
      </w:pPr>
    </w:p>
    <w:p>
      <w:pPr>
        <w:pageBreakBefore w:val="0"/>
        <w:widowControl w:val="0"/>
        <w:kinsoku/>
        <w:wordWrap/>
        <w:overflowPunct/>
        <w:autoSpaceDN/>
        <w:bidi w:val="0"/>
        <w:adjustRightInd/>
        <w:snapToGrid w:val="0"/>
        <w:spacing w:line="594" w:lineRule="exact"/>
        <w:ind w:firstLine="3520" w:firstLineChars="11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重庆市璧山区人力资源和社会保障</w:t>
      </w:r>
    </w:p>
    <w:p>
      <w:pPr>
        <w:pStyle w:val="2"/>
        <w:pageBreakBefore w:val="0"/>
        <w:widowControl w:val="0"/>
        <w:kinsoku/>
        <w:wordWrap/>
        <w:overflowPunct/>
        <w:autoSpaceDN/>
        <w:bidi w:val="0"/>
        <w:adjustRightInd/>
        <w:snapToGrid w:val="0"/>
        <w:spacing w:line="594" w:lineRule="exac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 xml:space="preserve"> 2023年3月29日</w:t>
      </w:r>
    </w:p>
    <w:sectPr>
      <w:pgSz w:w="11906" w:h="16838"/>
      <w:pgMar w:top="1588" w:right="1474" w:bottom="158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C777A"/>
    <w:multiLevelType w:val="singleLevel"/>
    <w:tmpl w:val="263C777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65"/>
    <w:rsid w:val="00043A15"/>
    <w:rsid w:val="000575E2"/>
    <w:rsid w:val="00063B15"/>
    <w:rsid w:val="0009607E"/>
    <w:rsid w:val="000B5DB9"/>
    <w:rsid w:val="000C0972"/>
    <w:rsid w:val="00171AB3"/>
    <w:rsid w:val="001C3D64"/>
    <w:rsid w:val="001C641A"/>
    <w:rsid w:val="001C6822"/>
    <w:rsid w:val="001E256D"/>
    <w:rsid w:val="001E2D5B"/>
    <w:rsid w:val="00247BB1"/>
    <w:rsid w:val="002571F7"/>
    <w:rsid w:val="002641A6"/>
    <w:rsid w:val="002834C5"/>
    <w:rsid w:val="00293914"/>
    <w:rsid w:val="002C141E"/>
    <w:rsid w:val="002F6627"/>
    <w:rsid w:val="00304656"/>
    <w:rsid w:val="00333D24"/>
    <w:rsid w:val="0034410B"/>
    <w:rsid w:val="003532F1"/>
    <w:rsid w:val="00357647"/>
    <w:rsid w:val="00365C0E"/>
    <w:rsid w:val="00381982"/>
    <w:rsid w:val="00381F5B"/>
    <w:rsid w:val="00384864"/>
    <w:rsid w:val="003B01B9"/>
    <w:rsid w:val="003E4915"/>
    <w:rsid w:val="003E75C4"/>
    <w:rsid w:val="00401B11"/>
    <w:rsid w:val="00422429"/>
    <w:rsid w:val="0043034C"/>
    <w:rsid w:val="00443E03"/>
    <w:rsid w:val="00487348"/>
    <w:rsid w:val="00497B55"/>
    <w:rsid w:val="004C051C"/>
    <w:rsid w:val="00516F77"/>
    <w:rsid w:val="00547BAD"/>
    <w:rsid w:val="00550210"/>
    <w:rsid w:val="005516E1"/>
    <w:rsid w:val="00563118"/>
    <w:rsid w:val="005A221A"/>
    <w:rsid w:val="005B5ED1"/>
    <w:rsid w:val="00606BA5"/>
    <w:rsid w:val="006417E5"/>
    <w:rsid w:val="0064309B"/>
    <w:rsid w:val="00671BB5"/>
    <w:rsid w:val="006772C6"/>
    <w:rsid w:val="006C7720"/>
    <w:rsid w:val="006C793C"/>
    <w:rsid w:val="006D100A"/>
    <w:rsid w:val="006E6E29"/>
    <w:rsid w:val="00704B56"/>
    <w:rsid w:val="00725E01"/>
    <w:rsid w:val="00732DA5"/>
    <w:rsid w:val="00770339"/>
    <w:rsid w:val="0077453E"/>
    <w:rsid w:val="0079497F"/>
    <w:rsid w:val="007B27A0"/>
    <w:rsid w:val="007C2693"/>
    <w:rsid w:val="007D04AB"/>
    <w:rsid w:val="007D7B0E"/>
    <w:rsid w:val="007E54DF"/>
    <w:rsid w:val="00806211"/>
    <w:rsid w:val="00806865"/>
    <w:rsid w:val="0081273A"/>
    <w:rsid w:val="0082343D"/>
    <w:rsid w:val="00831BF0"/>
    <w:rsid w:val="00837D1D"/>
    <w:rsid w:val="00844EE6"/>
    <w:rsid w:val="00871B89"/>
    <w:rsid w:val="00880010"/>
    <w:rsid w:val="008A7625"/>
    <w:rsid w:val="008D02AF"/>
    <w:rsid w:val="008D25A0"/>
    <w:rsid w:val="009108DF"/>
    <w:rsid w:val="00974291"/>
    <w:rsid w:val="009A23DE"/>
    <w:rsid w:val="00A1196F"/>
    <w:rsid w:val="00A27343"/>
    <w:rsid w:val="00A3725D"/>
    <w:rsid w:val="00A45BE4"/>
    <w:rsid w:val="00AD0DAD"/>
    <w:rsid w:val="00AF31E0"/>
    <w:rsid w:val="00B07031"/>
    <w:rsid w:val="00B17BC3"/>
    <w:rsid w:val="00B34D05"/>
    <w:rsid w:val="00B85927"/>
    <w:rsid w:val="00BC3295"/>
    <w:rsid w:val="00BD1848"/>
    <w:rsid w:val="00BF6FF2"/>
    <w:rsid w:val="00C31CE4"/>
    <w:rsid w:val="00C77086"/>
    <w:rsid w:val="00C858DD"/>
    <w:rsid w:val="00CD33CE"/>
    <w:rsid w:val="00CF26C3"/>
    <w:rsid w:val="00D610B4"/>
    <w:rsid w:val="00D86135"/>
    <w:rsid w:val="00E05A32"/>
    <w:rsid w:val="00E11CE4"/>
    <w:rsid w:val="00E225F8"/>
    <w:rsid w:val="00E25A0F"/>
    <w:rsid w:val="00E42BE7"/>
    <w:rsid w:val="00E55405"/>
    <w:rsid w:val="00E72086"/>
    <w:rsid w:val="00E91393"/>
    <w:rsid w:val="00EB0A75"/>
    <w:rsid w:val="00EF2A45"/>
    <w:rsid w:val="00F70C2E"/>
    <w:rsid w:val="00F9262E"/>
    <w:rsid w:val="00F93438"/>
    <w:rsid w:val="00FA41F0"/>
    <w:rsid w:val="00FD0041"/>
    <w:rsid w:val="00FE38F2"/>
    <w:rsid w:val="0768113B"/>
    <w:rsid w:val="08A9268F"/>
    <w:rsid w:val="1527526D"/>
    <w:rsid w:val="16AF77B1"/>
    <w:rsid w:val="173F26E5"/>
    <w:rsid w:val="1FF827C2"/>
    <w:rsid w:val="4F2B2F36"/>
    <w:rsid w:val="56590366"/>
    <w:rsid w:val="68D075B7"/>
    <w:rsid w:val="7A5B5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9"/>
    <w:pPr>
      <w:keepNext/>
      <w:keepLines/>
      <w:spacing w:before="240" w:after="64" w:line="320" w:lineRule="auto"/>
      <w:outlineLvl w:val="5"/>
    </w:pPr>
    <w:rPr>
      <w:rFonts w:ascii="Cambria" w:hAnsi="Cambria"/>
      <w:b/>
      <w:bCs/>
      <w:sz w:val="28"/>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Body Text Indent"/>
    <w:basedOn w:val="1"/>
    <w:qFormat/>
    <w:uiPriority w:val="0"/>
    <w:pPr>
      <w:widowControl w:val="0"/>
      <w:ind w:left="420" w:leftChars="200"/>
      <w:jc w:val="both"/>
    </w:pPr>
    <w:rPr>
      <w:rFonts w:ascii="Calibri" w:hAnsi="Calibri" w:eastAsia="仿宋_GB2312" w:cs="Times New Roman"/>
      <w:kern w:val="2"/>
      <w:sz w:val="32"/>
      <w:szCs w:val="24"/>
      <w:lang w:val="en-US" w:eastAsia="zh-CN"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Body Text First Indent 2"/>
    <w:basedOn w:val="3"/>
    <w:qFormat/>
    <w:uiPriority w:val="0"/>
    <w:pPr>
      <w:widowControl w:val="0"/>
      <w:ind w:left="420" w:leftChars="200" w:firstLine="420" w:firstLineChars="200"/>
      <w:jc w:val="both"/>
    </w:pPr>
    <w:rPr>
      <w:rFonts w:ascii="Calibri" w:hAnsi="Calibri" w:eastAsia="仿宋_GB2312" w:cs="Times New Roman"/>
      <w:kern w:val="2"/>
      <w:sz w:val="32"/>
      <w:szCs w:val="24"/>
      <w:lang w:val="en-US" w:eastAsia="zh-CN" w:bidi="ar-SA"/>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0">
    <w:name w:val="No Spacing"/>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页眉 Char"/>
    <w:basedOn w:val="8"/>
    <w:link w:val="6"/>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28</Words>
  <Characters>160</Characters>
  <Lines>1</Lines>
  <Paragraphs>1</Paragraphs>
  <TotalTime>0</TotalTime>
  <ScaleCrop>false</ScaleCrop>
  <LinksUpToDate>false</LinksUpToDate>
  <CharactersWithSpaces>187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2020-04-20T08:58:00Z</dcterms:created>
  <dc:creator>Administrator</dc:creator>
  <cp:lastModifiedBy>Administrator</cp:lastModifiedBy>
  <cp:lastPrinted>2020-04-20T08:58:00Z</cp:lastPrinted>
  <dcterms:modified xsi:type="dcterms:W3CDTF">2024-12-06T03:04:41Z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