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方正仿宋_GBK" w:eastAsia="方正仿宋_GBK"/>
          <w:sz w:val="32"/>
          <w:szCs w:val="32"/>
          <w:lang w:val="en-US" w:eastAsia="zh-CN"/>
        </w:rPr>
      </w:pPr>
      <w:r>
        <w:rPr>
          <w:rFonts w:hint="eastAsia" w:ascii="方正仿宋_GBK" w:eastAsia="方正仿宋_GBK"/>
          <w:sz w:val="32"/>
          <w:szCs w:val="32"/>
        </w:rPr>
        <w:t>附件</w:t>
      </w:r>
      <w:r>
        <w:rPr>
          <w:rFonts w:hint="eastAsia" w:ascii="方正仿宋_GBK" w:eastAsia="方正仿宋_GBK"/>
          <w:sz w:val="32"/>
          <w:szCs w:val="32"/>
          <w:lang w:val="en-US" w:eastAsia="zh-CN"/>
        </w:rPr>
        <w:t>2：</w:t>
      </w:r>
    </w:p>
    <w:p>
      <w:pPr>
        <w:spacing w:line="596" w:lineRule="exact"/>
        <w:jc w:val="center"/>
        <w:rPr>
          <w:rFonts w:eastAsia="方正小标宋_GBK"/>
          <w:sz w:val="44"/>
          <w:szCs w:val="32"/>
        </w:rPr>
      </w:pPr>
      <w:r>
        <w:rPr>
          <w:rFonts w:hint="eastAsia" w:eastAsia="方正小标宋_GBK"/>
          <w:sz w:val="44"/>
          <w:szCs w:val="32"/>
        </w:rPr>
        <w:t>璧山</w:t>
      </w:r>
      <w:r>
        <w:rPr>
          <w:rFonts w:eastAsia="方正小标宋_GBK"/>
          <w:sz w:val="44"/>
          <w:szCs w:val="32"/>
        </w:rPr>
        <w:t>区</w:t>
      </w:r>
      <w:r>
        <w:rPr>
          <w:rFonts w:hint="eastAsia" w:eastAsia="方正小标宋_GBK"/>
          <w:sz w:val="44"/>
          <w:szCs w:val="32"/>
        </w:rPr>
        <w:t>璧山区卫生健康委员会</w:t>
      </w:r>
    </w:p>
    <w:p>
      <w:pPr>
        <w:pStyle w:val="11"/>
        <w:spacing w:line="596" w:lineRule="exact"/>
        <w:ind w:left="359" w:leftChars="171" w:firstLine="1100" w:firstLineChars="250"/>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600" w:lineRule="exact"/>
        <w:ind w:firstLine="643" w:firstLineChars="200"/>
        <w:rPr>
          <w:rFonts w:ascii="方正仿宋_GBK" w:eastAsia="方正仿宋_GBK"/>
          <w:b/>
          <w:sz w:val="32"/>
          <w:szCs w:val="32"/>
        </w:rPr>
      </w:pPr>
      <w:r>
        <w:rPr>
          <w:rFonts w:hint="eastAsia" w:ascii="方正仿宋_GBK" w:eastAsia="方正仿宋_GBK"/>
          <w:b/>
          <w:sz w:val="32"/>
          <w:szCs w:val="32"/>
        </w:rPr>
        <w:t>（一）职能职责。</w:t>
      </w:r>
      <w:bookmarkStart w:id="0" w:name="_GoBack"/>
      <w:bookmarkEnd w:id="0"/>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1．贯彻落实国民健康的法律、法规、方针和政策，落实卫生健康事业发展地方性标准和技术规范，统筹规划全区卫生健康服务资源配置，编制和实施全区卫生健康规划。制定并组织实施推进全区卫生健康基本公共服务均等化、普惠化、便捷化和公共资源向基层延伸等政策措施。</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2．协调推进全区深化医药卫生体制改革，组织深化公立医院综合改革，推进管办分离，健全现代医院管理制度，制定并组织实施推动全区卫生健康公共服务提供主体多元化、提供方式多样化的政策措施，提出医疗服务和药品价格政策的建议。</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3．制定并组织落实全区疾病预防控制规划、免疫规划以及严重危害人民健康的公共卫生问题的干预措施，根据国家检疫传染病和监测传染病目录开展相关工作。</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4．组织拟订并协调落实应对人口老龄化政策措施，负责推进全区老年健康服务体系建设和医养结合工作。承担重庆市璧山区老龄工作委员会的日常工作。</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5．落实国家药物政策和国家基本药物制度，开展药品使用监测、临床综合评价和短缺药品预警，执行国家基本药物目录。</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6．负责职责范围内的职业卫生、放射卫生、环境卫生、学校卫生、公共场所卫生、饮用水卫生等公共卫生的监督管理，负责传染病防治监督，健全全区卫生健康综合监督体系。</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7．制定全区医疗机构、医疗服务行业管理办法并监督实施，建立医疗服务评价和监督管理体系。</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8．负责计划生育管理和服务工作，开展人口监测预警，研究提出人口与家庭发展相关政策建议，落实计划生育政策。</w:t>
      </w:r>
    </w:p>
    <w:p>
      <w:pPr>
        <w:spacing w:line="594" w:lineRule="exact"/>
        <w:ind w:firstLine="600" w:firstLineChars="200"/>
        <w:rPr>
          <w:rFonts w:ascii="方正仿宋_GBK" w:eastAsia="方正仿宋_GBK"/>
          <w:color w:val="000000"/>
          <w:sz w:val="30"/>
          <w:szCs w:val="30"/>
        </w:rPr>
      </w:pPr>
      <w:r>
        <w:rPr>
          <w:rFonts w:hint="eastAsia" w:ascii="方正仿宋_GBK" w:eastAsia="方正仿宋_GBK"/>
          <w:sz w:val="30"/>
          <w:szCs w:val="30"/>
        </w:rPr>
        <w:t>9．负责机关、系统和行业社会组织党建工作。指导全区医疗机构卫生健康工作，组织实施基层医疗卫生、妇幼健康服务体系和全科医生队伍建设，推进卫生健康科技创新发展，承担健康扶贫工程相关工作。</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10．负责区级保健对象和高层次人才的医疗保健工作；</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11．拟订全区中医药中长期发展规划，并纳入全区卫生健康事业发展总体规划和战略目标。</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12．承担重庆市璧山区爱国卫生运动委员会的日常工作。</w:t>
      </w:r>
    </w:p>
    <w:p>
      <w:pPr>
        <w:spacing w:line="594" w:lineRule="exact"/>
        <w:ind w:firstLine="576" w:firstLineChars="200"/>
        <w:rPr>
          <w:rFonts w:ascii="方正仿宋_GBK" w:eastAsia="方正仿宋_GBK"/>
          <w:spacing w:val="-6"/>
          <w:sz w:val="30"/>
          <w:szCs w:val="30"/>
        </w:rPr>
      </w:pPr>
      <w:r>
        <w:rPr>
          <w:rFonts w:hint="eastAsia" w:ascii="方正仿宋_GBK" w:eastAsia="方正仿宋_GBK"/>
          <w:spacing w:val="-6"/>
          <w:sz w:val="30"/>
          <w:szCs w:val="30"/>
        </w:rPr>
        <w:t>13</w:t>
      </w:r>
      <w:r>
        <w:rPr>
          <w:rFonts w:hint="eastAsia" w:ascii="方正仿宋_GBK" w:eastAsia="方正仿宋_GBK"/>
          <w:sz w:val="30"/>
          <w:szCs w:val="30"/>
        </w:rPr>
        <w:t>．</w:t>
      </w:r>
      <w:r>
        <w:rPr>
          <w:rFonts w:hint="eastAsia" w:ascii="方正仿宋_GBK" w:eastAsia="方正仿宋_GBK"/>
          <w:spacing w:val="-6"/>
          <w:sz w:val="30"/>
          <w:szCs w:val="30"/>
        </w:rPr>
        <w:t>负责对重庆市璧山区计划生育协会机关进行业务指导。</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14．完成区委和区政府交办的其他任务。</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15．职能转变。区卫生健康委应当牢固树立大卫生、大健康理念，推动实施健康中国战略重庆实践和璧山实践，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spacing w:line="594" w:lineRule="exact"/>
        <w:ind w:firstLine="643" w:firstLineChars="200"/>
        <w:rPr>
          <w:rFonts w:ascii="方正仿宋_GBK" w:eastAsia="方正仿宋_GBK"/>
          <w:b/>
          <w:sz w:val="32"/>
          <w:szCs w:val="32"/>
        </w:rPr>
      </w:pPr>
      <w:r>
        <w:rPr>
          <w:rFonts w:hint="eastAsia" w:ascii="方正仿宋_GBK" w:eastAsia="方正仿宋_GBK"/>
          <w:b/>
          <w:sz w:val="32"/>
          <w:szCs w:val="32"/>
        </w:rPr>
        <w:t>（二）单位构成。</w:t>
      </w:r>
    </w:p>
    <w:p>
      <w:pPr>
        <w:spacing w:line="594" w:lineRule="exact"/>
        <w:ind w:firstLine="600" w:firstLineChars="200"/>
        <w:rPr>
          <w:rFonts w:ascii="方正仿宋_GBK" w:eastAsia="方正仿宋_GBK"/>
          <w:sz w:val="30"/>
          <w:szCs w:val="30"/>
        </w:rPr>
      </w:pPr>
      <w:r>
        <w:rPr>
          <w:rFonts w:hint="eastAsia" w:ascii="方正仿宋_GBK" w:eastAsia="方正仿宋_GBK"/>
          <w:sz w:val="30"/>
          <w:szCs w:val="30"/>
        </w:rPr>
        <w:t>区卫生健康委属正处级行政单位，一级单位</w:t>
      </w:r>
    </w:p>
    <w:p>
      <w:pPr>
        <w:pStyle w:val="11"/>
        <w:tabs>
          <w:tab w:val="center" w:pos="4153"/>
          <w:tab w:val="left" w:pos="7275"/>
        </w:tabs>
        <w:spacing w:line="600" w:lineRule="exact"/>
        <w:ind w:left="640" w:firstLine="0" w:firstLineChars="0"/>
        <w:jc w:val="left"/>
        <w:rPr>
          <w:rFonts w:ascii="方正仿宋_GBK" w:eastAsia="方正仿宋_GBK"/>
          <w:sz w:val="30"/>
          <w:szCs w:val="30"/>
        </w:rPr>
      </w:pPr>
      <w:r>
        <w:rPr>
          <w:rFonts w:hint="eastAsia" w:ascii="方正仿宋_GBK" w:eastAsia="方正仿宋_GBK"/>
          <w:sz w:val="30"/>
          <w:szCs w:val="30"/>
        </w:rPr>
        <w:t xml:space="preserve"> 机关单位下设科室：</w:t>
      </w:r>
    </w:p>
    <w:p>
      <w:pPr>
        <w:tabs>
          <w:tab w:val="center" w:pos="4153"/>
          <w:tab w:val="left" w:pos="7275"/>
        </w:tabs>
        <w:spacing w:line="600" w:lineRule="exact"/>
        <w:ind w:firstLine="450" w:firstLineChars="150"/>
        <w:jc w:val="left"/>
        <w:rPr>
          <w:rFonts w:ascii="方正仿宋_GBK" w:eastAsia="方正仿宋_GBK"/>
          <w:kern w:val="0"/>
          <w:sz w:val="30"/>
          <w:szCs w:val="30"/>
        </w:rPr>
      </w:pPr>
      <w:r>
        <w:rPr>
          <w:rFonts w:hint="eastAsia" w:ascii="方正仿宋_GBK" w:eastAsia="方正仿宋_GBK"/>
          <w:sz w:val="30"/>
          <w:szCs w:val="30"/>
        </w:rPr>
        <w:t xml:space="preserve"> </w:t>
      </w:r>
      <w:r>
        <w:rPr>
          <w:rFonts w:hint="eastAsia" w:ascii="方正仿宋_GBK" w:eastAsia="方正仿宋_GBK"/>
          <w:bCs/>
          <w:sz w:val="30"/>
          <w:szCs w:val="30"/>
        </w:rPr>
        <w:t>办公室</w:t>
      </w:r>
      <w:r>
        <w:rPr>
          <w:rFonts w:hint="eastAsia" w:ascii="方正仿宋_GBK" w:eastAsia="方正仿宋_GBK"/>
          <w:sz w:val="30"/>
          <w:szCs w:val="30"/>
        </w:rPr>
        <w:t>、</w:t>
      </w:r>
      <w:r>
        <w:rPr>
          <w:rFonts w:hint="eastAsia" w:ascii="方正仿宋_GBK" w:eastAsia="方正仿宋_GBK"/>
          <w:bCs/>
          <w:kern w:val="0"/>
          <w:sz w:val="30"/>
          <w:szCs w:val="30"/>
        </w:rPr>
        <w:t>组织人事科、</w:t>
      </w:r>
      <w:r>
        <w:rPr>
          <w:rFonts w:hint="eastAsia" w:ascii="方正仿宋_GBK" w:eastAsia="方正仿宋_GBK"/>
          <w:sz w:val="30"/>
          <w:szCs w:val="30"/>
        </w:rPr>
        <w:t>宣教科、</w:t>
      </w:r>
      <w:r>
        <w:rPr>
          <w:rFonts w:hint="eastAsia" w:ascii="方正仿宋_GBK" w:eastAsia="方正仿宋_GBK"/>
          <w:bCs/>
          <w:kern w:val="0"/>
          <w:sz w:val="30"/>
          <w:szCs w:val="30"/>
        </w:rPr>
        <w:t>规划发展与信息科、</w:t>
      </w:r>
      <w:r>
        <w:rPr>
          <w:rFonts w:hint="eastAsia" w:ascii="方正仿宋_GBK" w:eastAsia="方正仿宋_GBK"/>
          <w:kern w:val="0"/>
          <w:sz w:val="30"/>
          <w:szCs w:val="30"/>
        </w:rPr>
        <w:t>财务审计科、</w:t>
      </w:r>
      <w:r>
        <w:rPr>
          <w:rFonts w:hint="eastAsia" w:ascii="方正仿宋_GBK" w:eastAsia="方正仿宋_GBK"/>
          <w:bCs/>
          <w:sz w:val="30"/>
          <w:szCs w:val="30"/>
        </w:rPr>
        <w:t>医政医管科</w:t>
      </w:r>
      <w:r>
        <w:rPr>
          <w:rFonts w:hint="eastAsia" w:ascii="方正仿宋_GBK" w:eastAsia="方正仿宋_GBK"/>
          <w:kern w:val="0"/>
          <w:sz w:val="30"/>
          <w:szCs w:val="30"/>
        </w:rPr>
        <w:t>（卫生应急办公室）、</w:t>
      </w:r>
      <w:r>
        <w:rPr>
          <w:rFonts w:hint="eastAsia" w:ascii="方正仿宋_GBK" w:eastAsia="方正仿宋_GBK"/>
          <w:sz w:val="30"/>
          <w:szCs w:val="30"/>
        </w:rPr>
        <w:t>中医科、</w:t>
      </w:r>
      <w:r>
        <w:rPr>
          <w:rFonts w:hint="eastAsia" w:ascii="方正仿宋_GBK" w:eastAsia="方正仿宋_GBK"/>
          <w:bCs/>
          <w:kern w:val="0"/>
          <w:sz w:val="30"/>
          <w:szCs w:val="30"/>
        </w:rPr>
        <w:t>妇幼健康科、</w:t>
      </w:r>
      <w:r>
        <w:rPr>
          <w:rFonts w:hint="eastAsia" w:ascii="方正仿宋_GBK" w:eastAsia="方正仿宋_GBK"/>
          <w:kern w:val="0"/>
          <w:sz w:val="30"/>
          <w:szCs w:val="30"/>
        </w:rPr>
        <w:t>公共卫生科</w:t>
      </w:r>
      <w:r>
        <w:rPr>
          <w:rFonts w:hint="eastAsia" w:ascii="方正仿宋_GBK" w:eastAsia="方正仿宋_GBK"/>
          <w:bCs/>
          <w:kern w:val="0"/>
          <w:sz w:val="30"/>
          <w:szCs w:val="30"/>
        </w:rPr>
        <w:t>、爱国卫生与健康促进科、行政审批科、法规与监督科、</w:t>
      </w:r>
      <w:r>
        <w:rPr>
          <w:rFonts w:hint="eastAsia" w:ascii="方正仿宋_GBK" w:eastAsia="方正仿宋_GBK"/>
          <w:sz w:val="30"/>
          <w:szCs w:val="30"/>
        </w:rPr>
        <w:t>人口老龄与家庭发展科。</w:t>
      </w:r>
    </w:p>
    <w:p>
      <w:pPr>
        <w:pStyle w:val="11"/>
        <w:tabs>
          <w:tab w:val="left" w:pos="584"/>
        </w:tabs>
        <w:spacing w:line="600" w:lineRule="exact"/>
        <w:ind w:firstLine="0" w:firstLineChars="0"/>
        <w:jc w:val="left"/>
        <w:rPr>
          <w:rFonts w:ascii="方正仿宋_GBK" w:eastAsia="方正仿宋_GBK"/>
          <w:sz w:val="30"/>
          <w:szCs w:val="30"/>
        </w:rPr>
      </w:pPr>
      <w:r>
        <w:rPr>
          <w:rFonts w:hint="eastAsia" w:ascii="方正仿宋_GBK" w:eastAsia="方正仿宋_GBK"/>
          <w:sz w:val="30"/>
          <w:szCs w:val="30"/>
        </w:rPr>
        <w:tab/>
      </w:r>
      <w:r>
        <w:rPr>
          <w:rFonts w:hint="eastAsia" w:ascii="方正仿宋_GBK" w:eastAsia="方正仿宋_GBK"/>
          <w:sz w:val="30"/>
          <w:szCs w:val="30"/>
        </w:rPr>
        <w:t>人员编制情况：</w:t>
      </w:r>
    </w:p>
    <w:p>
      <w:pPr>
        <w:pStyle w:val="11"/>
        <w:tabs>
          <w:tab w:val="left" w:pos="900"/>
        </w:tabs>
        <w:spacing w:line="600" w:lineRule="exact"/>
        <w:ind w:firstLine="0" w:firstLineChars="0"/>
        <w:jc w:val="left"/>
        <w:rPr>
          <w:rFonts w:ascii="方正仿宋_GBK" w:eastAsia="方正仿宋_GBK"/>
          <w:sz w:val="30"/>
          <w:szCs w:val="30"/>
        </w:rPr>
      </w:pPr>
      <w:r>
        <w:rPr>
          <w:rFonts w:hint="eastAsia" w:ascii="方正仿宋_GBK" w:eastAsia="方正仿宋_GBK"/>
          <w:sz w:val="30"/>
          <w:szCs w:val="30"/>
        </w:rPr>
        <w:t xml:space="preserve">    重庆市璧山区卫生健康委员会人员编制，行政编制27个，工勤3个，离休人员3个，退休人员31人。</w:t>
      </w:r>
    </w:p>
    <w:p>
      <w:pPr>
        <w:pStyle w:val="11"/>
        <w:tabs>
          <w:tab w:val="center" w:pos="4153"/>
          <w:tab w:val="left" w:pos="7275"/>
        </w:tabs>
        <w:spacing w:line="600" w:lineRule="exact"/>
        <w:ind w:firstLine="600"/>
        <w:jc w:val="left"/>
        <w:rPr>
          <w:rFonts w:ascii="方正仿宋_GBK" w:eastAsia="方正仿宋_GBK"/>
          <w:bCs/>
          <w:sz w:val="30"/>
          <w:szCs w:val="30"/>
        </w:rPr>
      </w:pPr>
      <w:r>
        <w:rPr>
          <w:rFonts w:hint="eastAsia" w:ascii="方正仿宋_GBK" w:eastAsia="方正仿宋_GBK"/>
          <w:bCs/>
          <w:sz w:val="30"/>
          <w:szCs w:val="30"/>
        </w:rPr>
        <w:t>区卫生健康委下属单位有：</w:t>
      </w:r>
    </w:p>
    <w:p>
      <w:pPr>
        <w:pStyle w:val="11"/>
        <w:tabs>
          <w:tab w:val="center" w:pos="4153"/>
          <w:tab w:val="left" w:pos="7275"/>
        </w:tabs>
        <w:spacing w:line="600" w:lineRule="exact"/>
        <w:ind w:firstLine="600"/>
        <w:jc w:val="left"/>
        <w:rPr>
          <w:rFonts w:ascii="方正仿宋_GBK" w:eastAsia="方正仿宋_GBK"/>
          <w:bCs/>
          <w:sz w:val="30"/>
          <w:szCs w:val="30"/>
        </w:rPr>
      </w:pPr>
      <w:r>
        <w:rPr>
          <w:rFonts w:hint="eastAsia" w:ascii="方正仿宋_GBK" w:eastAsia="方正仿宋_GBK"/>
          <w:bCs/>
          <w:sz w:val="30"/>
          <w:szCs w:val="30"/>
        </w:rPr>
        <w:t>重庆市璧山区疾病预防控制中心、重庆市璧山区卫生健康综合行政执法支队、重庆市璧山区人民医院、重庆市璧山区中医院、重庆市璧山区妇幼保健院、重庆市璧山区第二人民医院、15个镇街社区卫生服务（中心）卫生院、医疗卫生事务中心等22个事业单位由区卫生健康委管理。</w:t>
      </w:r>
    </w:p>
    <w:p>
      <w:pPr>
        <w:spacing w:line="596" w:lineRule="exact"/>
        <w:ind w:firstLine="643" w:firstLineChars="200"/>
        <w:rPr>
          <w:rFonts w:ascii="方正仿宋_GBK" w:eastAsia="方正仿宋_GBK"/>
          <w:b/>
          <w:sz w:val="32"/>
          <w:szCs w:val="32"/>
        </w:rPr>
      </w:pPr>
      <w:r>
        <w:rPr>
          <w:rFonts w:hint="eastAsia" w:ascii="方正仿宋_GBK" w:eastAsia="方正仿宋_GBK"/>
          <w:b/>
          <w:sz w:val="32"/>
          <w:szCs w:val="32"/>
        </w:rPr>
        <w:t>（二）预算及支出情况。</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1、年初预算收入情况：2022年年初预算数</w:t>
      </w:r>
      <w:r>
        <w:rPr>
          <w:rFonts w:ascii="方正仿宋_GBK" w:eastAsia="方正仿宋_GBK"/>
          <w:sz w:val="30"/>
          <w:szCs w:val="30"/>
        </w:rPr>
        <w:t>7644</w:t>
      </w:r>
      <w:r>
        <w:rPr>
          <w:rFonts w:hint="eastAsia" w:ascii="方正仿宋_GBK" w:eastAsia="方正仿宋_GBK"/>
          <w:sz w:val="30"/>
          <w:szCs w:val="30"/>
        </w:rPr>
        <w:t>.</w:t>
      </w:r>
      <w:r>
        <w:rPr>
          <w:rFonts w:ascii="方正仿宋_GBK" w:eastAsia="方正仿宋_GBK"/>
          <w:sz w:val="30"/>
          <w:szCs w:val="30"/>
        </w:rPr>
        <w:t>24</w:t>
      </w:r>
      <w:r>
        <w:rPr>
          <w:rFonts w:hint="eastAsia" w:ascii="方正仿宋_GBK" w:eastAsia="方正仿宋_GBK"/>
          <w:sz w:val="30"/>
          <w:szCs w:val="30"/>
        </w:rPr>
        <w:t>万元，其中：一般公共预算拨款</w:t>
      </w:r>
      <w:r>
        <w:rPr>
          <w:rFonts w:ascii="方正仿宋_GBK" w:eastAsia="方正仿宋_GBK"/>
          <w:sz w:val="30"/>
          <w:szCs w:val="30"/>
        </w:rPr>
        <w:t>7644</w:t>
      </w:r>
      <w:r>
        <w:rPr>
          <w:rFonts w:hint="eastAsia" w:ascii="方正仿宋_GBK" w:eastAsia="方正仿宋_GBK"/>
          <w:sz w:val="30"/>
          <w:szCs w:val="30"/>
        </w:rPr>
        <w:t>.</w:t>
      </w:r>
      <w:r>
        <w:rPr>
          <w:rFonts w:ascii="方正仿宋_GBK" w:eastAsia="方正仿宋_GBK"/>
          <w:sz w:val="30"/>
          <w:szCs w:val="30"/>
        </w:rPr>
        <w:t>24</w:t>
      </w:r>
      <w:r>
        <w:rPr>
          <w:rFonts w:hint="eastAsia" w:ascii="方正仿宋_GBK" w:eastAsia="方正仿宋_GBK"/>
          <w:sz w:val="30"/>
          <w:szCs w:val="30"/>
        </w:rPr>
        <w:t>万元（部门决算），其中年初项目预算：6931.34万元。2022年实际调整后总预算资金数</w:t>
      </w:r>
      <w:r>
        <w:rPr>
          <w:rFonts w:ascii="方正仿宋_GBK" w:eastAsia="方正仿宋_GBK"/>
          <w:sz w:val="30"/>
          <w:szCs w:val="30"/>
        </w:rPr>
        <w:t>9</w:t>
      </w:r>
      <w:r>
        <w:rPr>
          <w:rFonts w:hint="eastAsia" w:ascii="方正仿宋_GBK" w:eastAsia="方正仿宋_GBK"/>
          <w:sz w:val="30"/>
          <w:szCs w:val="30"/>
        </w:rPr>
        <w:t>536.27万元，其中项目资金数为8547.5万元（按照专项资金情况表填报）。</w:t>
      </w:r>
    </w:p>
    <w:p>
      <w:pPr>
        <w:spacing w:line="596" w:lineRule="exact"/>
        <w:ind w:firstLine="602" w:firstLineChars="200"/>
        <w:rPr>
          <w:rFonts w:ascii="方正仿宋_GBK" w:eastAsia="方正仿宋_GBK"/>
          <w:sz w:val="30"/>
          <w:szCs w:val="30"/>
        </w:rPr>
      </w:pPr>
      <w:r>
        <w:rPr>
          <w:rFonts w:hint="eastAsia" w:ascii="方正仿宋_GBK" w:eastAsia="方正仿宋_GBK"/>
          <w:b/>
          <w:sz w:val="30"/>
          <w:szCs w:val="30"/>
        </w:rPr>
        <w:t>（二）支出预算</w:t>
      </w:r>
      <w:r>
        <w:rPr>
          <w:rFonts w:hint="eastAsia" w:ascii="方正仿宋_GBK" w:eastAsia="方正仿宋_GBK"/>
          <w:sz w:val="30"/>
          <w:szCs w:val="30"/>
        </w:rPr>
        <w:t>：2022年年末决算数</w:t>
      </w:r>
      <w:r>
        <w:rPr>
          <w:rFonts w:ascii="方正仿宋_GBK" w:eastAsia="方正仿宋_GBK"/>
          <w:sz w:val="30"/>
          <w:szCs w:val="30"/>
        </w:rPr>
        <w:t>9496</w:t>
      </w:r>
      <w:r>
        <w:rPr>
          <w:rFonts w:hint="eastAsia" w:ascii="方正仿宋_GBK" w:eastAsia="方正仿宋_GBK"/>
          <w:sz w:val="30"/>
          <w:szCs w:val="30"/>
        </w:rPr>
        <w:t>.</w:t>
      </w:r>
      <w:r>
        <w:rPr>
          <w:rFonts w:ascii="方正仿宋_GBK" w:eastAsia="方正仿宋_GBK"/>
          <w:sz w:val="30"/>
          <w:szCs w:val="30"/>
        </w:rPr>
        <w:t>47</w:t>
      </w:r>
      <w:r>
        <w:rPr>
          <w:rFonts w:hint="eastAsia" w:ascii="方正仿宋_GBK" w:eastAsia="方正仿宋_GBK"/>
          <w:sz w:val="30"/>
          <w:szCs w:val="30"/>
        </w:rPr>
        <w:t>万元（部门决算），其中：一般公共预算财政拨款</w:t>
      </w:r>
      <w:r>
        <w:rPr>
          <w:rFonts w:ascii="方正仿宋_GBK" w:eastAsia="方正仿宋_GBK"/>
          <w:sz w:val="30"/>
          <w:szCs w:val="30"/>
        </w:rPr>
        <w:t>9496</w:t>
      </w:r>
      <w:r>
        <w:rPr>
          <w:rFonts w:hint="eastAsia" w:ascii="方正仿宋_GBK" w:eastAsia="方正仿宋_GBK"/>
          <w:sz w:val="30"/>
          <w:szCs w:val="30"/>
        </w:rPr>
        <w:t>.</w:t>
      </w:r>
      <w:r>
        <w:rPr>
          <w:rFonts w:ascii="方正仿宋_GBK" w:eastAsia="方正仿宋_GBK"/>
          <w:sz w:val="30"/>
          <w:szCs w:val="30"/>
        </w:rPr>
        <w:t>47</w:t>
      </w:r>
      <w:r>
        <w:rPr>
          <w:rFonts w:hint="eastAsia" w:ascii="方正仿宋_GBK" w:eastAsia="方正仿宋_GBK"/>
          <w:sz w:val="30"/>
          <w:szCs w:val="30"/>
        </w:rPr>
        <w:t>万元，其中项目全年预算8547.5万元，全年执行预算</w:t>
      </w:r>
      <w:r>
        <w:rPr>
          <w:rFonts w:ascii="方正仿宋_GBK" w:eastAsia="方正仿宋_GBK"/>
          <w:sz w:val="30"/>
          <w:szCs w:val="30"/>
        </w:rPr>
        <w:t>9496</w:t>
      </w:r>
      <w:r>
        <w:rPr>
          <w:rFonts w:hint="eastAsia" w:ascii="方正仿宋_GBK" w:eastAsia="方正仿宋_GBK"/>
          <w:sz w:val="30"/>
          <w:szCs w:val="30"/>
        </w:rPr>
        <w:t>.</w:t>
      </w:r>
      <w:r>
        <w:rPr>
          <w:rFonts w:ascii="方正仿宋_GBK" w:eastAsia="方正仿宋_GBK"/>
          <w:sz w:val="30"/>
          <w:szCs w:val="30"/>
        </w:rPr>
        <w:t>47</w:t>
      </w:r>
      <w:r>
        <w:rPr>
          <w:rFonts w:hint="eastAsia" w:ascii="方正仿宋_GBK" w:eastAsia="方正仿宋_GBK"/>
          <w:sz w:val="30"/>
          <w:szCs w:val="30"/>
        </w:rPr>
        <w:t>万元，已预算项目支出主要用于一般行政管理事务的宣传活动费，以及每年的宣传等；网络服务费主要是保障卫生系统各项网络每年运维服务、网络系统畅通等；基层医疗单位医疗废物处置费主要是对各基层医疗单位医疗废物集中处置销毁、卫生区复审主要是保障我区卫生城市创建等项目；乡镇卫生院的医疗设施设备和房屋维修建设经费；农村改厕项目经费、基本公共卫生服务；计划生育奖扶特扶；计生参保等重点工作以及贫困建卡户医疗报销兜底经费等。</w:t>
      </w:r>
    </w:p>
    <w:p>
      <w:pPr>
        <w:spacing w:line="596" w:lineRule="exact"/>
        <w:ind w:firstLine="643" w:firstLineChars="200"/>
        <w:rPr>
          <w:rFonts w:ascii="方正仿宋_GBK" w:eastAsia="方正仿宋_GBK"/>
          <w:b/>
          <w:sz w:val="32"/>
          <w:szCs w:val="32"/>
        </w:rPr>
      </w:pPr>
      <w:r>
        <w:rPr>
          <w:rFonts w:hint="eastAsia" w:ascii="方正仿宋_GBK" w:eastAsia="方正仿宋_GBK"/>
          <w:b/>
          <w:sz w:val="32"/>
          <w:szCs w:val="32"/>
        </w:rPr>
        <w:t>二、绩效评价基本情况</w:t>
      </w:r>
    </w:p>
    <w:p>
      <w:pPr>
        <w:spacing w:line="596" w:lineRule="exact"/>
        <w:ind w:firstLine="643" w:firstLineChars="200"/>
        <w:rPr>
          <w:rFonts w:ascii="方正仿宋_GBK" w:eastAsia="方正仿宋_GBK"/>
          <w:b/>
          <w:sz w:val="32"/>
          <w:szCs w:val="32"/>
        </w:rPr>
      </w:pPr>
      <w:r>
        <w:rPr>
          <w:rFonts w:hint="eastAsia" w:ascii="方正仿宋_GBK" w:eastAsia="方正仿宋_GBK"/>
          <w:b/>
          <w:sz w:val="32"/>
          <w:szCs w:val="32"/>
        </w:rPr>
        <w:t>（一）绩效评价目的</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绩效评价的目的：</w:t>
      </w:r>
      <w:r>
        <w:rPr>
          <w:rFonts w:hint="eastAsia" w:ascii="方正仿宋_GBK" w:eastAsia="方正仿宋_GBK" w:cs="Arial" w:hAnsiTheme="majorEastAsia"/>
          <w:color w:val="333333"/>
          <w:sz w:val="30"/>
          <w:szCs w:val="30"/>
          <w:shd w:val="clear" w:color="auto" w:fill="FFFFFF"/>
        </w:rPr>
        <w:t>是改善职工的工作表现，以达到提高职工的满意程度和未来的成就感。为加强和提升职工绩效和提高职工的工作积极性，制定相应的考核制度。</w:t>
      </w:r>
      <w:r>
        <w:rPr>
          <w:rFonts w:hint="eastAsia" w:ascii="方正仿宋_GBK" w:eastAsia="方正仿宋_GBK"/>
          <w:sz w:val="30"/>
          <w:szCs w:val="30"/>
        </w:rPr>
        <w:t>加强预算绩效管理，强化支出责任，建立科学合理的财政支出绩效评价管理体系，提高财政资金使用效益，</w:t>
      </w:r>
      <w:r>
        <w:rPr>
          <w:rFonts w:hint="eastAsia" w:ascii="方正仿宋_GBK" w:eastAsia="方正仿宋_GBK" w:cs="Arial" w:hAnsiTheme="majorEastAsia"/>
          <w:color w:val="333333"/>
          <w:sz w:val="30"/>
          <w:szCs w:val="30"/>
          <w:shd w:val="clear" w:color="auto" w:fill="FFFFFF"/>
        </w:rPr>
        <w:t>后期效果等可持续性，群众满意度评价。</w:t>
      </w:r>
    </w:p>
    <w:p>
      <w:pPr>
        <w:spacing w:line="596" w:lineRule="exact"/>
        <w:ind w:firstLine="482" w:firstLineChars="150"/>
        <w:rPr>
          <w:rFonts w:ascii="方正仿宋_GBK" w:eastAsia="方正仿宋_GBK"/>
          <w:b/>
          <w:sz w:val="32"/>
          <w:szCs w:val="32"/>
        </w:rPr>
      </w:pPr>
      <w:r>
        <w:rPr>
          <w:rFonts w:hint="eastAsia" w:ascii="方正仿宋_GBK" w:eastAsia="方正仿宋_GBK"/>
          <w:b/>
          <w:sz w:val="32"/>
          <w:szCs w:val="32"/>
        </w:rPr>
        <w:t>（二）绩效评价原则</w:t>
      </w:r>
    </w:p>
    <w:p>
      <w:pPr>
        <w:spacing w:line="596" w:lineRule="exact"/>
        <w:ind w:firstLine="600" w:firstLineChars="200"/>
        <w:rPr>
          <w:rFonts w:ascii="方正仿宋_GBK" w:eastAsia="方正仿宋_GBK"/>
          <w:bCs/>
          <w:sz w:val="30"/>
          <w:szCs w:val="30"/>
        </w:rPr>
      </w:pPr>
      <w:r>
        <w:rPr>
          <w:rFonts w:hint="eastAsia" w:ascii="方正仿宋_GBK" w:eastAsia="方正仿宋_GBK"/>
          <w:bCs/>
          <w:sz w:val="30"/>
          <w:szCs w:val="30"/>
        </w:rPr>
        <w:t>科学规范原则：包含经济性、双效性和有效性，主要从宏观效益与微观效益，近期与远期、直接与间接等角度考察分析专项资金的运行过程和执行结果，注重资金投向的合理性评价和对资金拨付的及时性、准确性、安全性的评判，全面衡量资金支出的管理水平和使用效益。对项目的所有资料数据等情况必须真实、可靠，经得起任何检验，对绩效评价反应资金的执行情况等过程能准确全面地明确指标体系。</w:t>
      </w:r>
    </w:p>
    <w:p>
      <w:pPr>
        <w:spacing w:line="596" w:lineRule="exact"/>
        <w:ind w:firstLine="450" w:firstLineChars="150"/>
        <w:rPr>
          <w:rFonts w:ascii="方正仿宋_GBK" w:eastAsia="方正仿宋_GBK"/>
          <w:bCs/>
          <w:sz w:val="30"/>
          <w:szCs w:val="30"/>
        </w:rPr>
      </w:pPr>
      <w:r>
        <w:rPr>
          <w:rFonts w:hint="eastAsia" w:ascii="方正仿宋_GBK" w:eastAsia="方正仿宋_GBK"/>
          <w:bCs/>
          <w:sz w:val="30"/>
          <w:szCs w:val="30"/>
        </w:rPr>
        <w:t>公开公正原则：公平性，通过财政补助产生的不同受益对象的分配达到公平状态，能够较好满足众多受益对象的需求。对统一岗位职工方面使用相同的考评标准。真实性，保障财政资金支出效益公正，客观评价的基础。项目支出后绩效资料数据等必须真实，如资料等虚假那绩效评价出来的效益结果就不正确，所以必须进行相关核查。</w:t>
      </w:r>
    </w:p>
    <w:p>
      <w:pPr>
        <w:spacing w:line="596" w:lineRule="exact"/>
        <w:ind w:firstLine="450" w:firstLineChars="150"/>
        <w:rPr>
          <w:rFonts w:ascii="方正仿宋_GBK" w:eastAsia="方正仿宋_GBK"/>
          <w:bCs/>
          <w:sz w:val="30"/>
          <w:szCs w:val="30"/>
        </w:rPr>
      </w:pPr>
      <w:r>
        <w:rPr>
          <w:rFonts w:hint="eastAsia" w:ascii="方正仿宋_GBK" w:eastAsia="方正仿宋_GBK"/>
          <w:bCs/>
          <w:sz w:val="30"/>
          <w:szCs w:val="30"/>
        </w:rPr>
        <w:t>分级分类原则：要求根据评价对象特点分类组织实施。</w:t>
      </w:r>
    </w:p>
    <w:p>
      <w:pPr>
        <w:spacing w:line="596" w:lineRule="exact"/>
        <w:ind w:firstLine="450" w:firstLineChars="150"/>
        <w:rPr>
          <w:rFonts w:ascii="方正仿宋_GBK" w:eastAsia="方正仿宋_GBK"/>
          <w:bCs/>
          <w:sz w:val="30"/>
          <w:szCs w:val="30"/>
        </w:rPr>
      </w:pPr>
      <w:r>
        <w:rPr>
          <w:rFonts w:hint="eastAsia" w:ascii="方正仿宋_GBK" w:eastAsia="方正仿宋_GBK"/>
          <w:bCs/>
          <w:sz w:val="30"/>
          <w:szCs w:val="30"/>
        </w:rPr>
        <w:t>绩效相关原则：要求支出与其产出之间有紧密相关关系，然后评价结果应客观公正，并接受社会公开监督</w:t>
      </w:r>
    </w:p>
    <w:p>
      <w:pPr>
        <w:spacing w:line="596" w:lineRule="exact"/>
        <w:ind w:firstLine="643" w:firstLineChars="200"/>
        <w:rPr>
          <w:rFonts w:ascii="方正仿宋_GBK" w:eastAsia="方正仿宋_GBK"/>
          <w:b/>
          <w:sz w:val="32"/>
          <w:szCs w:val="32"/>
        </w:rPr>
      </w:pPr>
      <w:r>
        <w:rPr>
          <w:rFonts w:hint="eastAsia" w:ascii="方正仿宋_GBK" w:eastAsia="方正仿宋_GBK"/>
          <w:b/>
          <w:sz w:val="32"/>
          <w:szCs w:val="32"/>
        </w:rPr>
        <w:t>（三）绩效评价工作过程</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2022年3月15日，成立璧山区卫生健康委员会财政支出项目绩效评价工作组，负责绩效自评工作，工作组的主要成员及职责如下：</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1.工作组成员</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组  长：何威良</w:t>
      </w:r>
      <w:r>
        <w:rPr>
          <w:rFonts w:ascii="方正仿宋_GBK" w:eastAsia="方正仿宋_GBK"/>
          <w:sz w:val="30"/>
          <w:szCs w:val="30"/>
        </w:rPr>
        <w:t xml:space="preserve"> </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成  员：薛承刚、陶时雍、马廷勇、王秀英、罗华利、陈欣、王莉萍、李晶、古渝立、于亚飞、陈冬梅、贾冬兵、侯巧娇</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办公室设在财务审计科。</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2.工作职责</w:t>
      </w:r>
    </w:p>
    <w:p>
      <w:pPr>
        <w:spacing w:line="596" w:lineRule="exact"/>
        <w:ind w:firstLine="600" w:firstLineChars="200"/>
        <w:rPr>
          <w:rFonts w:ascii="方正仿宋_GBK" w:eastAsia="方正仿宋_GBK"/>
          <w:sz w:val="30"/>
          <w:szCs w:val="30"/>
        </w:rPr>
      </w:pPr>
      <w:r>
        <w:rPr>
          <w:rFonts w:hint="eastAsia" w:ascii="方正仿宋_GBK" w:hAnsi="宋体" w:eastAsia="方正仿宋_GBK" w:cs="宋体"/>
          <w:sz w:val="30"/>
          <w:szCs w:val="30"/>
        </w:rPr>
        <w:t>⑴</w:t>
      </w:r>
      <w:r>
        <w:rPr>
          <w:rFonts w:hint="eastAsia" w:ascii="方正仿宋_GBK" w:eastAsia="方正仿宋_GBK"/>
          <w:sz w:val="30"/>
          <w:szCs w:val="30"/>
        </w:rPr>
        <w:t xml:space="preserve"> 组长职责：审批绩效自评方案，监督、检查核实绩效自评结果；审核修改拟定的绩效自评方案，并提交考评工作组会议讨论通过；监督、部署、确认绩效自评过程及反馈意见的处理。</w:t>
      </w:r>
    </w:p>
    <w:p>
      <w:pPr>
        <w:spacing w:line="596" w:lineRule="exact"/>
        <w:ind w:firstLine="600" w:firstLineChars="200"/>
        <w:rPr>
          <w:rFonts w:ascii="方正仿宋_GBK" w:eastAsia="方正仿宋_GBK"/>
          <w:sz w:val="30"/>
          <w:szCs w:val="30"/>
        </w:rPr>
      </w:pPr>
      <w:r>
        <w:rPr>
          <w:rFonts w:hint="eastAsia" w:ascii="方正仿宋_GBK" w:hAnsi="宋体" w:eastAsia="方正仿宋_GBK" w:cs="宋体"/>
          <w:sz w:val="30"/>
          <w:szCs w:val="30"/>
        </w:rPr>
        <w:t>⑶</w:t>
      </w:r>
      <w:r>
        <w:rPr>
          <w:rFonts w:hint="eastAsia" w:ascii="方正仿宋_GBK" w:eastAsia="方正仿宋_GBK"/>
          <w:sz w:val="30"/>
          <w:szCs w:val="30"/>
        </w:rPr>
        <w:t xml:space="preserve"> 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2022年3月15日，考评工作分项目开展自评检查工作，对项目整体实施情况和质量进行评定，核实资金拨付情况和工作完成情况等。</w:t>
      </w:r>
    </w:p>
    <w:p>
      <w:pPr>
        <w:spacing w:line="596" w:lineRule="exact"/>
        <w:ind w:firstLine="643" w:firstLineChars="200"/>
        <w:rPr>
          <w:rFonts w:ascii="方正仿宋_GBK" w:eastAsia="方正仿宋_GBK"/>
          <w:b/>
          <w:sz w:val="32"/>
          <w:szCs w:val="32"/>
        </w:rPr>
      </w:pPr>
      <w:r>
        <w:rPr>
          <w:rFonts w:hint="eastAsia" w:ascii="方正仿宋_GBK" w:eastAsia="方正仿宋_GBK"/>
          <w:b/>
          <w:sz w:val="32"/>
          <w:szCs w:val="32"/>
        </w:rPr>
        <w:t>三、绩效评价情况及结论</w:t>
      </w:r>
    </w:p>
    <w:p>
      <w:pPr>
        <w:spacing w:line="596" w:lineRule="exact"/>
        <w:ind w:firstLine="602" w:firstLineChars="200"/>
        <w:rPr>
          <w:rFonts w:ascii="方正仿宋_GBK" w:eastAsia="方正仿宋_GBK"/>
          <w:b/>
          <w:sz w:val="30"/>
          <w:szCs w:val="30"/>
        </w:rPr>
      </w:pPr>
      <w:r>
        <w:rPr>
          <w:rFonts w:hint="eastAsia" w:ascii="方正仿宋_GBK" w:eastAsia="方正仿宋_GBK"/>
          <w:b/>
          <w:sz w:val="30"/>
          <w:szCs w:val="30"/>
        </w:rPr>
        <w:t>（一）投入评价情况</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所设立的整体绩效目标依据符合国家法律法规、国民经济和社会发展总体规划；符合部门“三定”方案确定的职责；符合部门制定的中长期实施规划。我单位将部门整体的绩效目标细化分解为具体的工作任务；通过清晰、可衡量的指标值予以体现；与部门年度的任务数或计划数相对应；与本年度部门预算资金相匹配。</w:t>
      </w:r>
    </w:p>
    <w:p>
      <w:pPr>
        <w:spacing w:line="59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（二）过程评价情况</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2022年区财政预算项目资金8547.5万元，分别投入到57个项目(合并后40个项目），投入资金8547.5万元，资金到位率100%。在项目实施过程中，我们采取项目比较分析、随机访谈、随机抽查、问卷调查等方式对项目实施监督，出现问题及时纠正，发现问题及时会同区财政、各镇街协调解决，确保项目顺利开展。</w:t>
      </w:r>
    </w:p>
    <w:p>
      <w:pPr>
        <w:spacing w:line="596" w:lineRule="exact"/>
        <w:ind w:firstLine="602" w:firstLineChars="200"/>
        <w:rPr>
          <w:rFonts w:ascii="方正仿宋_GBK" w:hAnsi="方正楷体_GBK" w:eastAsia="方正仿宋_GBK" w:cs="方正楷体_GBK"/>
          <w:b/>
          <w:sz w:val="30"/>
          <w:szCs w:val="30"/>
        </w:rPr>
      </w:pPr>
      <w:r>
        <w:rPr>
          <w:rFonts w:hint="eastAsia" w:ascii="方正仿宋_GBK" w:hAnsi="方正楷体_GBK" w:eastAsia="方正仿宋_GBK" w:cs="方正楷体_GBK"/>
          <w:b/>
          <w:sz w:val="30"/>
          <w:szCs w:val="30"/>
        </w:rPr>
        <w:t>（三）产出评价情况</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40个项支出项目绩效自评工作均顺利完成，项目公示与验收得到评审领导小组审核通过。</w:t>
      </w:r>
    </w:p>
    <w:p>
      <w:pPr>
        <w:spacing w:line="596" w:lineRule="exact"/>
        <w:ind w:firstLine="602" w:firstLineChars="200"/>
        <w:rPr>
          <w:rFonts w:ascii="方正仿宋_GBK" w:hAnsi="方正楷体_GBK" w:eastAsia="方正仿宋_GBK" w:cs="方正楷体_GBK"/>
          <w:b/>
          <w:sz w:val="30"/>
          <w:szCs w:val="30"/>
        </w:rPr>
      </w:pPr>
      <w:r>
        <w:rPr>
          <w:rFonts w:hint="eastAsia" w:ascii="方正仿宋_GBK" w:hAnsi="方正楷体_GBK" w:eastAsia="方正仿宋_GBK" w:cs="方正楷体_GBK"/>
          <w:b/>
          <w:sz w:val="30"/>
          <w:szCs w:val="30"/>
        </w:rPr>
        <w:t>（四）效益评价情况</w:t>
      </w:r>
    </w:p>
    <w:p>
      <w:pPr>
        <w:pStyle w:val="2"/>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1、社会效益： 40项支出项目投入使用后，解决了机关对工作的大力宣传；保障各项民生政策的落实，特别是解决计生困难家庭后顾之忧，健卡贫困户的医疗报销兜底资金的解决，基本公共卫生服务政策的落实等均得到了有效保障。</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2、社会公众满意度：社会满意度高。</w:t>
      </w:r>
    </w:p>
    <w:p>
      <w:pPr>
        <w:spacing w:line="596" w:lineRule="exact"/>
        <w:ind w:firstLine="602" w:firstLineChars="200"/>
        <w:rPr>
          <w:rFonts w:ascii="方正仿宋_GBK" w:hAnsi="方正楷体_GBK" w:eastAsia="方正仿宋_GBK" w:cs="方正楷体_GBK"/>
          <w:b/>
          <w:sz w:val="30"/>
          <w:szCs w:val="30"/>
        </w:rPr>
      </w:pPr>
      <w:r>
        <w:rPr>
          <w:rFonts w:hint="eastAsia" w:ascii="方正仿宋_GBK" w:hAnsi="方正楷体_GBK" w:eastAsia="方正仿宋_GBK" w:cs="方正楷体_GBK"/>
          <w:b/>
          <w:sz w:val="30"/>
          <w:szCs w:val="30"/>
        </w:rPr>
        <w:t>（五）评价结果和评价结论</w:t>
      </w:r>
    </w:p>
    <w:p>
      <w:pPr>
        <w:spacing w:line="596" w:lineRule="exact"/>
        <w:ind w:firstLine="600" w:firstLineChars="200"/>
        <w:rPr>
          <w:rFonts w:ascii="方正仿宋_GBK" w:eastAsia="方正仿宋_GBK"/>
          <w:sz w:val="30"/>
          <w:szCs w:val="30"/>
        </w:rPr>
      </w:pPr>
      <w:r>
        <w:rPr>
          <w:rFonts w:hint="eastAsia" w:ascii="方正仿宋_GBK" w:eastAsia="方正仿宋_GBK"/>
          <w:sz w:val="30"/>
          <w:szCs w:val="30"/>
        </w:rPr>
        <w:t>40个项支出项目均为经费类项目，按照预算进度拨付委托业务单位，结合实际实施情况按照《中华人民共和国会计法》《事业单位会计准则》、《璧山区卫生健康委财务管理制度》的要求为绩效效果进行考评，结合单位内部管理的需要和会计管理职能发展，积极加强单位内部会计基础工作，使会计工作得到进一步规范，为单位经营管理发挥了重要作用。同时，严格按照以上制度加强项目资金管理，实行财务收支原始单据逐级审批流程，项目资金分批支付，确保了资金专款专用，公共财政投入真实有效。</w:t>
      </w:r>
    </w:p>
    <w:p>
      <w:pPr>
        <w:spacing w:line="596" w:lineRule="exact"/>
        <w:ind w:firstLine="643" w:firstLineChars="200"/>
        <w:rPr>
          <w:rFonts w:ascii="方正仿宋_GBK" w:eastAsia="方正仿宋_GBK"/>
          <w:b/>
          <w:sz w:val="32"/>
          <w:szCs w:val="32"/>
        </w:rPr>
      </w:pPr>
      <w:r>
        <w:rPr>
          <w:rFonts w:hint="eastAsia" w:ascii="方正仿宋_GBK" w:eastAsia="方正仿宋_GBK"/>
          <w:b/>
          <w:sz w:val="32"/>
          <w:szCs w:val="32"/>
        </w:rPr>
        <w:t>四、主要经验及做法</w:t>
      </w:r>
    </w:p>
    <w:p>
      <w:pPr>
        <w:spacing w:line="560" w:lineRule="exact"/>
        <w:ind w:firstLine="450" w:firstLineChars="150"/>
        <w:rPr>
          <w:rFonts w:ascii="方正仿宋_GBK" w:eastAsia="方正仿宋_GBK"/>
          <w:sz w:val="30"/>
          <w:szCs w:val="30"/>
        </w:rPr>
      </w:pPr>
      <w:r>
        <w:rPr>
          <w:rFonts w:hint="eastAsia" w:ascii="方正仿宋_GBK" w:eastAsia="方正仿宋_GBK"/>
          <w:sz w:val="30"/>
          <w:szCs w:val="30"/>
        </w:rPr>
        <w:t>1、高度重视、统一思想、加强领导：机关积极召开绩效评价会议，传达学习贯彻区财政局和区绩效领导小组的会议精神和文件精神及相关工作部署，将全体成员思想统一到实施绩效评价并对此工作高度重视，保证了财政支出绩效评价各项工作的顺利开展。并组织绩效小组认真开展绩效评价工作。</w:t>
      </w:r>
    </w:p>
    <w:p>
      <w:pPr>
        <w:spacing w:line="596" w:lineRule="exact"/>
        <w:rPr>
          <w:rFonts w:ascii="方正仿宋_GBK" w:eastAsia="方正仿宋_GBK"/>
          <w:sz w:val="30"/>
          <w:szCs w:val="30"/>
        </w:rPr>
      </w:pPr>
      <w:r>
        <w:rPr>
          <w:rFonts w:hint="eastAsia" w:ascii="方正仿宋_GBK" w:eastAsia="方正仿宋_GBK"/>
          <w:sz w:val="30"/>
          <w:szCs w:val="30"/>
        </w:rPr>
        <w:t xml:space="preserve">    2、完善机制，量化考核、加强学习：明确实施和加强绩效工作评价工作的指导思想，总体目标、具体任务、实施步骤和评价机制，把绩效评价工作与每个科室工作明确职责，保障绩效工作顺利实施。加强人员集中学习，认识绩效工作的重要性和必要性，吃透文件精神，强化绩效管理的理念，积极参与绩效评价的浓厚氛围。</w:t>
      </w:r>
    </w:p>
    <w:p>
      <w:pPr>
        <w:spacing w:line="596" w:lineRule="exact"/>
        <w:ind w:firstLine="643" w:firstLineChars="200"/>
        <w:rPr>
          <w:rFonts w:ascii="方正仿宋_GBK" w:hAnsi="方正黑体简体" w:eastAsia="方正仿宋_GBK" w:cs="方正黑体简体"/>
          <w:b/>
          <w:sz w:val="32"/>
          <w:szCs w:val="32"/>
        </w:rPr>
      </w:pPr>
      <w:r>
        <w:rPr>
          <w:rFonts w:hint="eastAsia" w:ascii="方正仿宋_GBK" w:hAnsi="方正黑体简体" w:eastAsia="方正仿宋_GBK" w:cs="方正黑体简体"/>
          <w:b/>
          <w:sz w:val="32"/>
          <w:szCs w:val="32"/>
        </w:rPr>
        <w:t>五、存在的问题和建议</w:t>
      </w:r>
    </w:p>
    <w:p>
      <w:pPr>
        <w:spacing w:line="560" w:lineRule="exact"/>
        <w:ind w:firstLine="600" w:firstLineChars="200"/>
        <w:rPr>
          <w:rFonts w:ascii="方正仿宋_GBK" w:eastAsia="方正仿宋_GBK"/>
          <w:sz w:val="30"/>
          <w:szCs w:val="30"/>
        </w:rPr>
      </w:pPr>
      <w:r>
        <w:rPr>
          <w:rFonts w:hint="eastAsia" w:ascii="方正仿宋_GBK" w:eastAsia="方正仿宋_GBK"/>
          <w:sz w:val="30"/>
          <w:szCs w:val="30"/>
        </w:rPr>
        <w:t>一是绩效评价工作相关规定和制度仍需在具体实施过程中进一步完善，二是部分干部职工对绩效评价工作认识和重视程度有待加强，三是绩效工作与业务工作有待进一步加强。在今后工作中，我们将更进一步做到做工作实际，不断改进和加强绩效评价工作，更好改进工作作风，进一步提升工作效能，确保各项工作发挥越来越重要的作用。</w:t>
      </w:r>
    </w:p>
    <w:p>
      <w:pPr>
        <w:spacing w:line="596" w:lineRule="exact"/>
        <w:ind w:firstLine="640" w:firstLineChars="200"/>
        <w:rPr>
          <w:rFonts w:eastAsia="方正黑体_GBK"/>
          <w:sz w:val="32"/>
          <w:szCs w:val="32"/>
        </w:rPr>
      </w:pPr>
    </w:p>
    <w:p>
      <w:pPr>
        <w:spacing w:line="596" w:lineRule="exact"/>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2NjIzMjVmZTgxYzkxZTJmY2E3Y2ZmZDEyZTRjYTIifQ=="/>
  </w:docVars>
  <w:rsids>
    <w:rsidRoot w:val="00806865"/>
    <w:rsid w:val="000126C5"/>
    <w:rsid w:val="00043A15"/>
    <w:rsid w:val="00051109"/>
    <w:rsid w:val="000524D7"/>
    <w:rsid w:val="000538A4"/>
    <w:rsid w:val="000575E2"/>
    <w:rsid w:val="00063B15"/>
    <w:rsid w:val="0009607E"/>
    <w:rsid w:val="000B5DB9"/>
    <w:rsid w:val="000B7F19"/>
    <w:rsid w:val="000C0972"/>
    <w:rsid w:val="000E4795"/>
    <w:rsid w:val="00125F4E"/>
    <w:rsid w:val="00141329"/>
    <w:rsid w:val="00145A35"/>
    <w:rsid w:val="00162A4E"/>
    <w:rsid w:val="00166E92"/>
    <w:rsid w:val="00171AB3"/>
    <w:rsid w:val="00174EE4"/>
    <w:rsid w:val="00185F97"/>
    <w:rsid w:val="001C1583"/>
    <w:rsid w:val="001C3D64"/>
    <w:rsid w:val="001C641A"/>
    <w:rsid w:val="001C6822"/>
    <w:rsid w:val="001E11B9"/>
    <w:rsid w:val="001E256D"/>
    <w:rsid w:val="001E2D5B"/>
    <w:rsid w:val="002415A2"/>
    <w:rsid w:val="002451E3"/>
    <w:rsid w:val="00247BB1"/>
    <w:rsid w:val="002571F7"/>
    <w:rsid w:val="002641A6"/>
    <w:rsid w:val="002834C5"/>
    <w:rsid w:val="00293914"/>
    <w:rsid w:val="00295CD4"/>
    <w:rsid w:val="002C141E"/>
    <w:rsid w:val="002D309D"/>
    <w:rsid w:val="002F6627"/>
    <w:rsid w:val="00301B65"/>
    <w:rsid w:val="00304656"/>
    <w:rsid w:val="00304F46"/>
    <w:rsid w:val="00317952"/>
    <w:rsid w:val="00333D24"/>
    <w:rsid w:val="00344A31"/>
    <w:rsid w:val="003532F1"/>
    <w:rsid w:val="00357647"/>
    <w:rsid w:val="00365C0E"/>
    <w:rsid w:val="00366EEB"/>
    <w:rsid w:val="00376AF5"/>
    <w:rsid w:val="00381982"/>
    <w:rsid w:val="00381F5B"/>
    <w:rsid w:val="00384864"/>
    <w:rsid w:val="003A7939"/>
    <w:rsid w:val="003B01B9"/>
    <w:rsid w:val="003E4915"/>
    <w:rsid w:val="003E570B"/>
    <w:rsid w:val="003E75C4"/>
    <w:rsid w:val="00401B11"/>
    <w:rsid w:val="00422429"/>
    <w:rsid w:val="0043034C"/>
    <w:rsid w:val="00443E03"/>
    <w:rsid w:val="00450C30"/>
    <w:rsid w:val="00487348"/>
    <w:rsid w:val="00497B55"/>
    <w:rsid w:val="004A1FD8"/>
    <w:rsid w:val="004B670C"/>
    <w:rsid w:val="004C0012"/>
    <w:rsid w:val="004C051C"/>
    <w:rsid w:val="004D7114"/>
    <w:rsid w:val="004E5F6A"/>
    <w:rsid w:val="00516F77"/>
    <w:rsid w:val="00527E3B"/>
    <w:rsid w:val="00547BAD"/>
    <w:rsid w:val="00550210"/>
    <w:rsid w:val="005516E1"/>
    <w:rsid w:val="00563118"/>
    <w:rsid w:val="00582459"/>
    <w:rsid w:val="0058467C"/>
    <w:rsid w:val="0059207D"/>
    <w:rsid w:val="005A221A"/>
    <w:rsid w:val="005B5ED1"/>
    <w:rsid w:val="005D3B80"/>
    <w:rsid w:val="006053D5"/>
    <w:rsid w:val="00606BA5"/>
    <w:rsid w:val="006417E5"/>
    <w:rsid w:val="0064309B"/>
    <w:rsid w:val="006533DB"/>
    <w:rsid w:val="0066558A"/>
    <w:rsid w:val="00671BB5"/>
    <w:rsid w:val="006772C6"/>
    <w:rsid w:val="006B394A"/>
    <w:rsid w:val="006B42BC"/>
    <w:rsid w:val="006C189C"/>
    <w:rsid w:val="006C7185"/>
    <w:rsid w:val="006C7720"/>
    <w:rsid w:val="006C793C"/>
    <w:rsid w:val="006D100A"/>
    <w:rsid w:val="006E6E29"/>
    <w:rsid w:val="00704B56"/>
    <w:rsid w:val="00725E01"/>
    <w:rsid w:val="00732DA5"/>
    <w:rsid w:val="00770339"/>
    <w:rsid w:val="0077453E"/>
    <w:rsid w:val="007B27A0"/>
    <w:rsid w:val="007C132E"/>
    <w:rsid w:val="007C2693"/>
    <w:rsid w:val="007D04AB"/>
    <w:rsid w:val="007D7B0E"/>
    <w:rsid w:val="007E54DF"/>
    <w:rsid w:val="007F7030"/>
    <w:rsid w:val="008000A6"/>
    <w:rsid w:val="0080568C"/>
    <w:rsid w:val="00806211"/>
    <w:rsid w:val="00806865"/>
    <w:rsid w:val="0081273A"/>
    <w:rsid w:val="00813F17"/>
    <w:rsid w:val="0082343D"/>
    <w:rsid w:val="00831BF0"/>
    <w:rsid w:val="00837D1D"/>
    <w:rsid w:val="00844EE6"/>
    <w:rsid w:val="008456B4"/>
    <w:rsid w:val="00871B89"/>
    <w:rsid w:val="008726F0"/>
    <w:rsid w:val="00880010"/>
    <w:rsid w:val="0088473B"/>
    <w:rsid w:val="00893B41"/>
    <w:rsid w:val="008A7625"/>
    <w:rsid w:val="008B63C3"/>
    <w:rsid w:val="008C1979"/>
    <w:rsid w:val="008C43FF"/>
    <w:rsid w:val="008D02AF"/>
    <w:rsid w:val="008D25A0"/>
    <w:rsid w:val="008E401C"/>
    <w:rsid w:val="009108DF"/>
    <w:rsid w:val="00912503"/>
    <w:rsid w:val="009525CE"/>
    <w:rsid w:val="00974291"/>
    <w:rsid w:val="009907E8"/>
    <w:rsid w:val="009A23DE"/>
    <w:rsid w:val="009B2629"/>
    <w:rsid w:val="009D471B"/>
    <w:rsid w:val="00A034C0"/>
    <w:rsid w:val="00A1196F"/>
    <w:rsid w:val="00A12021"/>
    <w:rsid w:val="00A27343"/>
    <w:rsid w:val="00A3725D"/>
    <w:rsid w:val="00A45BE4"/>
    <w:rsid w:val="00A553F7"/>
    <w:rsid w:val="00A70253"/>
    <w:rsid w:val="00A70F9D"/>
    <w:rsid w:val="00A94906"/>
    <w:rsid w:val="00AB4B46"/>
    <w:rsid w:val="00AC615A"/>
    <w:rsid w:val="00AD0DAD"/>
    <w:rsid w:val="00AF31E0"/>
    <w:rsid w:val="00B07031"/>
    <w:rsid w:val="00B17BC3"/>
    <w:rsid w:val="00B242EF"/>
    <w:rsid w:val="00B33317"/>
    <w:rsid w:val="00B34D05"/>
    <w:rsid w:val="00B701F8"/>
    <w:rsid w:val="00B85927"/>
    <w:rsid w:val="00BA251B"/>
    <w:rsid w:val="00BB0047"/>
    <w:rsid w:val="00BB6615"/>
    <w:rsid w:val="00BC3295"/>
    <w:rsid w:val="00BC52D8"/>
    <w:rsid w:val="00BD1848"/>
    <w:rsid w:val="00BD7C53"/>
    <w:rsid w:val="00BE35F5"/>
    <w:rsid w:val="00BF0606"/>
    <w:rsid w:val="00BF6FF2"/>
    <w:rsid w:val="00C22ECC"/>
    <w:rsid w:val="00C25308"/>
    <w:rsid w:val="00C31CE4"/>
    <w:rsid w:val="00C34B2D"/>
    <w:rsid w:val="00C77086"/>
    <w:rsid w:val="00C858DD"/>
    <w:rsid w:val="00CA06FA"/>
    <w:rsid w:val="00CA2C1C"/>
    <w:rsid w:val="00CB659C"/>
    <w:rsid w:val="00CB6B00"/>
    <w:rsid w:val="00CD33CE"/>
    <w:rsid w:val="00CF26C3"/>
    <w:rsid w:val="00D01D89"/>
    <w:rsid w:val="00D15AA9"/>
    <w:rsid w:val="00D257D4"/>
    <w:rsid w:val="00D40A43"/>
    <w:rsid w:val="00D41744"/>
    <w:rsid w:val="00D44BDF"/>
    <w:rsid w:val="00D610B4"/>
    <w:rsid w:val="00D75631"/>
    <w:rsid w:val="00D84C64"/>
    <w:rsid w:val="00D86135"/>
    <w:rsid w:val="00D915FE"/>
    <w:rsid w:val="00DC1D24"/>
    <w:rsid w:val="00DE2955"/>
    <w:rsid w:val="00E05A32"/>
    <w:rsid w:val="00E225F8"/>
    <w:rsid w:val="00E25A0F"/>
    <w:rsid w:val="00E42BE7"/>
    <w:rsid w:val="00E55405"/>
    <w:rsid w:val="00E72086"/>
    <w:rsid w:val="00E841BA"/>
    <w:rsid w:val="00E904F1"/>
    <w:rsid w:val="00E91393"/>
    <w:rsid w:val="00EA1DBB"/>
    <w:rsid w:val="00EB0A75"/>
    <w:rsid w:val="00EE15E0"/>
    <w:rsid w:val="00EF2A45"/>
    <w:rsid w:val="00EF7A29"/>
    <w:rsid w:val="00F608D4"/>
    <w:rsid w:val="00F63A82"/>
    <w:rsid w:val="00F70C2E"/>
    <w:rsid w:val="00F82EFA"/>
    <w:rsid w:val="00F9262E"/>
    <w:rsid w:val="00F93438"/>
    <w:rsid w:val="00FA41F0"/>
    <w:rsid w:val="00FC76CA"/>
    <w:rsid w:val="00FD0041"/>
    <w:rsid w:val="00FD200B"/>
    <w:rsid w:val="00FE38F2"/>
    <w:rsid w:val="00FE6BBF"/>
    <w:rsid w:val="083B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uiPriority w:val="99"/>
    <w:rPr>
      <w:rFonts w:ascii="宋体" w:hAnsi="Courier New"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7"/>
    <w:link w:val="5"/>
    <w:uiPriority w:val="99"/>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纯文本 Char"/>
    <w:basedOn w:val="7"/>
    <w:link w:val="2"/>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621</Words>
  <Characters>3540</Characters>
  <Lines>29</Lines>
  <Paragraphs>8</Paragraphs>
  <TotalTime>1127</TotalTime>
  <ScaleCrop>false</ScaleCrop>
  <LinksUpToDate>false</LinksUpToDate>
  <CharactersWithSpaces>4153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WPS_1339360233</cp:lastModifiedBy>
  <cp:lastPrinted>2023-03-28T02:46:00Z</cp:lastPrinted>
  <dcterms:modified xsi:type="dcterms:W3CDTF">2023-09-12T03:05:54Z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1B1CF1EB74704748AFCFB7D7133E62F9_12</vt:lpwstr>
  </property>
</Properties>
</file>