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39" w:rsidRPr="003A2020" w:rsidRDefault="000F7C45" w:rsidP="003A2020">
      <w:pPr>
        <w:adjustRightInd w:val="0"/>
        <w:snapToGrid w:val="0"/>
        <w:spacing w:line="596" w:lineRule="exact"/>
        <w:jc w:val="center"/>
        <w:rPr>
          <w:rFonts w:eastAsia="方正小标宋_GBK"/>
          <w:sz w:val="44"/>
          <w:szCs w:val="32"/>
        </w:rPr>
      </w:pPr>
      <w:r w:rsidRPr="003A2020">
        <w:rPr>
          <w:rFonts w:eastAsia="方正小标宋_GBK" w:hint="eastAsia"/>
          <w:sz w:val="44"/>
          <w:szCs w:val="32"/>
        </w:rPr>
        <w:t>重庆市璧山区</w:t>
      </w:r>
      <w:r w:rsidRPr="003A2020">
        <w:rPr>
          <w:rFonts w:eastAsia="方正小标宋_GBK" w:hint="eastAsia"/>
          <w:sz w:val="44"/>
          <w:szCs w:val="32"/>
        </w:rPr>
        <w:t>商务委员会</w:t>
      </w:r>
    </w:p>
    <w:p w:rsidR="00B70539" w:rsidRPr="003A2020" w:rsidRDefault="000F7C45" w:rsidP="003A2020">
      <w:pPr>
        <w:adjustRightInd w:val="0"/>
        <w:snapToGrid w:val="0"/>
        <w:spacing w:line="596" w:lineRule="exact"/>
        <w:jc w:val="center"/>
        <w:rPr>
          <w:rFonts w:eastAsia="方正小标宋_GBK"/>
          <w:sz w:val="44"/>
          <w:szCs w:val="32"/>
        </w:rPr>
      </w:pPr>
      <w:r w:rsidRPr="003A2020">
        <w:rPr>
          <w:rFonts w:eastAsia="方正小标宋_GBK" w:hint="eastAsia"/>
          <w:sz w:val="44"/>
          <w:szCs w:val="32"/>
        </w:rPr>
        <w:t>202</w:t>
      </w:r>
      <w:r w:rsidRPr="003A2020">
        <w:rPr>
          <w:rFonts w:eastAsia="方正小标宋_GBK" w:hint="eastAsia"/>
          <w:sz w:val="44"/>
          <w:szCs w:val="32"/>
        </w:rPr>
        <w:t>2</w:t>
      </w:r>
      <w:r w:rsidRPr="003A2020">
        <w:rPr>
          <w:rFonts w:eastAsia="方正小标宋_GBK"/>
          <w:sz w:val="44"/>
          <w:szCs w:val="32"/>
        </w:rPr>
        <w:t>年</w:t>
      </w:r>
      <w:r w:rsidRPr="003A2020">
        <w:rPr>
          <w:rFonts w:eastAsia="方正小标宋_GBK" w:hint="eastAsia"/>
          <w:sz w:val="44"/>
          <w:szCs w:val="32"/>
        </w:rPr>
        <w:t>度</w:t>
      </w:r>
      <w:r w:rsidRPr="003A2020">
        <w:rPr>
          <w:rFonts w:eastAsia="方正小标宋_GBK"/>
          <w:sz w:val="44"/>
          <w:szCs w:val="32"/>
        </w:rPr>
        <w:t>整体支出绩效</w:t>
      </w:r>
      <w:r w:rsidRPr="003A2020">
        <w:rPr>
          <w:rFonts w:eastAsia="方正小标宋_GBK" w:hint="eastAsia"/>
          <w:sz w:val="44"/>
          <w:szCs w:val="32"/>
        </w:rPr>
        <w:t>自评</w:t>
      </w:r>
      <w:r w:rsidRPr="003A2020">
        <w:rPr>
          <w:rFonts w:eastAsia="方正小标宋_GBK"/>
          <w:sz w:val="44"/>
          <w:szCs w:val="32"/>
        </w:rPr>
        <w:t>报告</w:t>
      </w:r>
    </w:p>
    <w:p w:rsidR="00B70539" w:rsidRDefault="00B70539" w:rsidP="00EC2394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B70539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为加强财政资金的管理，提高财政资金的使用效益。根据《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重庆市财政局关于加快推进预算绩效管理工作的通知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》（渝财绩〔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中共重庆市璧山区委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重庆市璧山区人民政府关于全面实施预算绩效管理的实施意见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璧山委发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《重庆市璧山区财政局关于开展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年度预算绩效自评工作的通知》（璧财绩〔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文件要求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，形成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整体支出绩效自评报告如下：</w:t>
      </w:r>
    </w:p>
    <w:p w:rsidR="00B70539" w:rsidRDefault="000F7C45" w:rsidP="00EC2394">
      <w:pPr>
        <w:numPr>
          <w:ilvl w:val="0"/>
          <w:numId w:val="1"/>
        </w:numPr>
        <w:adjustRightInd w:val="0"/>
        <w:snapToGrid w:val="0"/>
        <w:spacing w:line="596" w:lineRule="exact"/>
        <w:ind w:left="0" w:firstLine="640"/>
        <w:rPr>
          <w:rFonts w:ascii="方正黑体_GBK" w:eastAsia="方正黑体_GBK" w:hAnsi="黑体" w:cs="仿宋_GB2312"/>
          <w:sz w:val="32"/>
        </w:rPr>
      </w:pPr>
      <w:r>
        <w:rPr>
          <w:rFonts w:ascii="方正黑体_GBK" w:eastAsia="方正黑体_GBK" w:hAnsi="黑体" w:cs="仿宋_GB2312" w:hint="eastAsia"/>
          <w:sz w:val="32"/>
        </w:rPr>
        <w:t>基本情况</w:t>
      </w:r>
    </w:p>
    <w:p w:rsidR="00B70539" w:rsidRPr="003A2020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ascii="方正楷体_GBK" w:eastAsia="方正楷体_GBK" w:hAnsi="仿宋_GB2312" w:cs="仿宋_GB2312" w:hint="eastAsia"/>
          <w:bCs/>
          <w:sz w:val="32"/>
        </w:rPr>
      </w:pPr>
      <w:r w:rsidRPr="003A2020">
        <w:rPr>
          <w:rFonts w:ascii="方正楷体_GBK" w:eastAsia="方正楷体_GBK" w:hAnsi="仿宋_GB2312" w:cs="仿宋_GB2312" w:hint="eastAsia"/>
          <w:bCs/>
          <w:sz w:val="32"/>
        </w:rPr>
        <w:t>（一）</w:t>
      </w:r>
      <w:r w:rsidRPr="003A2020">
        <w:rPr>
          <w:rFonts w:ascii="方正楷体_GBK" w:eastAsia="方正楷体_GBK" w:hAnsi="仿宋_GB2312" w:cs="仿宋_GB2312" w:hint="eastAsia"/>
          <w:bCs/>
          <w:sz w:val="32"/>
        </w:rPr>
        <w:t>单位基本情况</w:t>
      </w:r>
    </w:p>
    <w:p w:rsidR="003A2020" w:rsidRPr="003A2020" w:rsidRDefault="000F7C45" w:rsidP="003A2020">
      <w:pPr>
        <w:adjustRightInd w:val="0"/>
        <w:snapToGrid w:val="0"/>
        <w:spacing w:line="596" w:lineRule="exact"/>
        <w:ind w:firstLineChars="200" w:firstLine="643"/>
        <w:outlineLvl w:val="2"/>
        <w:rPr>
          <w:rFonts w:ascii="方正仿宋_GBK" w:eastAsia="方正仿宋_GBK" w:hAnsi="方正仿宋_GBK" w:cs="方正仿宋_GBK"/>
          <w:b/>
          <w:sz w:val="32"/>
          <w:szCs w:val="32"/>
        </w:rPr>
      </w:pPr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1</w:t>
      </w:r>
      <w:r w:rsidR="003A2020"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．</w:t>
      </w:r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职能职责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  <w:szCs w:val="2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1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）贯彻执行国家有关内外贸易、口岸物流以及国际经济合作的法律、法规、规章和方针政策。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  <w:szCs w:val="2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2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）牵头推进总部经济。牵头开展商贸领域招商引资。指导本区企业开展国内外合作交流。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  <w:szCs w:val="2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3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促进贸易发展方式转变，推动总部贸易、转口贸易发展。推动企业开拓多元化国际市场。组织指导对外贸易促进活动。推动全区服务贸易工作，促进服务外包发展。负责对外援助业务。负责商贸出国（境）团组织的有关管理工作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  <w:szCs w:val="2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lastRenderedPageBreak/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4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）统筹管理区级商贸领域重大招商项目，负责商贸领域重大项目推进工作。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  <w:szCs w:val="2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5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）负责组织实施本区现代市场体系建设。统筹协调城乡商品交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易市场、大型商业中心、特色商业街区规划布局。推进流通产业结构调整，促进传统商业转型升级和新兴业态发展，促进商务产业和其他产业融合发展。推动连锁经营、特许经营、物流配送等现代商贸流通方式发展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  <w:szCs w:val="2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6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牵头统筹口岸物流工作。统筹推进重大物流项目招商引资，培育国内物流市场主体和物流服务品牌。统筹冷链行业管理和仓储发展工作。负责全区口岸和物流数据统计分析工作。推进口岸和物流对外交流合作。指导全区口岸和物流相关社会组织、中介机构工作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  <w:szCs w:val="2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7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）组织实施规范市场运行、流通秩序的政策措施。开展商贸领域统计监测和综合评价工作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。推动商贸领域信用建设。负责商贸领域的行政执法监管和商务举报投诉受理。参与打击商业欺诈等工作。依法实施对外贸易调查和产业损害调查，指导协调产业安全应对工作。依法负责本行业工程建设项目招投标的监督管理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  <w:szCs w:val="22"/>
        </w:rPr>
        <w:t>（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8</w:t>
      </w:r>
      <w:r>
        <w:rPr>
          <w:rFonts w:ascii="方正仿宋_GBK" w:eastAsia="方正仿宋_GBK" w:hAnsi="仿宋_GB2312" w:cs="仿宋_GB2312" w:hint="eastAsia"/>
          <w:sz w:val="32"/>
          <w:szCs w:val="22"/>
        </w:rPr>
        <w:t>）负责推进本区商贸服务业发展，组织、指导和推进商贸服务行业经营创新。负责推进本区商贸领域品牌建设。</w:t>
      </w:r>
    </w:p>
    <w:p w:rsidR="003A2020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</w:t>
      </w:r>
      <w:r>
        <w:rPr>
          <w:rFonts w:ascii="方正仿宋_GBK" w:eastAsia="方正仿宋_GBK" w:hAnsi="仿宋_GB2312" w:cs="仿宋_GB2312" w:hint="eastAsia"/>
          <w:sz w:val="32"/>
        </w:rPr>
        <w:t>9</w:t>
      </w:r>
      <w:r>
        <w:rPr>
          <w:rFonts w:ascii="方正仿宋_GBK" w:eastAsia="方正仿宋_GBK" w:hAnsi="仿宋_GB2312" w:cs="仿宋_GB2312" w:hint="eastAsia"/>
          <w:sz w:val="32"/>
        </w:rPr>
        <w:t>）负责推进商贸领域供给侧结构性改革，指导流通企业</w:t>
      </w:r>
      <w:r>
        <w:rPr>
          <w:rFonts w:ascii="方正仿宋_GBK" w:eastAsia="方正仿宋_GBK" w:hAnsi="仿宋_GB2312" w:cs="仿宋_GB2312" w:hint="eastAsia"/>
          <w:sz w:val="32"/>
        </w:rPr>
        <w:lastRenderedPageBreak/>
        <w:t>改革和创新发展。负责商贸行业发展，促进商贸企业发展。负责酒类等重要商品经营的管理，按有关规定，对成品油经营、储存日常安全监督管理。负责茧丝绸行业协调管理。</w:t>
      </w:r>
    </w:p>
    <w:p w:rsidR="00B70539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</w:t>
      </w:r>
      <w:r>
        <w:rPr>
          <w:rFonts w:ascii="方正仿宋_GBK" w:eastAsia="方正仿宋_GBK" w:hAnsi="仿宋_GB2312" w:cs="仿宋_GB2312" w:hint="eastAsia"/>
          <w:sz w:val="32"/>
        </w:rPr>
        <w:t>10</w:t>
      </w:r>
      <w:r>
        <w:rPr>
          <w:rFonts w:ascii="方正仿宋_GBK" w:eastAsia="方正仿宋_GBK" w:hAnsi="仿宋_GB2312" w:cs="仿宋_GB2312" w:hint="eastAsia"/>
          <w:sz w:val="32"/>
        </w:rPr>
        <w:t>）组织实施电子商务发展政策、措施。统筹完善电子商务支撑体系建设。推进电子商务领域合作与交流。推进农村电子商务发展。推进互联网信息技术在商贸领域推广应用。</w:t>
      </w:r>
    </w:p>
    <w:p w:rsidR="00B70539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</w:t>
      </w:r>
      <w:r>
        <w:rPr>
          <w:rFonts w:ascii="方正仿宋_GBK" w:eastAsia="方正仿宋_GBK" w:hAnsi="仿宋_GB2312" w:cs="仿宋_GB2312" w:hint="eastAsia"/>
          <w:sz w:val="32"/>
        </w:rPr>
        <w:t>11</w:t>
      </w:r>
      <w:r>
        <w:rPr>
          <w:rFonts w:ascii="方正仿宋_GBK" w:eastAsia="方正仿宋_GBK" w:hAnsi="仿宋_GB2312" w:cs="仿宋_GB2312" w:hint="eastAsia"/>
          <w:sz w:val="32"/>
        </w:rPr>
        <w:t>）负责本区重要消费品市场调控和重要生产资料流通管理。负责建立健全生活必需品市场供应应急机制，按照分工负责重要商品储备管理和市场调控工作。</w:t>
      </w:r>
    </w:p>
    <w:p w:rsidR="00B70539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</w:t>
      </w:r>
      <w:r>
        <w:rPr>
          <w:rFonts w:ascii="方正仿宋_GBK" w:eastAsia="方正仿宋_GBK" w:hAnsi="仿宋_GB2312" w:cs="仿宋_GB2312" w:hint="eastAsia"/>
          <w:sz w:val="32"/>
        </w:rPr>
        <w:t>12</w:t>
      </w:r>
      <w:r>
        <w:rPr>
          <w:rFonts w:ascii="方正仿宋_GBK" w:eastAsia="方正仿宋_GBK" w:hAnsi="仿宋_GB2312" w:cs="仿宋_GB2312" w:hint="eastAsia"/>
          <w:sz w:val="32"/>
        </w:rPr>
        <w:t>）负责全区及外地来璧举办的大型商贸展会的统筹和协调工作，指导、监督商贸流通各类促销活动。</w:t>
      </w:r>
    </w:p>
    <w:p w:rsidR="00B70539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</w:t>
      </w:r>
      <w:r>
        <w:rPr>
          <w:rFonts w:ascii="方正仿宋_GBK" w:eastAsia="方正仿宋_GBK" w:hAnsi="仿宋_GB2312" w:cs="仿宋_GB2312" w:hint="eastAsia"/>
          <w:sz w:val="32"/>
        </w:rPr>
        <w:t>1</w:t>
      </w:r>
      <w:r>
        <w:rPr>
          <w:rFonts w:ascii="方正仿宋_GBK" w:eastAsia="方正仿宋_GBK" w:hAnsi="仿宋_GB2312" w:cs="仿宋_GB2312" w:hint="eastAsia"/>
          <w:sz w:val="32"/>
        </w:rPr>
        <w:t>3</w:t>
      </w:r>
      <w:r>
        <w:rPr>
          <w:rFonts w:ascii="方正仿宋_GBK" w:eastAsia="方正仿宋_GBK" w:hAnsi="仿宋_GB2312" w:cs="仿宋_GB2312" w:hint="eastAsia"/>
          <w:sz w:val="32"/>
        </w:rPr>
        <w:t>）完成区委、区政府交办的其他任务。</w:t>
      </w:r>
    </w:p>
    <w:p w:rsidR="00B70539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（</w:t>
      </w:r>
      <w:r>
        <w:rPr>
          <w:rFonts w:ascii="方正仿宋_GBK" w:eastAsia="方正仿宋_GBK" w:hAnsi="仿宋_GB2312" w:cs="仿宋_GB2312" w:hint="eastAsia"/>
          <w:sz w:val="32"/>
        </w:rPr>
        <w:t>1</w:t>
      </w:r>
      <w:r>
        <w:rPr>
          <w:rFonts w:ascii="方正仿宋_GBK" w:eastAsia="方正仿宋_GBK" w:hAnsi="仿宋_GB2312" w:cs="仿宋_GB2312" w:hint="eastAsia"/>
          <w:sz w:val="32"/>
        </w:rPr>
        <w:t>4</w:t>
      </w:r>
      <w:r>
        <w:rPr>
          <w:rFonts w:ascii="方正仿宋_GBK" w:eastAsia="方正仿宋_GBK" w:hAnsi="仿宋_GB2312" w:cs="仿宋_GB2312" w:hint="eastAsia"/>
          <w:sz w:val="32"/>
        </w:rPr>
        <w:t>）有关职责分工</w:t>
      </w:r>
      <w:r w:rsidR="003A2020">
        <w:rPr>
          <w:rFonts w:ascii="方正仿宋_GBK" w:eastAsia="方正仿宋_GBK" w:hAnsi="仿宋_GB2312" w:cs="仿宋_GB2312" w:hint="eastAsia"/>
          <w:sz w:val="32"/>
        </w:rPr>
        <w:t>：</w:t>
      </w:r>
      <w:r>
        <w:rPr>
          <w:rFonts w:ascii="方正仿宋_GBK" w:eastAsia="方正仿宋_GBK" w:hAnsi="仿宋_GB2312" w:cs="仿宋_GB2312" w:hint="eastAsia"/>
          <w:sz w:val="32"/>
        </w:rPr>
        <w:t>牵头对接市政府口岸和物流办公室工作。区发展改革委、区交通局、国家农业科技园区管委会、璧山高新区管委会会同区商务委做好口岸物流相关工作。区发展改革委会同区商务委负责现代物流业发展工作，做好口岸物流专项规划与国民经济和社会发展规划、区域协调发展规划的平衡衔接。区交通局负责综合平衡交通运力，构建综合交通运输体系，统筹协调管理铁路、公路、水运、民航、邮政等多种运输行业发展。区农业农村委会同国家农业科技园区管委会负责农业物流发展工作。璧山高新区管委会牵头负责工业物流发展工作。</w:t>
      </w:r>
    </w:p>
    <w:p w:rsidR="00B70539" w:rsidRPr="003A2020" w:rsidRDefault="000F7C45" w:rsidP="003A2020">
      <w:pPr>
        <w:adjustRightInd w:val="0"/>
        <w:snapToGrid w:val="0"/>
        <w:spacing w:line="596" w:lineRule="exact"/>
        <w:ind w:firstLineChars="200" w:firstLine="643"/>
        <w:outlineLvl w:val="2"/>
        <w:rPr>
          <w:rFonts w:ascii="方正仿宋_GBK" w:eastAsia="方正仿宋_GBK" w:hAnsi="方正仿宋_GBK" w:cs="方正仿宋_GBK"/>
          <w:b/>
          <w:sz w:val="32"/>
          <w:szCs w:val="32"/>
        </w:rPr>
      </w:pPr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lastRenderedPageBreak/>
        <w:t>2</w:t>
      </w:r>
      <w:r w:rsidR="003A2020"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．</w:t>
      </w:r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单位构成</w:t>
      </w:r>
    </w:p>
    <w:p w:rsidR="00B70539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重庆市璧山区商务委员会是主</w:t>
      </w:r>
      <w:r>
        <w:rPr>
          <w:rFonts w:ascii="方正仿宋_GBK" w:eastAsia="方正仿宋_GBK" w:hAnsi="仿宋_GB2312" w:cs="仿宋_GB2312" w:hint="eastAsia"/>
          <w:sz w:val="32"/>
        </w:rPr>
        <w:t>管全区商贸流通、外经外贸等工作的区政府工作部门，下设办公室、组织人事科、市场运行科、电商产业科、特殊商品科</w:t>
      </w:r>
      <w:r>
        <w:rPr>
          <w:rFonts w:ascii="方正仿宋_GBK" w:eastAsia="方正仿宋_GBK" w:hAnsi="仿宋_GB2312" w:cs="仿宋_GB2312" w:hint="eastAsia"/>
          <w:sz w:val="32"/>
        </w:rPr>
        <w:t>(</w:t>
      </w:r>
      <w:r>
        <w:rPr>
          <w:rFonts w:ascii="方正仿宋_GBK" w:eastAsia="方正仿宋_GBK" w:hAnsi="仿宋_GB2312" w:cs="仿宋_GB2312" w:hint="eastAsia"/>
          <w:sz w:val="32"/>
        </w:rPr>
        <w:t>行政审批科、安全监督科</w:t>
      </w:r>
      <w:r>
        <w:rPr>
          <w:rFonts w:ascii="方正仿宋_GBK" w:eastAsia="方正仿宋_GBK" w:hAnsi="仿宋_GB2312" w:cs="仿宋_GB2312" w:hint="eastAsia"/>
          <w:sz w:val="32"/>
        </w:rPr>
        <w:t>)</w:t>
      </w:r>
      <w:r>
        <w:rPr>
          <w:rFonts w:ascii="方正仿宋_GBK" w:eastAsia="方正仿宋_GBK" w:hAnsi="仿宋_GB2312" w:cs="仿宋_GB2312" w:hint="eastAsia"/>
          <w:sz w:val="32"/>
        </w:rPr>
        <w:t>、发展规划科、外经外贸科</w:t>
      </w:r>
      <w:r>
        <w:rPr>
          <w:rFonts w:ascii="方正仿宋_GBK" w:eastAsia="方正仿宋_GBK" w:hAnsi="仿宋_GB2312" w:cs="仿宋_GB2312" w:hint="eastAsia"/>
          <w:sz w:val="32"/>
        </w:rPr>
        <w:t>7</w:t>
      </w:r>
      <w:r>
        <w:rPr>
          <w:rFonts w:ascii="方正仿宋_GBK" w:eastAsia="方正仿宋_GBK" w:hAnsi="仿宋_GB2312" w:cs="仿宋_GB2312" w:hint="eastAsia"/>
          <w:sz w:val="32"/>
        </w:rPr>
        <w:t>个科室。</w:t>
      </w:r>
      <w:r>
        <w:rPr>
          <w:rFonts w:ascii="方正仿宋_GBK" w:eastAsia="方正仿宋_GBK" w:hAnsi="仿宋_GB2312" w:cs="仿宋_GB2312" w:hint="eastAsia"/>
          <w:sz w:val="32"/>
        </w:rPr>
        <w:t>机关核定行政编制</w:t>
      </w:r>
      <w:r>
        <w:rPr>
          <w:rFonts w:ascii="方正仿宋_GBK" w:eastAsia="方正仿宋_GBK" w:hAnsi="仿宋_GB2312" w:cs="仿宋_GB2312" w:hint="eastAsia"/>
          <w:sz w:val="32"/>
        </w:rPr>
        <w:t>22</w:t>
      </w:r>
      <w:r>
        <w:rPr>
          <w:rFonts w:ascii="方正仿宋_GBK" w:eastAsia="方正仿宋_GBK" w:hAnsi="仿宋_GB2312" w:cs="仿宋_GB2312" w:hint="eastAsia"/>
          <w:sz w:val="32"/>
        </w:rPr>
        <w:t>名；设主任</w:t>
      </w:r>
      <w:r>
        <w:rPr>
          <w:rFonts w:ascii="方正仿宋_GBK" w:eastAsia="方正仿宋_GBK" w:hAnsi="仿宋_GB2312" w:cs="仿宋_GB2312" w:hint="eastAsia"/>
          <w:sz w:val="32"/>
        </w:rPr>
        <w:t>1</w:t>
      </w:r>
      <w:r>
        <w:rPr>
          <w:rFonts w:ascii="方正仿宋_GBK" w:eastAsia="方正仿宋_GBK" w:hAnsi="仿宋_GB2312" w:cs="仿宋_GB2312" w:hint="eastAsia"/>
          <w:sz w:val="32"/>
        </w:rPr>
        <w:t>名，副主任</w:t>
      </w:r>
      <w:r>
        <w:rPr>
          <w:rFonts w:ascii="方正仿宋_GBK" w:eastAsia="方正仿宋_GBK" w:hAnsi="仿宋_GB2312" w:cs="仿宋_GB2312" w:hint="eastAsia"/>
          <w:sz w:val="32"/>
        </w:rPr>
        <w:t>3</w:t>
      </w:r>
      <w:r>
        <w:rPr>
          <w:rFonts w:ascii="方正仿宋_GBK" w:eastAsia="方正仿宋_GBK" w:hAnsi="仿宋_GB2312" w:cs="仿宋_GB2312" w:hint="eastAsia"/>
          <w:sz w:val="32"/>
        </w:rPr>
        <w:t>名，科级领导职数</w:t>
      </w:r>
      <w:r>
        <w:rPr>
          <w:rFonts w:ascii="方正仿宋_GBK" w:eastAsia="方正仿宋_GBK" w:hAnsi="仿宋_GB2312" w:cs="仿宋_GB2312" w:hint="eastAsia"/>
          <w:sz w:val="32"/>
        </w:rPr>
        <w:t>9</w:t>
      </w:r>
      <w:r>
        <w:rPr>
          <w:rFonts w:ascii="方正仿宋_GBK" w:eastAsia="方正仿宋_GBK" w:hAnsi="仿宋_GB2312" w:cs="仿宋_GB2312" w:hint="eastAsia"/>
          <w:sz w:val="32"/>
        </w:rPr>
        <w:t>名；机关后勤服务人员编制</w:t>
      </w:r>
      <w:r>
        <w:rPr>
          <w:rFonts w:ascii="方正仿宋_GBK" w:eastAsia="方正仿宋_GBK" w:hAnsi="仿宋_GB2312" w:cs="仿宋_GB2312" w:hint="eastAsia"/>
          <w:sz w:val="32"/>
        </w:rPr>
        <w:t>1</w:t>
      </w:r>
      <w:r>
        <w:rPr>
          <w:rFonts w:ascii="方正仿宋_GBK" w:eastAsia="方正仿宋_GBK" w:hAnsi="仿宋_GB2312" w:cs="仿宋_GB2312" w:hint="eastAsia"/>
          <w:sz w:val="32"/>
        </w:rPr>
        <w:t>名。</w:t>
      </w:r>
    </w:p>
    <w:p w:rsidR="00B70539" w:rsidRPr="003A2020" w:rsidRDefault="003A2020" w:rsidP="003A2020">
      <w:pPr>
        <w:adjustRightInd w:val="0"/>
        <w:snapToGrid w:val="0"/>
        <w:spacing w:line="596" w:lineRule="exact"/>
        <w:ind w:firstLineChars="200" w:firstLine="640"/>
        <w:rPr>
          <w:rFonts w:ascii="方正楷体_GBK" w:eastAsia="方正楷体_GBK" w:hAnsi="仿宋_GB2312" w:cs="仿宋_GB2312"/>
          <w:bCs/>
          <w:sz w:val="32"/>
        </w:rPr>
      </w:pPr>
      <w:r>
        <w:rPr>
          <w:rFonts w:ascii="方正楷体_GBK" w:eastAsia="方正楷体_GBK" w:hAnsi="仿宋_GB2312" w:cs="仿宋_GB2312" w:hint="eastAsia"/>
          <w:bCs/>
          <w:sz w:val="32"/>
        </w:rPr>
        <w:t>（二）</w:t>
      </w:r>
      <w:r w:rsidR="000F7C45" w:rsidRPr="003A2020">
        <w:rPr>
          <w:rFonts w:ascii="方正楷体_GBK" w:eastAsia="方正楷体_GBK" w:hAnsi="仿宋_GB2312" w:cs="仿宋_GB2312" w:hint="eastAsia"/>
          <w:bCs/>
          <w:sz w:val="32"/>
        </w:rPr>
        <w:t>预算及支出情况</w:t>
      </w:r>
    </w:p>
    <w:p w:rsidR="00B70539" w:rsidRPr="003A2020" w:rsidRDefault="000F7C45" w:rsidP="003A2020">
      <w:pPr>
        <w:adjustRightInd w:val="0"/>
        <w:snapToGrid w:val="0"/>
        <w:spacing w:line="596" w:lineRule="exact"/>
        <w:ind w:firstLineChars="200" w:firstLine="643"/>
        <w:outlineLvl w:val="2"/>
        <w:rPr>
          <w:rFonts w:ascii="方正仿宋_GBK" w:eastAsia="方正仿宋_GBK" w:hAnsi="方正仿宋_GBK" w:cs="方正仿宋_GBK"/>
          <w:b/>
          <w:sz w:val="32"/>
          <w:szCs w:val="32"/>
        </w:rPr>
      </w:pPr>
      <w:bookmarkStart w:id="0" w:name="_Toc21372"/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1</w:t>
      </w:r>
      <w:r w:rsidR="003A2020"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．</w:t>
      </w:r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财政资金整体支出</w:t>
      </w:r>
      <w:bookmarkEnd w:id="0"/>
    </w:p>
    <w:p w:rsidR="00B70539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年财政资金年初预算数为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1993.21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初无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结转和结余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全年（调整）预算数为</w:t>
      </w:r>
      <w:r>
        <w:rPr>
          <w:rFonts w:ascii="方正仿宋_GBK" w:eastAsia="方正仿宋_GBK" w:hint="eastAsia"/>
          <w:sz w:val="32"/>
          <w:szCs w:val="32"/>
        </w:rPr>
        <w:t>9638.87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（年末零结转资金不作为预算调整）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全年执行数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6291.77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万元（含财政存量资金安排）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，年末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结转和结余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B70539" w:rsidRPr="003A2020" w:rsidRDefault="000F7C45" w:rsidP="00EC2394">
      <w:pPr>
        <w:adjustRightInd w:val="0"/>
        <w:snapToGrid w:val="0"/>
        <w:spacing w:line="596" w:lineRule="exact"/>
        <w:ind w:firstLineChars="200" w:firstLine="643"/>
        <w:outlineLvl w:val="2"/>
        <w:rPr>
          <w:rFonts w:ascii="方正仿宋_GBK" w:eastAsia="方正仿宋_GBK" w:hAnsi="方正仿宋_GBK" w:cs="方正仿宋_GBK"/>
          <w:b/>
          <w:sz w:val="32"/>
          <w:szCs w:val="32"/>
        </w:rPr>
      </w:pPr>
      <w:bookmarkStart w:id="1" w:name="_Toc27272"/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2</w:t>
      </w:r>
      <w:r w:rsidR="003A2020" w:rsidRPr="003A2020">
        <w:rPr>
          <w:rFonts w:ascii="方正仿宋_GBK" w:eastAsia="方正仿宋_GBK" w:hAnsi="仿宋_GB2312" w:cs="仿宋_GB2312" w:hint="eastAsia"/>
          <w:b/>
          <w:sz w:val="32"/>
        </w:rPr>
        <w:t>．</w:t>
      </w:r>
      <w:r w:rsidRPr="003A2020">
        <w:rPr>
          <w:rFonts w:ascii="方正仿宋_GBK" w:eastAsia="方正仿宋_GBK" w:hAnsi="方正仿宋_GBK" w:cs="方正仿宋_GBK" w:hint="eastAsia"/>
          <w:b/>
          <w:sz w:val="32"/>
          <w:szCs w:val="32"/>
        </w:rPr>
        <w:t>部门“三公”经费支出</w:t>
      </w:r>
      <w:bookmarkEnd w:id="1"/>
    </w:p>
    <w:p w:rsidR="00B70539" w:rsidRDefault="000F7C45" w:rsidP="00EC2394">
      <w:pPr>
        <w:adjustRightInd w:val="0"/>
        <w:snapToGrid w:val="0"/>
        <w:spacing w:line="596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“三公”经费支出总额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3.94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万元，其中：公务车运行维护费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1.56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万元、国内公务接待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2.38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万元、无因公出国（境）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B70539" w:rsidRDefault="000F7C45" w:rsidP="00EC2394">
      <w:pPr>
        <w:numPr>
          <w:ilvl w:val="0"/>
          <w:numId w:val="1"/>
        </w:numPr>
        <w:adjustRightInd w:val="0"/>
        <w:snapToGrid w:val="0"/>
        <w:spacing w:line="596" w:lineRule="exact"/>
        <w:ind w:left="0" w:firstLine="640"/>
        <w:outlineLvl w:val="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主要成效</w:t>
      </w:r>
    </w:p>
    <w:p w:rsidR="00B70539" w:rsidRPr="003A2020" w:rsidRDefault="000F7C45" w:rsidP="003A2020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96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kern w:val="2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（</w:t>
      </w:r>
      <w:r>
        <w:rPr>
          <w:rFonts w:ascii="方正黑体_GBK" w:eastAsia="方正黑体_GBK" w:hint="eastAsia"/>
          <w:sz w:val="32"/>
          <w:szCs w:val="32"/>
        </w:rPr>
        <w:t>一</w:t>
      </w:r>
      <w:r>
        <w:rPr>
          <w:rFonts w:ascii="方正黑体_GBK" w:eastAsia="方正黑体_GBK" w:hint="eastAsia"/>
          <w:sz w:val="32"/>
          <w:szCs w:val="32"/>
        </w:rPr>
        <w:t>）</w:t>
      </w:r>
      <w:r w:rsidRPr="003A2020">
        <w:rPr>
          <w:rFonts w:ascii="方正仿宋_GBK" w:eastAsia="方正仿宋_GBK" w:hAnsi="仿宋" w:cs="仿宋" w:hint="eastAsia"/>
          <w:bCs/>
          <w:kern w:val="2"/>
          <w:sz w:val="32"/>
          <w:szCs w:val="32"/>
        </w:rPr>
        <w:t>强化预算绩效双监控，从项目期中已实现的产出成果与效益；项目预算执行进度是否与当前期限相匹配；专项资金是否专款专用，是否存在截留、挤占、挪用资金等违纪违规问题，</w:t>
      </w:r>
      <w:r w:rsidRPr="003A2020">
        <w:rPr>
          <w:rFonts w:ascii="Times New Roman" w:eastAsia="方正仿宋_GBK" w:hAnsi="Times New Roman" w:cs="Times New Roman"/>
          <w:bCs/>
          <w:kern w:val="2"/>
          <w:sz w:val="32"/>
          <w:szCs w:val="32"/>
        </w:rPr>
        <w:lastRenderedPageBreak/>
        <w:t>有无滞留、缓拨资金以及因管理不善造成资金损失、浪费；专项资金是否按照规定用途、开支范围、开支标准及其其他相关要求使用等方面进行绩效监控。</w:t>
      </w:r>
    </w:p>
    <w:p w:rsidR="00B70539" w:rsidRPr="003A2020" w:rsidRDefault="000F7C45" w:rsidP="003A2020">
      <w:pPr>
        <w:adjustRightInd w:val="0"/>
        <w:snapToGrid w:val="0"/>
        <w:spacing w:line="596" w:lineRule="exact"/>
        <w:ind w:firstLineChars="200" w:firstLine="640"/>
        <w:outlineLvl w:val="1"/>
        <w:rPr>
          <w:rFonts w:eastAsia="方正仿宋_GBK"/>
          <w:bCs/>
          <w:sz w:val="32"/>
          <w:szCs w:val="32"/>
        </w:rPr>
      </w:pPr>
      <w:bookmarkStart w:id="2" w:name="_Toc6354"/>
      <w:bookmarkStart w:id="3" w:name="_Toc20019"/>
      <w:r w:rsidRPr="003A2020">
        <w:rPr>
          <w:rFonts w:eastAsia="方正仿宋_GBK"/>
          <w:bCs/>
          <w:sz w:val="32"/>
          <w:szCs w:val="32"/>
        </w:rPr>
        <w:t>（二）着力发展现代商贸服务业</w:t>
      </w:r>
      <w:bookmarkEnd w:id="2"/>
      <w:bookmarkEnd w:id="3"/>
      <w:r w:rsidRPr="003A2020">
        <w:rPr>
          <w:rFonts w:eastAsia="方正仿宋_GBK"/>
          <w:bCs/>
          <w:sz w:val="32"/>
          <w:szCs w:val="32"/>
        </w:rPr>
        <w:t>，依托轨道交通枢纽站点推行</w:t>
      </w:r>
      <w:r w:rsidRPr="003A2020">
        <w:rPr>
          <w:rFonts w:eastAsia="方正仿宋_GBK"/>
          <w:bCs/>
          <w:sz w:val="32"/>
          <w:szCs w:val="32"/>
        </w:rPr>
        <w:t>TOD</w:t>
      </w:r>
      <w:r w:rsidRPr="003A2020">
        <w:rPr>
          <w:rFonts w:eastAsia="方正仿宋_GBK"/>
          <w:bCs/>
          <w:sz w:val="32"/>
          <w:szCs w:val="32"/>
        </w:rPr>
        <w:t>城市综合开发，改造升级老城区商业步行街，加强环秀湖商圈等新消费中心培育，营造高品质生活消费场景；大力引进电商龙头企业和平台，大力发展跨境电子商务，培育优势产业集群。</w:t>
      </w:r>
    </w:p>
    <w:p w:rsidR="00B70539" w:rsidRPr="003A2020" w:rsidRDefault="000F7C45" w:rsidP="003A2020">
      <w:pPr>
        <w:adjustRightInd w:val="0"/>
        <w:snapToGrid w:val="0"/>
        <w:spacing w:line="596" w:lineRule="exact"/>
        <w:ind w:firstLineChars="200" w:firstLine="640"/>
        <w:outlineLvl w:val="1"/>
        <w:rPr>
          <w:rFonts w:eastAsia="方正仿宋_GBK"/>
          <w:sz w:val="32"/>
          <w:szCs w:val="32"/>
        </w:rPr>
      </w:pPr>
      <w:bookmarkStart w:id="4" w:name="_Toc14903"/>
      <w:bookmarkStart w:id="5" w:name="_Toc3124"/>
      <w:r w:rsidRPr="003A2020">
        <w:rPr>
          <w:rFonts w:eastAsia="方正仿宋_GBK"/>
          <w:bCs/>
          <w:sz w:val="32"/>
          <w:szCs w:val="32"/>
        </w:rPr>
        <w:t>（三）全面提升对外开放水平</w:t>
      </w:r>
      <w:bookmarkEnd w:id="4"/>
      <w:bookmarkEnd w:id="5"/>
      <w:r w:rsidRPr="003A2020">
        <w:rPr>
          <w:rFonts w:eastAsia="方正仿宋_GBK"/>
          <w:bCs/>
          <w:sz w:val="32"/>
          <w:szCs w:val="32"/>
        </w:rPr>
        <w:t>，建立</w:t>
      </w:r>
      <w:r w:rsidRPr="003A2020">
        <w:rPr>
          <w:rFonts w:eastAsia="方正仿宋_GBK"/>
          <w:sz w:val="32"/>
          <w:szCs w:val="32"/>
        </w:rPr>
        <w:t>健全区域协作新机制，扩大成渝地区</w:t>
      </w:r>
      <w:r w:rsidRPr="003A2020">
        <w:rPr>
          <w:rFonts w:eastAsia="方正仿宋_GBK"/>
          <w:sz w:val="32"/>
          <w:szCs w:val="32"/>
        </w:rPr>
        <w:t>“</w:t>
      </w:r>
      <w:r w:rsidRPr="003A2020">
        <w:rPr>
          <w:rFonts w:eastAsia="方正仿宋_GBK"/>
          <w:sz w:val="32"/>
          <w:szCs w:val="32"/>
        </w:rPr>
        <w:t>朋友圈</w:t>
      </w:r>
      <w:r w:rsidRPr="003A2020">
        <w:rPr>
          <w:rFonts w:eastAsia="方正仿宋_GBK"/>
          <w:sz w:val="32"/>
          <w:szCs w:val="32"/>
        </w:rPr>
        <w:t>”</w:t>
      </w:r>
      <w:r w:rsidRPr="003A2020">
        <w:rPr>
          <w:rFonts w:eastAsia="方正仿宋_GBK"/>
          <w:sz w:val="32"/>
          <w:szCs w:val="32"/>
        </w:rPr>
        <w:t>，加强与成都东部新区等区域的合作交流，推动产业发展、科技创新、人才交流联动协作，大力发展开放型经济，支持具有自主品牌的企业出口。</w:t>
      </w:r>
    </w:p>
    <w:p w:rsidR="00B70539" w:rsidRDefault="000F7C45" w:rsidP="00EC2394">
      <w:pPr>
        <w:pStyle w:val="6"/>
        <w:keepNext w:val="0"/>
        <w:keepLines w:val="0"/>
        <w:adjustRightInd w:val="0"/>
        <w:snapToGrid w:val="0"/>
        <w:spacing w:before="0" w:after="0" w:line="596" w:lineRule="exact"/>
        <w:ind w:firstLine="640"/>
        <w:rPr>
          <w:rFonts w:ascii="方正黑体_GBK" w:eastAsia="方正黑体_GBK" w:hAnsi="Times New Roman"/>
          <w:b w:val="0"/>
          <w:bCs w:val="0"/>
          <w:sz w:val="32"/>
          <w:szCs w:val="32"/>
        </w:rPr>
      </w:pPr>
      <w:r>
        <w:rPr>
          <w:rFonts w:ascii="方正黑体_GBK" w:eastAsia="方正黑体_GBK" w:hAnsi="Times New Roman" w:hint="eastAsia"/>
          <w:b w:val="0"/>
          <w:bCs w:val="0"/>
          <w:sz w:val="32"/>
          <w:szCs w:val="32"/>
        </w:rPr>
        <w:t>三、绩效评价情况及结论</w:t>
      </w:r>
    </w:p>
    <w:p w:rsidR="00B70539" w:rsidRPr="003A2020" w:rsidRDefault="000F7C45" w:rsidP="00EC2394">
      <w:pPr>
        <w:adjustRightInd w:val="0"/>
        <w:snapToGrid w:val="0"/>
        <w:spacing w:line="596" w:lineRule="exact"/>
        <w:ind w:firstLine="640"/>
        <w:rPr>
          <w:rFonts w:eastAsia="方正仿宋_GBK"/>
          <w:sz w:val="32"/>
          <w:szCs w:val="32"/>
        </w:rPr>
      </w:pPr>
      <w:r w:rsidRPr="003A2020">
        <w:rPr>
          <w:rFonts w:eastAsia="方正仿宋_GBK"/>
          <w:sz w:val="32"/>
          <w:szCs w:val="32"/>
        </w:rPr>
        <w:t>根据《</w:t>
      </w:r>
      <w:r w:rsidRPr="003A2020">
        <w:rPr>
          <w:rFonts w:eastAsia="方正仿宋_GBK"/>
          <w:sz w:val="32"/>
          <w:szCs w:val="32"/>
        </w:rPr>
        <w:t>重庆市璧山区</w:t>
      </w:r>
      <w:r w:rsidRPr="003A2020">
        <w:rPr>
          <w:rFonts w:eastAsia="方正仿宋_GBK"/>
          <w:sz w:val="32"/>
          <w:szCs w:val="32"/>
        </w:rPr>
        <w:t>商务委员会</w:t>
      </w:r>
      <w:r w:rsidRPr="003A2020">
        <w:rPr>
          <w:rFonts w:eastAsia="方正仿宋_GBK"/>
          <w:sz w:val="32"/>
          <w:szCs w:val="32"/>
        </w:rPr>
        <w:t>202</w:t>
      </w:r>
      <w:r w:rsidRPr="003A2020">
        <w:rPr>
          <w:rFonts w:eastAsia="方正仿宋_GBK"/>
          <w:sz w:val="32"/>
          <w:szCs w:val="32"/>
        </w:rPr>
        <w:t>2</w:t>
      </w:r>
      <w:r w:rsidRPr="003A2020">
        <w:rPr>
          <w:rFonts w:eastAsia="方正仿宋_GBK"/>
          <w:sz w:val="32"/>
          <w:szCs w:val="32"/>
        </w:rPr>
        <w:t>年度部门整体支出绩效自评表》中的指标体系分析情况，</w:t>
      </w:r>
      <w:r w:rsidRPr="003A2020">
        <w:rPr>
          <w:rFonts w:eastAsia="方正仿宋_GBK"/>
          <w:sz w:val="32"/>
          <w:szCs w:val="32"/>
        </w:rPr>
        <w:t>重庆市璧山区</w:t>
      </w:r>
      <w:r w:rsidRPr="003A2020">
        <w:rPr>
          <w:rFonts w:eastAsia="方正仿宋_GBK"/>
          <w:sz w:val="32"/>
          <w:szCs w:val="32"/>
        </w:rPr>
        <w:t>商务委员会</w:t>
      </w:r>
      <w:r w:rsidRPr="003A2020">
        <w:rPr>
          <w:rFonts w:eastAsia="方正仿宋_GBK"/>
          <w:sz w:val="32"/>
          <w:szCs w:val="32"/>
        </w:rPr>
        <w:t>202</w:t>
      </w:r>
      <w:r w:rsidRPr="003A2020">
        <w:rPr>
          <w:rFonts w:eastAsia="方正仿宋_GBK"/>
          <w:sz w:val="32"/>
          <w:szCs w:val="32"/>
        </w:rPr>
        <w:t>2</w:t>
      </w:r>
      <w:r w:rsidRPr="003A2020">
        <w:rPr>
          <w:rFonts w:eastAsia="方正仿宋_GBK"/>
          <w:sz w:val="32"/>
          <w:szCs w:val="32"/>
        </w:rPr>
        <w:t>年度部门整体支出绩效自评总得分</w:t>
      </w:r>
      <w:r w:rsidRPr="003A2020">
        <w:rPr>
          <w:rFonts w:eastAsia="方正仿宋_GBK"/>
          <w:sz w:val="32"/>
          <w:szCs w:val="32"/>
        </w:rPr>
        <w:t>96.53</w:t>
      </w:r>
      <w:r w:rsidRPr="003A2020">
        <w:rPr>
          <w:rFonts w:eastAsia="方正仿宋_GBK"/>
          <w:sz w:val="32"/>
          <w:szCs w:val="32"/>
        </w:rPr>
        <w:t>分，等级</w:t>
      </w:r>
      <w:r w:rsidRPr="003A2020">
        <w:rPr>
          <w:rFonts w:ascii="方正仿宋_GBK" w:eastAsia="方正仿宋_GBK" w:hint="eastAsia"/>
          <w:sz w:val="32"/>
          <w:szCs w:val="32"/>
        </w:rPr>
        <w:t>为“</w:t>
      </w:r>
      <w:r w:rsidRPr="003A2020">
        <w:rPr>
          <w:rFonts w:ascii="方正仿宋_GBK" w:eastAsia="方正仿宋_GBK" w:hint="eastAsia"/>
          <w:color w:val="000000" w:themeColor="text1"/>
          <w:sz w:val="32"/>
          <w:szCs w:val="32"/>
        </w:rPr>
        <w:t>优</w:t>
      </w:r>
      <w:r w:rsidRPr="003A2020">
        <w:rPr>
          <w:rFonts w:ascii="方正仿宋_GBK" w:eastAsia="方正仿宋_GBK" w:hint="eastAsia"/>
          <w:sz w:val="32"/>
          <w:szCs w:val="32"/>
        </w:rPr>
        <w:t>”</w:t>
      </w:r>
      <w:r w:rsidRPr="003A2020">
        <w:rPr>
          <w:rFonts w:eastAsia="方正仿宋_GBK"/>
          <w:sz w:val="32"/>
          <w:szCs w:val="32"/>
        </w:rPr>
        <w:t>。</w:t>
      </w:r>
      <w:r w:rsidRPr="003A2020">
        <w:rPr>
          <w:rFonts w:eastAsia="方正仿宋_GBK"/>
          <w:sz w:val="32"/>
          <w:szCs w:val="32"/>
        </w:rPr>
        <w:t>具体得分情况如表</w:t>
      </w:r>
      <w:r w:rsidRPr="003A2020">
        <w:rPr>
          <w:rFonts w:eastAsia="方正仿宋_GBK"/>
          <w:sz w:val="32"/>
          <w:szCs w:val="32"/>
        </w:rPr>
        <w:t>1</w:t>
      </w:r>
      <w:r w:rsidRPr="003A2020">
        <w:rPr>
          <w:rFonts w:eastAsia="方正仿宋_GBK"/>
          <w:sz w:val="32"/>
          <w:szCs w:val="32"/>
        </w:rPr>
        <w:t>所示。</w:t>
      </w:r>
    </w:p>
    <w:p w:rsidR="00B70539" w:rsidRDefault="00B70539">
      <w:pPr>
        <w:pStyle w:val="6"/>
        <w:rPr>
          <w:rFonts w:ascii="方正仿宋_GBK" w:eastAsia="方正仿宋_GBK" w:hAnsi="方正仿宋_GBK" w:cs="方正仿宋_GBK"/>
          <w:b w:val="0"/>
          <w:bCs w:val="0"/>
          <w:sz w:val="32"/>
          <w:szCs w:val="32"/>
        </w:rPr>
      </w:pPr>
    </w:p>
    <w:p w:rsidR="00B70539" w:rsidRDefault="00B7053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3A2020" w:rsidRDefault="003A202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center"/>
        <w:rPr>
          <w:rFonts w:ascii="方正仿宋_GBK" w:eastAsia="方正仿宋_GBK" w:hAnsi="方正仿宋_GBK" w:cs="方正仿宋_GBK"/>
          <w:kern w:val="0"/>
          <w:sz w:val="28"/>
          <w:szCs w:val="28"/>
          <w:shd w:val="clear" w:color="auto" w:fill="FFFFFF"/>
        </w:rPr>
        <w:sectPr w:rsidR="003A2020" w:rsidSect="002A6978">
          <w:footerReference w:type="even" r:id="rId8"/>
          <w:footerReference w:type="default" r:id="rId9"/>
          <w:pgSz w:w="11906" w:h="16838"/>
          <w:pgMar w:top="2155" w:right="1474" w:bottom="1985" w:left="1531" w:header="851" w:footer="992" w:gutter="0"/>
          <w:pgNumType w:fmt="numberInDash"/>
          <w:cols w:space="425"/>
          <w:docGrid w:type="lines" w:linePitch="312"/>
        </w:sectPr>
      </w:pPr>
    </w:p>
    <w:p w:rsidR="00B70539" w:rsidRDefault="000F7C4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center"/>
        <w:rPr>
          <w:rFonts w:ascii="方正仿宋_GBK" w:eastAsia="方正仿宋_GBK" w:hAnsi="方正仿宋_GBK" w:cs="方正仿宋_GBK"/>
          <w:kern w:val="0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  <w:shd w:val="clear" w:color="auto" w:fill="FFFFFF"/>
        </w:rPr>
        <w:lastRenderedPageBreak/>
        <w:t>表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  <w:shd w:val="clear" w:color="auto" w:fill="FFFFFF"/>
        </w:rPr>
        <w:t xml:space="preserve"> 1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  <w:shd w:val="clear" w:color="auto" w:fill="FFFFFF"/>
        </w:rPr>
        <w:t>：指标得分情况</w:t>
      </w:r>
    </w:p>
    <w:tbl>
      <w:tblPr>
        <w:tblW w:w="8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384"/>
        <w:gridCol w:w="1592"/>
        <w:gridCol w:w="1431"/>
      </w:tblGrid>
      <w:tr w:rsidR="00B70539">
        <w:trPr>
          <w:trHeight w:val="300"/>
        </w:trPr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指标名称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权重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得分率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预算执行率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6.52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65.27%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举办行业技能大赛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举办大型商务活动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资金补助合规率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项目绩效管理率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预决算公开率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  <w:tr w:rsidR="00B70539">
        <w:trPr>
          <w:trHeight w:val="662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对已发现市场违法行为查处率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服务企业满意度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  <w:tr w:rsidR="00B70539">
        <w:trPr>
          <w:trHeight w:val="585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群众满意度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539" w:rsidRDefault="000F7C4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100%</w:t>
            </w:r>
          </w:p>
        </w:tc>
      </w:tr>
    </w:tbl>
    <w:p w:rsidR="00B70539" w:rsidRDefault="000F7C45" w:rsidP="003A2020">
      <w:pPr>
        <w:adjustRightInd w:val="0"/>
        <w:snapToGrid w:val="0"/>
        <w:spacing w:line="596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bookmarkStart w:id="6" w:name="_Toc3423"/>
      <w:bookmarkStart w:id="7" w:name="_Toc12394"/>
      <w:r>
        <w:rPr>
          <w:rFonts w:eastAsia="方正黑体_GBK" w:hint="eastAsia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、存在的问题和建议</w:t>
      </w:r>
      <w:bookmarkEnd w:id="6"/>
      <w:bookmarkEnd w:id="7"/>
    </w:p>
    <w:p w:rsidR="00B70539" w:rsidRPr="003A2020" w:rsidRDefault="000F7C45" w:rsidP="003A2020">
      <w:pPr>
        <w:adjustRightInd w:val="0"/>
        <w:snapToGrid w:val="0"/>
        <w:spacing w:line="596" w:lineRule="exact"/>
        <w:ind w:firstLineChars="200" w:firstLine="640"/>
        <w:jc w:val="left"/>
        <w:outlineLvl w:val="1"/>
        <w:rPr>
          <w:rFonts w:ascii="方正楷体_GBK" w:eastAsia="方正楷体_GBK" w:hAnsi="仿宋_GB2312" w:cs="仿宋_GB2312"/>
          <w:bCs/>
          <w:sz w:val="32"/>
        </w:rPr>
      </w:pPr>
      <w:bookmarkStart w:id="8" w:name="_Toc8068"/>
      <w:r w:rsidRPr="003A2020">
        <w:rPr>
          <w:rFonts w:ascii="方正楷体_GBK" w:eastAsia="方正楷体_GBK" w:hAnsi="仿宋_GB2312" w:cs="仿宋_GB2312"/>
          <w:bCs/>
          <w:sz w:val="32"/>
        </w:rPr>
        <w:t>（一）预算执行工作水平有待提高</w:t>
      </w:r>
      <w:bookmarkEnd w:id="8"/>
    </w:p>
    <w:p w:rsidR="00B70539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年度，我部门</w:t>
      </w:r>
      <w:r>
        <w:rPr>
          <w:rFonts w:eastAsia="方正仿宋_GBK" w:hint="eastAsia"/>
          <w:sz w:val="32"/>
          <w:szCs w:val="32"/>
        </w:rPr>
        <w:t>预算执行率</w:t>
      </w:r>
      <w:r>
        <w:rPr>
          <w:rFonts w:eastAsia="方正仿宋_GBK"/>
          <w:sz w:val="32"/>
          <w:szCs w:val="32"/>
        </w:rPr>
        <w:t>为</w:t>
      </w:r>
      <w:r>
        <w:rPr>
          <w:rFonts w:eastAsia="方正仿宋_GBK" w:hint="eastAsia"/>
          <w:sz w:val="32"/>
          <w:szCs w:val="32"/>
        </w:rPr>
        <w:t>65.27</w:t>
      </w:r>
      <w:r>
        <w:rPr>
          <w:rFonts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，预算执行工作水平有待提高，下一步工作中，将加强预算管理，提高年初预算精准度，降低预算调整金额，合理配置预算，提高预算使</w:t>
      </w:r>
      <w:bookmarkStart w:id="9" w:name="_GoBack"/>
      <w:bookmarkEnd w:id="9"/>
      <w:r>
        <w:rPr>
          <w:rFonts w:eastAsia="方正仿宋_GBK"/>
          <w:sz w:val="32"/>
          <w:szCs w:val="32"/>
        </w:rPr>
        <w:t>用效率，提升部门整体预算执行工作水平。</w:t>
      </w:r>
    </w:p>
    <w:p w:rsidR="00B70539" w:rsidRPr="003A2020" w:rsidRDefault="000F7C45" w:rsidP="003A2020">
      <w:pPr>
        <w:adjustRightInd w:val="0"/>
        <w:snapToGrid w:val="0"/>
        <w:spacing w:line="596" w:lineRule="exact"/>
        <w:ind w:firstLineChars="200" w:firstLine="640"/>
        <w:outlineLvl w:val="1"/>
        <w:rPr>
          <w:rFonts w:ascii="方正楷体_GBK" w:eastAsia="方正楷体_GBK" w:hAnsi="仿宋_GB2312" w:cs="仿宋_GB2312"/>
          <w:bCs/>
          <w:sz w:val="32"/>
        </w:rPr>
      </w:pPr>
      <w:bookmarkStart w:id="10" w:name="_Toc18726"/>
      <w:r w:rsidRPr="003A2020">
        <w:rPr>
          <w:rFonts w:ascii="方正楷体_GBK" w:eastAsia="方正楷体_GBK" w:hAnsi="仿宋_GB2312" w:cs="仿宋_GB2312"/>
          <w:bCs/>
          <w:sz w:val="32"/>
        </w:rPr>
        <w:t>（二）预算管理体系有待完善</w:t>
      </w:r>
      <w:bookmarkEnd w:id="10"/>
    </w:p>
    <w:p w:rsidR="00B70539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我部门在日常工作中严格贯彻落实厉行节约、反对浪费精神，但未单独建立和制定本部门的厉行节约制度，下一步工作中</w:t>
      </w:r>
      <w:r>
        <w:rPr>
          <w:rFonts w:eastAsia="方正仿宋_GBK"/>
          <w:sz w:val="32"/>
          <w:szCs w:val="32"/>
        </w:rPr>
        <w:lastRenderedPageBreak/>
        <w:t>将建立健全厉行节约制度，不断完善本部门的预算管理体系。</w:t>
      </w:r>
    </w:p>
    <w:p w:rsidR="00B70539" w:rsidRDefault="00B70539" w:rsidP="003A2020">
      <w:pPr>
        <w:pStyle w:val="6"/>
        <w:keepNext w:val="0"/>
        <w:keepLines w:val="0"/>
        <w:adjustRightInd w:val="0"/>
        <w:snapToGrid w:val="0"/>
        <w:spacing w:before="0" w:after="0" w:line="596" w:lineRule="exact"/>
      </w:pPr>
    </w:p>
    <w:p w:rsidR="003A2020" w:rsidRPr="003A2020" w:rsidRDefault="003A2020" w:rsidP="003A2020">
      <w:pPr>
        <w:adjustRightInd w:val="0"/>
        <w:snapToGrid w:val="0"/>
        <w:spacing w:line="596" w:lineRule="exact"/>
        <w:rPr>
          <w:rFonts w:hint="eastAsia"/>
        </w:rPr>
      </w:pPr>
    </w:p>
    <w:p w:rsidR="00B70539" w:rsidRDefault="000F7C45" w:rsidP="003A2020">
      <w:pPr>
        <w:adjustRightInd w:val="0"/>
        <w:snapToGrid w:val="0"/>
        <w:spacing w:line="596" w:lineRule="exact"/>
        <w:ind w:rightChars="200" w:right="42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重庆市璧山区商务委员会</w:t>
      </w:r>
    </w:p>
    <w:p w:rsidR="00B70539" w:rsidRDefault="000F7C45" w:rsidP="003A2020">
      <w:pPr>
        <w:adjustRightInd w:val="0"/>
        <w:snapToGrid w:val="0"/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</w:t>
      </w:r>
      <w:r w:rsidR="003A2020"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30</w:t>
      </w:r>
      <w:r>
        <w:rPr>
          <w:rFonts w:eastAsia="方正仿宋_GBK"/>
          <w:sz w:val="32"/>
          <w:szCs w:val="32"/>
        </w:rPr>
        <w:t>日</w:t>
      </w:r>
    </w:p>
    <w:p w:rsidR="00B70539" w:rsidRDefault="00B70539">
      <w:pPr>
        <w:ind w:left="642"/>
      </w:pPr>
    </w:p>
    <w:p w:rsidR="00B70539" w:rsidRDefault="00B70539"/>
    <w:sectPr w:rsidR="00B70539" w:rsidSect="002A6978">
      <w:pgSz w:w="11906" w:h="16838"/>
      <w:pgMar w:top="2155" w:right="1474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45" w:rsidRDefault="000F7C45" w:rsidP="002A6978">
      <w:r>
        <w:separator/>
      </w:r>
    </w:p>
  </w:endnote>
  <w:endnote w:type="continuationSeparator" w:id="0">
    <w:p w:rsidR="000F7C45" w:rsidRDefault="000F7C45" w:rsidP="002A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2703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A6978" w:rsidRPr="002A6978" w:rsidRDefault="002A6978">
        <w:pPr>
          <w:pStyle w:val="a7"/>
          <w:rPr>
            <w:rFonts w:ascii="宋体" w:hAnsi="宋体"/>
            <w:sz w:val="28"/>
            <w:szCs w:val="28"/>
          </w:rPr>
        </w:pPr>
        <w:r w:rsidRPr="002A6978">
          <w:rPr>
            <w:rFonts w:ascii="宋体" w:hAnsi="宋体"/>
            <w:sz w:val="28"/>
            <w:szCs w:val="28"/>
          </w:rPr>
          <w:fldChar w:fldCharType="begin"/>
        </w:r>
        <w:r w:rsidRPr="002A6978">
          <w:rPr>
            <w:rFonts w:ascii="宋体" w:hAnsi="宋体"/>
            <w:sz w:val="28"/>
            <w:szCs w:val="28"/>
          </w:rPr>
          <w:instrText>PAGE   \* MERGEFORMAT</w:instrText>
        </w:r>
        <w:r w:rsidRPr="002A6978">
          <w:rPr>
            <w:rFonts w:ascii="宋体" w:hAnsi="宋体"/>
            <w:sz w:val="28"/>
            <w:szCs w:val="28"/>
          </w:rPr>
          <w:fldChar w:fldCharType="separate"/>
        </w:r>
        <w:r w:rsidRPr="002A6978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6 -</w:t>
        </w:r>
        <w:r w:rsidRPr="002A6978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A6978" w:rsidRDefault="002A6978" w:rsidP="002A6978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5759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A6978" w:rsidRPr="002A6978" w:rsidRDefault="002A6978" w:rsidP="002A6978">
        <w:pPr>
          <w:pStyle w:val="a7"/>
          <w:jc w:val="right"/>
          <w:rPr>
            <w:rFonts w:ascii="宋体" w:hAnsi="宋体"/>
            <w:sz w:val="28"/>
            <w:szCs w:val="28"/>
          </w:rPr>
        </w:pPr>
        <w:r w:rsidRPr="002A6978">
          <w:rPr>
            <w:rFonts w:ascii="宋体" w:hAnsi="宋体"/>
            <w:sz w:val="28"/>
            <w:szCs w:val="28"/>
          </w:rPr>
          <w:fldChar w:fldCharType="begin"/>
        </w:r>
        <w:r w:rsidRPr="002A6978">
          <w:rPr>
            <w:rFonts w:ascii="宋体" w:hAnsi="宋体"/>
            <w:sz w:val="28"/>
            <w:szCs w:val="28"/>
          </w:rPr>
          <w:instrText>PAGE   \* MERGEFORMAT</w:instrText>
        </w:r>
        <w:r w:rsidRPr="002A6978">
          <w:rPr>
            <w:rFonts w:ascii="宋体" w:hAnsi="宋体"/>
            <w:sz w:val="28"/>
            <w:szCs w:val="28"/>
          </w:rPr>
          <w:fldChar w:fldCharType="separate"/>
        </w:r>
        <w:r w:rsidRPr="002A6978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7 -</w:t>
        </w:r>
        <w:r w:rsidRPr="002A6978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A6978" w:rsidRDefault="002A69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45" w:rsidRDefault="000F7C45" w:rsidP="002A6978">
      <w:r>
        <w:separator/>
      </w:r>
    </w:p>
  </w:footnote>
  <w:footnote w:type="continuationSeparator" w:id="0">
    <w:p w:rsidR="000F7C45" w:rsidRDefault="000F7C45" w:rsidP="002A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1CC565"/>
    <w:multiLevelType w:val="singleLevel"/>
    <w:tmpl w:val="D21CC565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29F0CF6C"/>
    <w:multiLevelType w:val="singleLevel"/>
    <w:tmpl w:val="29F0CF6C"/>
    <w:lvl w:ilvl="0">
      <w:start w:val="2"/>
      <w:numFmt w:val="chineseCounting"/>
      <w:suff w:val="nothing"/>
      <w:lvlText w:val="（%1）"/>
      <w:lvlJc w:val="left"/>
      <w:pPr>
        <w:ind w:left="642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7E5F"/>
    <w:rsid w:val="000F7C45"/>
    <w:rsid w:val="002A6978"/>
    <w:rsid w:val="003A2020"/>
    <w:rsid w:val="00B70539"/>
    <w:rsid w:val="00EC2394"/>
    <w:rsid w:val="2EA77E00"/>
    <w:rsid w:val="318D4666"/>
    <w:rsid w:val="37BD3CE3"/>
    <w:rsid w:val="488D050F"/>
    <w:rsid w:val="5C4A7E5F"/>
    <w:rsid w:val="6AE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2E882"/>
  <w15:docId w15:val="{00DEA544-2F3C-47C6-8867-834B9D0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2A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6978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2A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697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p'c</cp:lastModifiedBy>
  <cp:revision>3</cp:revision>
  <dcterms:created xsi:type="dcterms:W3CDTF">2023-03-31T06:45:00Z</dcterms:created>
  <dcterms:modified xsi:type="dcterms:W3CDTF">2023-09-11T09:47:00Z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