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重庆市璧山区</w:t>
      </w:r>
      <w:r>
        <w:rPr>
          <w:rFonts w:hint="eastAsia" w:eastAsia="方正小标宋_GBK"/>
          <w:sz w:val="44"/>
          <w:szCs w:val="32"/>
          <w:lang w:val="en-US" w:eastAsia="zh-CN"/>
        </w:rPr>
        <w:t>福禄</w:t>
      </w:r>
      <w:r>
        <w:rPr>
          <w:rFonts w:hint="eastAsia" w:eastAsia="方正小标宋_GBK"/>
          <w:sz w:val="44"/>
          <w:szCs w:val="32"/>
          <w:lang w:eastAsia="zh-CN"/>
        </w:rPr>
        <w:t>镇卫生院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仿宋_GBK"/>
          <w:sz w:val="32"/>
          <w:szCs w:val="32"/>
        </w:rPr>
      </w:pP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</w:rPr>
      </w:pPr>
      <w:r>
        <w:rPr>
          <w:rFonts w:hint="eastAsia" w:ascii="方正楷体_GBK" w:hAnsi="黑体" w:eastAsia="方正楷体_GBK" w:cs="仿宋_GB2312"/>
          <w:sz w:val="32"/>
        </w:rPr>
        <w:t>（一）职能职责</w:t>
      </w:r>
      <w:r>
        <w:rPr>
          <w:rFonts w:hint="eastAsia" w:ascii="仿宋_GB2312" w:hAnsi="黑体" w:eastAsia="仿宋_GB2312" w:cs="仿宋_GB2312"/>
          <w:sz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预防为主，控制危害地方病、传染病等重大疾病；开展疫情报告和监测工作；及时处理公共卫生突发事件；普及健康教育知识，实施初级卫生保健、指导辖区内医疗机构业务等管理工作。具体职责任务包括：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Times New Roman" w:hAnsi="Times New Roman" w:eastAsia="方正仿宋_GBK" w:cs="方正仿宋_GBK"/>
          <w:sz w:val="32"/>
        </w:rPr>
        <w:t>1</w:t>
      </w:r>
      <w:r>
        <w:rPr>
          <w:rFonts w:hint="eastAsia" w:ascii="方正仿宋_GBK" w:hAnsi="方正仿宋_GBK" w:eastAsia="方正仿宋_GBK" w:cs="方正仿宋_GBK"/>
          <w:sz w:val="32"/>
        </w:rPr>
        <w:t>）、基本医疗服务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主要是开展一般常见病、多发病、地方病的基本医疗服务；现场救护和转诊服等服务。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Times New Roman" w:hAnsi="Times New Roman" w:eastAsia="方正仿宋_GBK" w:cs="方正仿宋_GBK"/>
          <w:sz w:val="32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）、公共卫生服务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主要是坚持预防为主，重点预防控制危害农村居民身体健康的地方病、多发病等重大疾病；开展妇幼保健和残疾人康复工作；慢性病管理服务，开展疫情报告和监测工作；及时处理农村重大疫情和公共卫生突发事件；计划生育指导等基本公共卫生服务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Times New Roman" w:hAnsi="Times New Roman" w:eastAsia="方正仿宋_GBK" w:cs="方正仿宋_GBK"/>
          <w:sz w:val="32"/>
        </w:rPr>
        <w:t>3</w:t>
      </w:r>
      <w:r>
        <w:rPr>
          <w:rFonts w:hint="eastAsia" w:ascii="方正仿宋_GBK" w:hAnsi="方正仿宋_GBK" w:eastAsia="方正仿宋_GBK" w:cs="方正仿宋_GBK"/>
          <w:sz w:val="32"/>
        </w:rPr>
        <w:t>）、综合管理服务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主要是组织实施初级卫生保健、协助卫生行政主管部门指导辖区内诊所、村卫生室业务工作，进行辖区公共卫生管理；协助开展辖区内公共卫生监督工作和技术指导；做好医疗卫生信息统计报告工作，完整、及时、准确报告相关信息，逐步推进乡村卫生服务一体化管理；普及健康教育知识，进行爱国卫生指导等工作。</w:t>
      </w:r>
    </w:p>
    <w:p>
      <w:pPr>
        <w:spacing w:line="600" w:lineRule="exact"/>
        <w:ind w:firstLine="640" w:firstLineChars="200"/>
        <w:rPr>
          <w:rFonts w:hint="eastAsia" w:ascii="方正楷体_GBK" w:hAnsi="黑体" w:eastAsia="方正楷体_GBK" w:cs="仿宋_GB2312"/>
          <w:sz w:val="32"/>
        </w:rPr>
      </w:pPr>
      <w:r>
        <w:rPr>
          <w:rFonts w:hint="eastAsia" w:ascii="方正楷体_GBK" w:hAnsi="黑体" w:eastAsia="方正楷体_GBK" w:cs="仿宋_GB2312"/>
          <w:sz w:val="32"/>
        </w:rPr>
        <w:t>（二）机构构成。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我院为卫生健康委所属正科级公益一类事业单位。经费性质现为财政差额拨款。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我院核定的人员编制数为</w:t>
      </w:r>
      <w:r>
        <w:rPr>
          <w:rFonts w:hint="eastAsia" w:ascii="Times New Roman" w:hAnsi="Times New Roman" w:eastAsia="方正仿宋_GBK" w:cs="方正仿宋_GBK"/>
          <w:sz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人，领导职数为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人。现有职工</w:t>
      </w:r>
      <w:r>
        <w:rPr>
          <w:rFonts w:hint="eastAsia" w:ascii="Times New Roman" w:hAnsi="Times New Roman" w:eastAsia="方正仿宋_GBK" w:cs="方正仿宋_GBK"/>
          <w:sz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</w:rPr>
        <w:t>人，退休职工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</w:rPr>
        <w:t>人，经批准聘用的临时工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</w:rPr>
        <w:t>人。设有内科、外科、妇科、中医科及B超、心电图、放射、检验等科室，共计</w:t>
      </w:r>
      <w:r>
        <w:rPr>
          <w:rFonts w:hint="eastAsia" w:ascii="Times New Roman" w:hAnsi="Times New Roman" w:eastAsia="方正仿宋_GBK" w:cs="方正仿宋_GBK"/>
          <w:sz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</w:rPr>
        <w:t>张床位。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黑体" w:eastAsia="方正楷体_GBK" w:cs="仿宋_GB2312"/>
          <w:sz w:val="32"/>
          <w:lang w:eastAsia="zh-CN"/>
        </w:rPr>
        <w:t>（三）</w:t>
      </w:r>
      <w:r>
        <w:rPr>
          <w:rFonts w:hint="eastAsia" w:ascii="方正楷体_GBK" w:hAnsi="黑体" w:eastAsia="方正楷体_GBK" w:cs="仿宋_GB2312"/>
          <w:sz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收入预算：</w:t>
      </w:r>
      <w:r>
        <w:rPr>
          <w:rFonts w:hint="eastAsia" w:ascii="Times New Roman" w:hAnsi="Times New Roman" w:eastAsia="方正仿宋_GBK" w:cs="方正仿宋_GBK"/>
          <w:sz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年年初预算数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1162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</w:rPr>
        <w:t>万元，其中：一般公共预算拨款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929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87</w:t>
      </w:r>
      <w:r>
        <w:rPr>
          <w:rFonts w:hint="eastAsia" w:ascii="方正仿宋_GBK" w:hAnsi="方正仿宋_GBK" w:eastAsia="方正仿宋_GBK" w:cs="方正仿宋_GBK"/>
          <w:sz w:val="32"/>
        </w:rPr>
        <w:t>万元，事业单位经营收入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232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96</w:t>
      </w:r>
      <w:r>
        <w:rPr>
          <w:rFonts w:hint="eastAsia" w:ascii="方正仿宋_GBK" w:hAnsi="方正仿宋_GBK" w:eastAsia="方正仿宋_GBK" w:cs="方正仿宋_GBK"/>
          <w:sz w:val="32"/>
        </w:rPr>
        <w:t>万元。收入较去年增加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524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75</w:t>
      </w:r>
      <w:r>
        <w:rPr>
          <w:rFonts w:hint="eastAsia" w:ascii="方正仿宋_GBK" w:hAnsi="方正仿宋_GBK" w:eastAsia="方正仿宋_GBK" w:cs="方正仿宋_GBK"/>
          <w:sz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支出情况：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年支出数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1162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万元，其中：一般公共预算拨款支出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929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87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</w:rPr>
        <w:t>经营或事业收入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支出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134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万元，其他支出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77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万元。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二、绩效评价基本情况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ascii="方正楷体_GBK" w:hAnsi="黑体" w:eastAsia="方正楷体_GBK" w:cs="仿宋_GB2312"/>
          <w:sz w:val="32"/>
          <w:lang w:eastAsia="zh-CN"/>
        </w:rPr>
      </w:pPr>
      <w:r>
        <w:rPr>
          <w:rFonts w:hint="eastAsia" w:ascii="方正楷体_GBK" w:hAnsi="黑体" w:eastAsia="方正楷体_GBK" w:cs="仿宋_GB2312"/>
          <w:sz w:val="32"/>
          <w:lang w:eastAsia="zh-CN"/>
        </w:rPr>
        <w:t>（一）绩效评价目的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严格落实《预算法》及市、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</w:rPr>
        <w:t>绩效管理工作的有关规定，进一步规范财政资金的管理，强化财政支出绩效理念，提升部门责任意识，提高资金使用效益，促进供销工作的发展。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ascii="方正楷体_GBK" w:hAnsi="黑体" w:eastAsia="方正楷体_GBK" w:cs="仿宋_GB2312"/>
          <w:sz w:val="32"/>
          <w:lang w:eastAsia="zh-CN"/>
        </w:rPr>
      </w:pPr>
      <w:r>
        <w:rPr>
          <w:rFonts w:hint="eastAsia" w:ascii="方正楷体_GBK" w:hAnsi="黑体" w:eastAsia="方正楷体_GBK" w:cs="仿宋_GB2312"/>
          <w:sz w:val="32"/>
          <w:lang w:eastAsia="zh-CN"/>
        </w:rPr>
        <w:t>（二）绩效评价原则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绩效评价原则包括科学规范原则、公开公正原则、分级分类原则、绩效相关原则。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ascii="方正楷体_GBK" w:hAnsi="黑体" w:eastAsia="方正楷体_GBK" w:cs="仿宋_GB2312"/>
          <w:sz w:val="32"/>
          <w:lang w:eastAsia="zh-CN"/>
        </w:rPr>
      </w:pPr>
      <w:r>
        <w:rPr>
          <w:rFonts w:hint="eastAsia" w:ascii="方正楷体_GBK" w:hAnsi="黑体" w:eastAsia="方正楷体_GBK" w:cs="仿宋_GB2312"/>
          <w:sz w:val="32"/>
          <w:lang w:eastAsia="zh-CN"/>
        </w:rPr>
        <w:t>（三）绩效评价工作过程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根据绩效评价的要求，成立了自评工作领导小组，对照自评方案进行研究和布署，党组成员及各科室全程参与，按照自评方案的要求，对照各实施项目的内容逐条逐项自评。在自评过程发现问题，查找原因，及时纠正偏差，为下一步工作夯实基础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三、绩效评价情况及结论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根据年初工作规划和重点性工作，较好的完成了年度工作目标。通过加强预算收支管理，不断建立健全内部管理制度，梳理内部管理流程，部门整体支出管理情况得到提升。支出总额控制在预算总额以内，除专项预算的追加和政策性工资绩效预算的追加外，本年部门预算未进行预算相关事项的调整；“三公”经费总体控制较好，超本年预算和上年决算支出较少。预算管理方面，制度执行总体较为有效，仍需进一步强化；资金使用管理需进一步加强。资产管理方面，建立了资产管理制度，定期进行了盘点和资产清理，总体执行较好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，评价结果为“优”。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主要经验及做法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完善制度，规范管理，对单位行政运行、内部控制、会议、差旅等严格按照最新规定执行；严格执行预算，控制各项经费支出；完善监督，建立长效机制。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五、存在的问题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预算编制前根据年度内单位可预见的工作任务，确定了单位年度预算目标，细化了预算指标，但是在实际支付过程中，个别时候未严格按照预算指标执行。财务制度不够完善，资产管理不够严谨，业务素质有待提高。</w:t>
      </w:r>
    </w:p>
    <w:p>
      <w:pPr>
        <w:tabs>
          <w:tab w:val="left" w:pos="5514"/>
        </w:tabs>
        <w:spacing w:line="596" w:lineRule="exact"/>
        <w:ind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六、</w:t>
      </w:r>
      <w:r>
        <w:rPr>
          <w:rFonts w:hint="eastAsia" w:eastAsia="方正黑体_GBK"/>
          <w:sz w:val="32"/>
          <w:szCs w:val="32"/>
        </w:rPr>
        <w:t>建议</w:t>
      </w:r>
      <w:r>
        <w:rPr>
          <w:rFonts w:hint="eastAsia" w:eastAsia="方正黑体_GBK"/>
          <w:sz w:val="32"/>
          <w:szCs w:val="32"/>
          <w:lang w:eastAsia="zh-CN"/>
        </w:rPr>
        <w:tab/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加强学习，提高思想认识。组织单位财务人员认真学习《预算法》 等相关法规、制度，提高单位领导对全面预算管理的重视程度，增强财务人员的预算意识。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规范财务运行，加强预算支出管理。严格遵循“先有预算、 后有支出”的原则，在资金支付管理方面，严格按照规定程序向财政部门申请用款，在财政部门批复的支出预算资金范围内申请使用一般预算支出经费。建立健全并认真执行各项资金使用管理制度，建立内部控制机制，资金使用严格履行审批程序， 确保资金支出合法、真实。严格落实会计核算、报销审批制度，加强对资金使用环节的监督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重庆市璧山区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福禄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镇卫生院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日</w:t>
      </w:r>
    </w:p>
    <w:sectPr>
      <w:pgSz w:w="11906" w:h="16838"/>
      <w:pgMar w:top="158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yZjE5Y2JlMjQ5ZWExMDU4MGFhMDJjOGEwODcxODA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32674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5A3207B"/>
    <w:rsid w:val="13C16323"/>
    <w:rsid w:val="1EA96823"/>
    <w:rsid w:val="2BEC28CB"/>
    <w:rsid w:val="2EB11786"/>
    <w:rsid w:val="35A62C8F"/>
    <w:rsid w:val="35D10B78"/>
    <w:rsid w:val="402F62C7"/>
    <w:rsid w:val="434427B5"/>
    <w:rsid w:val="44CC0C7F"/>
    <w:rsid w:val="552A2ECE"/>
    <w:rsid w:val="60322C30"/>
    <w:rsid w:val="626D521C"/>
    <w:rsid w:val="75200EC8"/>
    <w:rsid w:val="783316E1"/>
    <w:rsid w:val="792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1658</Words>
  <Characters>1716</Characters>
  <Lines>1</Lines>
  <Paragraphs>1</Paragraphs>
  <TotalTime>18</TotalTime>
  <ScaleCrop>false</ScaleCrop>
  <LinksUpToDate>false</LinksUpToDate>
  <CharactersWithSpaces>1744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7号球</cp:lastModifiedBy>
  <cp:lastPrinted>2020-04-20T08:58:00Z</cp:lastPrinted>
  <dcterms:modified xsi:type="dcterms:W3CDTF">2023-09-12T03:02:35Z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3A6CABC4B1A741DDAA4620F2C09EE8AA</vt:lpwstr>
  </property>
</Properties>
</file>