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left"/>
        <w:rPr>
          <w:rFonts w:hint="eastAsia" w:ascii="方正仿宋_GBK" w:eastAsia="方正仿宋_GBK"/>
          <w:sz w:val="32"/>
          <w:szCs w:val="32"/>
          <w:lang w:eastAsia="zh-CN"/>
        </w:rPr>
      </w:pPr>
      <w:r>
        <w:rPr>
          <w:rFonts w:hint="eastAsia" w:ascii="方正黑体_GBK" w:hAnsi="方正黑体_GBK" w:eastAsia="方正黑体_GBK" w:cs="方正黑体_GBK"/>
          <w:sz w:val="32"/>
          <w:szCs w:val="32"/>
        </w:rPr>
        <w:t>附件</w:t>
      </w:r>
      <w:bookmarkStart w:id="0" w:name="_GoBack"/>
      <w:r>
        <w:rPr>
          <w:rFonts w:hint="default" w:ascii="Times New Roman" w:hAnsi="Times New Roman" w:eastAsia="方正仿宋_GBK" w:cs="Times New Roman"/>
          <w:sz w:val="32"/>
          <w:szCs w:val="32"/>
          <w:lang w:val="en-US" w:eastAsia="zh-CN"/>
        </w:rPr>
        <w:t>3</w:t>
      </w:r>
      <w:bookmarkEnd w:id="0"/>
    </w:p>
    <w:p>
      <w:pPr>
        <w:spacing w:line="596" w:lineRule="exact"/>
        <w:jc w:val="center"/>
        <w:rPr>
          <w:rFonts w:hint="eastAsia" w:eastAsia="方正小标宋_GBK"/>
          <w:sz w:val="44"/>
          <w:szCs w:val="32"/>
        </w:rPr>
      </w:pPr>
    </w:p>
    <w:p>
      <w:pPr>
        <w:spacing w:line="596" w:lineRule="exact"/>
        <w:jc w:val="center"/>
        <w:rPr>
          <w:rFonts w:hint="eastAsia" w:eastAsia="方正小标宋_GBK"/>
          <w:b/>
          <w:bCs/>
          <w:sz w:val="44"/>
          <w:szCs w:val="32"/>
          <w:lang w:eastAsia="zh-CN"/>
        </w:rPr>
      </w:pPr>
      <w:r>
        <w:rPr>
          <w:rFonts w:hint="eastAsia" w:eastAsia="方正小标宋_GBK"/>
          <w:b/>
          <w:bCs/>
          <w:sz w:val="44"/>
          <w:szCs w:val="32"/>
          <w:lang w:eastAsia="zh-CN"/>
        </w:rPr>
        <w:t>区委编办</w:t>
      </w:r>
    </w:p>
    <w:p>
      <w:pPr>
        <w:pStyle w:val="9"/>
        <w:spacing w:line="596" w:lineRule="exact"/>
        <w:ind w:left="359" w:leftChars="171" w:firstLine="1104" w:firstLineChars="250"/>
        <w:rPr>
          <w:rFonts w:eastAsia="方正小标宋_GBK"/>
          <w:sz w:val="44"/>
          <w:szCs w:val="32"/>
        </w:rPr>
      </w:pPr>
      <w:r>
        <w:rPr>
          <w:rFonts w:hint="eastAsia" w:eastAsia="方正小标宋_GBK"/>
          <w:b/>
          <w:bCs/>
          <w:sz w:val="44"/>
          <w:szCs w:val="32"/>
        </w:rPr>
        <w:t>202</w:t>
      </w:r>
      <w:r>
        <w:rPr>
          <w:rFonts w:hint="eastAsia" w:eastAsia="方正小标宋_GBK"/>
          <w:b/>
          <w:bCs/>
          <w:sz w:val="44"/>
          <w:szCs w:val="32"/>
          <w:lang w:val="en-US" w:eastAsia="zh-CN"/>
        </w:rPr>
        <w:t>2</w:t>
      </w:r>
      <w:r>
        <w:rPr>
          <w:rFonts w:eastAsia="方正小标宋_GBK"/>
          <w:b/>
          <w:bCs/>
          <w:sz w:val="44"/>
          <w:szCs w:val="32"/>
        </w:rPr>
        <w:t>年</w:t>
      </w:r>
      <w:r>
        <w:rPr>
          <w:rFonts w:hint="eastAsia" w:eastAsia="方正小标宋_GBK"/>
          <w:b/>
          <w:bCs/>
          <w:sz w:val="44"/>
          <w:szCs w:val="32"/>
        </w:rPr>
        <w:t>度</w:t>
      </w:r>
      <w:r>
        <w:rPr>
          <w:rFonts w:eastAsia="方正小标宋_GBK"/>
          <w:b/>
          <w:bCs/>
          <w:sz w:val="44"/>
          <w:szCs w:val="32"/>
        </w:rPr>
        <w:t>整体支出绩效</w:t>
      </w:r>
      <w:r>
        <w:rPr>
          <w:rFonts w:hint="eastAsia" w:eastAsia="方正小标宋_GBK"/>
          <w:b/>
          <w:bCs/>
          <w:sz w:val="44"/>
          <w:szCs w:val="32"/>
        </w:rPr>
        <w:t>自评</w:t>
      </w:r>
      <w:r>
        <w:rPr>
          <w:rFonts w:eastAsia="方正小标宋_GBK"/>
          <w:b/>
          <w:bCs/>
          <w:sz w:val="44"/>
          <w:szCs w:val="32"/>
        </w:rPr>
        <w:t>报告</w:t>
      </w:r>
    </w:p>
    <w:p>
      <w:pPr>
        <w:pStyle w:val="9"/>
        <w:spacing w:line="596" w:lineRule="exact"/>
        <w:ind w:left="357" w:firstLine="640"/>
        <w:rPr>
          <w:rFonts w:eastAsia="方正仿宋_GBK"/>
          <w:sz w:val="32"/>
          <w:szCs w:val="32"/>
        </w:rPr>
      </w:pPr>
    </w:p>
    <w:p>
      <w:pPr>
        <w:spacing w:line="596" w:lineRule="exact"/>
        <w:ind w:firstLine="640" w:firstLineChars="200"/>
        <w:rPr>
          <w:rFonts w:eastAsia="方正黑体_GBK"/>
          <w:sz w:val="32"/>
          <w:szCs w:val="32"/>
        </w:rPr>
      </w:pPr>
      <w:r>
        <w:rPr>
          <w:rFonts w:eastAsia="方正黑体_GBK"/>
          <w:sz w:val="32"/>
          <w:szCs w:val="32"/>
        </w:rPr>
        <w:t>一</w:t>
      </w:r>
      <w:r>
        <w:rPr>
          <w:rFonts w:hint="eastAsia" w:ascii="方正仿宋_GBK" w:eastAsia="方正仿宋_GBK"/>
          <w:sz w:val="32"/>
          <w:szCs w:val="32"/>
        </w:rPr>
        <w:t>、</w:t>
      </w:r>
      <w:r>
        <w:rPr>
          <w:rFonts w:eastAsia="方正黑体_GBK"/>
          <w:sz w:val="32"/>
          <w:szCs w:val="32"/>
        </w:rPr>
        <w:t>基本</w:t>
      </w:r>
      <w:r>
        <w:rPr>
          <w:rFonts w:hint="eastAsia" w:eastAsia="方正黑体_GBK"/>
          <w:sz w:val="32"/>
          <w:szCs w:val="32"/>
        </w:rPr>
        <w:t>情况</w:t>
      </w:r>
    </w:p>
    <w:p>
      <w:pPr>
        <w:spacing w:line="594" w:lineRule="exact"/>
        <w:ind w:firstLine="640" w:firstLineChars="200"/>
        <w:rPr>
          <w:rFonts w:ascii="方正楷体_GBK" w:hAnsi="仿宋_GB2312" w:eastAsia="方正楷体_GBK" w:cs="仿宋_GB2312"/>
          <w:color w:val="FF0000"/>
          <w:sz w:val="32"/>
          <w:shd w:val="pct10" w:color="auto" w:fill="FFFFFF"/>
        </w:rPr>
      </w:pPr>
      <w:r>
        <w:rPr>
          <w:rFonts w:hint="eastAsia" w:ascii="方正楷体_GBK" w:hAnsi="方正楷体_GBK" w:eastAsia="方正楷体_GBK" w:cs="方正楷体_GBK"/>
          <w:sz w:val="32"/>
          <w:szCs w:val="32"/>
        </w:rPr>
        <w:t>（一）部门（单位）基本情况</w:t>
      </w:r>
    </w:p>
    <w:p>
      <w:pPr>
        <w:spacing w:line="594" w:lineRule="exact"/>
        <w:ind w:firstLine="640" w:firstLineChars="200"/>
        <w:rPr>
          <w:rFonts w:eastAsia="方正仿宋_GBK"/>
          <w:sz w:val="32"/>
          <w:szCs w:val="32"/>
        </w:rPr>
      </w:pPr>
      <w:r>
        <w:rPr>
          <w:rFonts w:hint="eastAsia" w:eastAsia="方正仿宋_GBK"/>
          <w:sz w:val="32"/>
          <w:szCs w:val="32"/>
        </w:rPr>
        <w:t>中共重庆市璧山区委机构编制委员会办公室为中共重庆市璧山区委机构编制委员会的办事机构，承担区委编委日常工作，作为区委工作机关，归口区委组织部管理，正处级。</w:t>
      </w:r>
      <w:r>
        <w:rPr>
          <w:rFonts w:hint="eastAsia" w:eastAsia="方正仿宋_GBK"/>
          <w:sz w:val="32"/>
        </w:rPr>
        <w:t>设</w:t>
      </w:r>
      <w:r>
        <w:rPr>
          <w:rFonts w:eastAsia="方正仿宋_GBK"/>
          <w:sz w:val="32"/>
        </w:rPr>
        <w:t>内设机构3个：综合科</w:t>
      </w:r>
      <w:r>
        <w:rPr>
          <w:rFonts w:hint="eastAsia" w:eastAsia="方正仿宋_GBK"/>
          <w:sz w:val="32"/>
        </w:rPr>
        <w:t>（督查科）</w:t>
      </w:r>
      <w:r>
        <w:rPr>
          <w:rFonts w:eastAsia="方正仿宋_GBK"/>
          <w:sz w:val="32"/>
        </w:rPr>
        <w:t>、行政机构编制科、事业机构编制科</w:t>
      </w:r>
      <w:r>
        <w:rPr>
          <w:rFonts w:hint="eastAsia" w:eastAsia="方正仿宋_GBK"/>
          <w:sz w:val="32"/>
        </w:rPr>
        <w:t>（重庆市璧山区事业单位登记管理局），管理</w:t>
      </w:r>
      <w:r>
        <w:rPr>
          <w:rFonts w:eastAsia="方正仿宋_GBK"/>
          <w:sz w:val="32"/>
        </w:rPr>
        <w:t>财政全额补助公益一类正科级事业单位重庆市璧山区事业单位登记中心。</w:t>
      </w:r>
      <w:r>
        <w:rPr>
          <w:rFonts w:hint="eastAsia" w:eastAsia="方正仿宋_GBK"/>
          <w:sz w:val="32"/>
        </w:rPr>
        <w:t>核定行政编制9名，控制行政编制6名，机关后勤服务人员事业编制1名。</w:t>
      </w:r>
      <w:r>
        <w:rPr>
          <w:rFonts w:hint="eastAsia" w:eastAsia="方正仿宋_GBK"/>
          <w:sz w:val="32"/>
          <w:szCs w:val="32"/>
        </w:rPr>
        <w:t>主要职能是在区委和区委编委的领导下，负责全区行政管理体制和机构改革以及机构编制的日常管理工作。</w:t>
      </w:r>
    </w:p>
    <w:p>
      <w:pPr>
        <w:spacing w:line="596" w:lineRule="exact"/>
        <w:ind w:firstLine="640" w:firstLineChars="200"/>
        <w:rPr>
          <w:rFonts w:eastAsia="方正仿宋_GBK"/>
          <w:sz w:val="32"/>
          <w:szCs w:val="32"/>
        </w:rPr>
      </w:pPr>
      <w:r>
        <w:rPr>
          <w:rFonts w:hint="eastAsia" w:ascii="方正楷体_GBK" w:hAnsi="方正楷体_GBK" w:eastAsia="方正楷体_GBK" w:cs="方正楷体_GBK"/>
          <w:sz w:val="32"/>
          <w:szCs w:val="32"/>
        </w:rPr>
        <w:t>（二）预算及支出情况</w:t>
      </w:r>
    </w:p>
    <w:p>
      <w:pPr>
        <w:spacing w:line="596" w:lineRule="exact"/>
        <w:ind w:firstLine="640" w:firstLineChars="200"/>
        <w:rPr>
          <w:rFonts w:eastAsia="方正仿宋_GBK"/>
          <w:sz w:val="32"/>
          <w:szCs w:val="32"/>
        </w:rPr>
      </w:pPr>
      <w:r>
        <w:rPr>
          <w:rFonts w:hint="eastAsia" w:eastAsia="方正仿宋_GBK"/>
          <w:sz w:val="32"/>
          <w:szCs w:val="32"/>
        </w:rPr>
        <w:t>202</w:t>
      </w:r>
      <w:r>
        <w:rPr>
          <w:rFonts w:hint="eastAsia" w:eastAsia="方正仿宋_GBK"/>
          <w:sz w:val="32"/>
          <w:szCs w:val="32"/>
          <w:lang w:val="en-US" w:eastAsia="zh-CN"/>
        </w:rPr>
        <w:t>2</w:t>
      </w:r>
      <w:r>
        <w:rPr>
          <w:rFonts w:hint="eastAsia" w:eastAsia="方正仿宋_GBK"/>
          <w:sz w:val="32"/>
          <w:szCs w:val="32"/>
        </w:rPr>
        <w:t>年预算收入3</w:t>
      </w:r>
      <w:r>
        <w:rPr>
          <w:rFonts w:hint="eastAsia" w:eastAsia="方正仿宋_GBK"/>
          <w:sz w:val="32"/>
          <w:szCs w:val="32"/>
          <w:lang w:val="en-US" w:eastAsia="zh-CN"/>
        </w:rPr>
        <w:t>07.51</w:t>
      </w:r>
      <w:r>
        <w:rPr>
          <w:rFonts w:hint="eastAsia" w:eastAsia="方正仿宋_GBK"/>
          <w:sz w:val="32"/>
          <w:szCs w:val="32"/>
        </w:rPr>
        <w:t>万，决算支出3</w:t>
      </w:r>
      <w:r>
        <w:rPr>
          <w:rFonts w:hint="eastAsia" w:eastAsia="方正仿宋_GBK"/>
          <w:sz w:val="32"/>
          <w:szCs w:val="32"/>
          <w:lang w:val="en-US" w:eastAsia="zh-CN"/>
        </w:rPr>
        <w:t>07.51</w:t>
      </w:r>
      <w:r>
        <w:rPr>
          <w:rFonts w:hint="eastAsia" w:eastAsia="方正仿宋_GBK"/>
          <w:sz w:val="32"/>
          <w:szCs w:val="32"/>
        </w:rPr>
        <w:t>万。</w:t>
      </w:r>
    </w:p>
    <w:p>
      <w:pPr>
        <w:spacing w:line="596" w:lineRule="exact"/>
        <w:ind w:firstLine="640" w:firstLineChars="200"/>
        <w:rPr>
          <w:rFonts w:hint="eastAsia" w:ascii="方正仿宋_GBK" w:eastAsia="方正仿宋_GBK"/>
          <w:sz w:val="32"/>
          <w:szCs w:val="32"/>
        </w:rPr>
      </w:pPr>
      <w:r>
        <w:rPr>
          <w:rFonts w:eastAsia="方正黑体_GBK"/>
          <w:sz w:val="32"/>
          <w:szCs w:val="32"/>
        </w:rPr>
        <w:t>二</w:t>
      </w:r>
      <w:r>
        <w:rPr>
          <w:rFonts w:hint="eastAsia" w:ascii="方正仿宋_GBK" w:eastAsia="方正仿宋_GBK"/>
          <w:sz w:val="32"/>
          <w:szCs w:val="32"/>
        </w:rPr>
        <w:t>、</w:t>
      </w:r>
      <w:r>
        <w:rPr>
          <w:rFonts w:hint="eastAsia" w:eastAsia="方正黑体_GBK"/>
          <w:sz w:val="32"/>
          <w:szCs w:val="32"/>
        </w:rPr>
        <w:t>主要成效</w:t>
      </w:r>
    </w:p>
    <w:p>
      <w:pPr>
        <w:spacing w:line="596" w:lineRule="exact"/>
        <w:ind w:firstLine="640" w:firstLineChars="200"/>
        <w:rPr>
          <w:rFonts w:hint="eastAsia" w:ascii="方正仿宋_GBK" w:eastAsia="方正仿宋_GBK"/>
          <w:sz w:val="32"/>
          <w:szCs w:val="32"/>
        </w:rPr>
      </w:pPr>
      <w:r>
        <w:rPr>
          <w:rFonts w:hint="eastAsia" w:eastAsia="方正仿宋_GBK"/>
          <w:sz w:val="32"/>
          <w:szCs w:val="32"/>
        </w:rPr>
        <w:t>根据区财政安排，结合单位实际，拟定了单位整体支出绩效目标，量化了整体支出绩效指标内容、指标权重、计量单位、指标性质及指标值。结合单位具体实际</w:t>
      </w:r>
      <w:r>
        <w:rPr>
          <w:rFonts w:hint="eastAsia" w:eastAsia="方正仿宋_GBK"/>
          <w:sz w:val="32"/>
          <w:szCs w:val="32"/>
          <w:lang w:eastAsia="zh-CN"/>
        </w:rPr>
        <w:t>，</w:t>
      </w:r>
      <w:r>
        <w:rPr>
          <w:rFonts w:hint="eastAsia" w:eastAsia="方正仿宋_GBK"/>
          <w:sz w:val="32"/>
          <w:szCs w:val="32"/>
        </w:rPr>
        <w:t>稳步推进单位整体支出绩效管理。年终决算后，按要求开展单位整体支出绩效自评工作。</w:t>
      </w:r>
      <w:r>
        <w:rPr>
          <w:rFonts w:hint="eastAsia" w:eastAsia="方正仿宋_GBK"/>
          <w:sz w:val="32"/>
          <w:szCs w:val="32"/>
          <w:lang w:eastAsia="zh-CN"/>
        </w:rPr>
        <w:t>通过单位整体支出绩效管理，有效提升了单位日常工作保障水平，重点保障了</w:t>
      </w:r>
      <w:r>
        <w:rPr>
          <w:rFonts w:hint="eastAsia" w:ascii="方正仿宋_GBK" w:eastAsia="方正仿宋_GBK"/>
          <w:sz w:val="32"/>
          <w:szCs w:val="32"/>
        </w:rPr>
        <w:t>编委会工作、行政事业单位改革、机构编制核查和督查、宣传贯彻机构编制条例等事项，</w:t>
      </w:r>
      <w:r>
        <w:rPr>
          <w:rFonts w:hint="eastAsia" w:ascii="方正仿宋_GBK" w:eastAsia="方正仿宋_GBK"/>
          <w:sz w:val="32"/>
          <w:szCs w:val="32"/>
          <w:lang w:eastAsia="zh-CN"/>
        </w:rPr>
        <w:t>确保</w:t>
      </w:r>
      <w:r>
        <w:rPr>
          <w:rFonts w:hint="eastAsia" w:ascii="方正仿宋_GBK" w:eastAsia="方正仿宋_GBK"/>
          <w:sz w:val="32"/>
          <w:szCs w:val="32"/>
        </w:rPr>
        <w:t>全区事业单位登记、实名制系统建设维护、事业单位年度报告公示以及机关事业单位中文域名</w:t>
      </w:r>
      <w:r>
        <w:rPr>
          <w:rFonts w:hint="eastAsia" w:ascii="方正仿宋_GBK" w:eastAsia="方正仿宋_GBK"/>
          <w:sz w:val="32"/>
          <w:szCs w:val="32"/>
          <w:lang w:eastAsia="zh-CN"/>
        </w:rPr>
        <w:t>管理</w:t>
      </w:r>
      <w:r>
        <w:rPr>
          <w:rFonts w:hint="eastAsia" w:ascii="方正仿宋_GBK" w:eastAsia="方正仿宋_GBK"/>
          <w:sz w:val="32"/>
          <w:szCs w:val="32"/>
        </w:rPr>
        <w:t>工作</w:t>
      </w:r>
      <w:r>
        <w:rPr>
          <w:rFonts w:hint="eastAsia" w:ascii="方正仿宋_GBK" w:eastAsia="方正仿宋_GBK"/>
          <w:sz w:val="32"/>
          <w:szCs w:val="32"/>
          <w:lang w:eastAsia="zh-CN"/>
        </w:rPr>
        <w:t>有序开展</w:t>
      </w:r>
      <w:r>
        <w:rPr>
          <w:rFonts w:hint="eastAsia" w:ascii="方正仿宋_GBK" w:eastAsia="方正仿宋_GBK"/>
          <w:sz w:val="32"/>
          <w:szCs w:val="32"/>
        </w:rPr>
        <w:t>。</w:t>
      </w:r>
    </w:p>
    <w:p>
      <w:pPr>
        <w:spacing w:line="596" w:lineRule="exact"/>
        <w:ind w:firstLine="640" w:firstLineChars="200"/>
        <w:rPr>
          <w:rFonts w:eastAsia="方正黑体_GBK"/>
          <w:sz w:val="32"/>
          <w:szCs w:val="32"/>
        </w:rPr>
      </w:pPr>
      <w:r>
        <w:rPr>
          <w:rFonts w:eastAsia="方正黑体_GBK"/>
          <w:sz w:val="32"/>
          <w:szCs w:val="32"/>
        </w:rPr>
        <w:t>三</w:t>
      </w:r>
      <w:r>
        <w:rPr>
          <w:rFonts w:hint="eastAsia" w:ascii="方正仿宋_GBK" w:eastAsia="方正仿宋_GBK"/>
          <w:sz w:val="32"/>
          <w:szCs w:val="32"/>
        </w:rPr>
        <w:t>、</w:t>
      </w:r>
      <w:r>
        <w:rPr>
          <w:rFonts w:hint="eastAsia" w:eastAsia="方正黑体_GBK"/>
          <w:sz w:val="32"/>
          <w:szCs w:val="32"/>
        </w:rPr>
        <w:t>绩效</w:t>
      </w:r>
      <w:r>
        <w:rPr>
          <w:rFonts w:eastAsia="方正黑体_GBK"/>
          <w:sz w:val="32"/>
          <w:szCs w:val="32"/>
        </w:rPr>
        <w:t>评价情况及结论</w:t>
      </w:r>
    </w:p>
    <w:p>
      <w:pPr>
        <w:spacing w:line="596" w:lineRule="exact"/>
        <w:ind w:firstLine="640" w:firstLineChars="200"/>
        <w:rPr>
          <w:rFonts w:eastAsia="方正仿宋_GBK"/>
          <w:sz w:val="32"/>
          <w:szCs w:val="32"/>
        </w:rPr>
      </w:pPr>
      <w:r>
        <w:rPr>
          <w:rFonts w:hint="eastAsia" w:eastAsia="方正仿宋_GBK"/>
          <w:sz w:val="32"/>
          <w:szCs w:val="32"/>
        </w:rPr>
        <w:t>设定绩效评价指标的8个，指标值100。经过自评，得分100，等级优。</w:t>
      </w:r>
    </w:p>
    <w:p>
      <w:pPr>
        <w:spacing w:line="596" w:lineRule="exact"/>
        <w:ind w:firstLine="640" w:firstLineChars="200"/>
        <w:rPr>
          <w:rFonts w:hint="eastAsia" w:eastAsia="方正黑体_GBK"/>
          <w:sz w:val="32"/>
          <w:szCs w:val="32"/>
        </w:rPr>
      </w:pPr>
      <w:r>
        <w:rPr>
          <w:rFonts w:hint="eastAsia" w:eastAsia="方正黑体_GBK"/>
          <w:sz w:val="32"/>
          <w:szCs w:val="32"/>
        </w:rPr>
        <w:t>四</w:t>
      </w:r>
      <w:r>
        <w:rPr>
          <w:rFonts w:hint="eastAsia" w:ascii="方正仿宋_GBK" w:eastAsia="方正仿宋_GBK"/>
          <w:sz w:val="32"/>
          <w:szCs w:val="32"/>
        </w:rPr>
        <w:t>、</w:t>
      </w:r>
      <w:r>
        <w:rPr>
          <w:rFonts w:hint="eastAsia" w:eastAsia="方正黑体_GBK"/>
          <w:sz w:val="32"/>
          <w:szCs w:val="32"/>
        </w:rPr>
        <w:t>需重点关注的问题</w:t>
      </w:r>
    </w:p>
    <w:p>
      <w:pPr>
        <w:spacing w:line="560" w:lineRule="exact"/>
        <w:ind w:firstLine="640"/>
        <w:rPr>
          <w:rFonts w:eastAsia="方正黑体_GBK"/>
          <w:sz w:val="32"/>
          <w:szCs w:val="32"/>
        </w:rPr>
      </w:pPr>
      <w:r>
        <w:rPr>
          <w:rFonts w:hint="eastAsia" w:eastAsia="方正仿宋_GBK"/>
          <w:sz w:val="32"/>
          <w:szCs w:val="32"/>
        </w:rPr>
        <w:t>从202</w:t>
      </w:r>
      <w:r>
        <w:rPr>
          <w:rFonts w:hint="eastAsia" w:eastAsia="方正仿宋_GBK"/>
          <w:sz w:val="32"/>
          <w:szCs w:val="32"/>
          <w:lang w:val="en-US" w:eastAsia="zh-CN"/>
        </w:rPr>
        <w:t>2</w:t>
      </w:r>
      <w:r>
        <w:rPr>
          <w:rFonts w:hint="eastAsia" w:eastAsia="方正仿宋_GBK"/>
          <w:sz w:val="32"/>
          <w:szCs w:val="32"/>
        </w:rPr>
        <w:t>年单位整体预算绩效管理工作的开展情况来看，单位整体预算绩效管理工作</w:t>
      </w:r>
      <w:r>
        <w:rPr>
          <w:rFonts w:hint="eastAsia" w:eastAsia="方正仿宋_GBK"/>
          <w:sz w:val="32"/>
          <w:szCs w:val="32"/>
          <w:lang w:eastAsia="zh-CN"/>
        </w:rPr>
        <w:t>虽取得一些成效，不过也存在一些问题，主要是单位财务人员属于兼职，时间和精力相对不足，绩效管理水平和能力还有短板。</w:t>
      </w:r>
    </w:p>
    <w:p>
      <w:pPr>
        <w:spacing w:line="560" w:lineRule="exact"/>
        <w:ind w:firstLine="640" w:firstLineChars="200"/>
        <w:rPr>
          <w:rFonts w:eastAsia="方正黑体_GBK"/>
          <w:sz w:val="32"/>
          <w:szCs w:val="32"/>
        </w:rPr>
      </w:pPr>
      <w:r>
        <w:rPr>
          <w:rFonts w:hint="eastAsia" w:eastAsia="方正黑体_GBK"/>
          <w:sz w:val="32"/>
          <w:szCs w:val="32"/>
        </w:rPr>
        <w:t>五</w:t>
      </w:r>
      <w:r>
        <w:rPr>
          <w:rFonts w:hint="eastAsia" w:ascii="方正仿宋_GBK" w:eastAsia="方正仿宋_GBK"/>
          <w:sz w:val="32"/>
          <w:szCs w:val="32"/>
        </w:rPr>
        <w:t>、</w:t>
      </w:r>
      <w:r>
        <w:rPr>
          <w:rFonts w:hint="eastAsia" w:eastAsia="方正黑体_GBK"/>
          <w:sz w:val="32"/>
          <w:szCs w:val="32"/>
        </w:rPr>
        <w:t>有关建议</w:t>
      </w:r>
    </w:p>
    <w:p>
      <w:pPr>
        <w:spacing w:line="596" w:lineRule="exact"/>
        <w:ind w:firstLine="640" w:firstLineChars="200"/>
        <w:rPr>
          <w:rFonts w:eastAsia="方正仿宋_GBK"/>
          <w:sz w:val="32"/>
          <w:szCs w:val="32"/>
        </w:rPr>
      </w:pPr>
      <w:r>
        <w:rPr>
          <w:rFonts w:hint="eastAsia" w:eastAsia="方正仿宋_GBK"/>
          <w:sz w:val="32"/>
          <w:szCs w:val="32"/>
        </w:rPr>
        <w:t>继续深入开展预算绩效管理工作，在传统预算管理中引入预算绩效管理，从资金投入管理转向项目预算编制、执行和监管全过程绩效管理。认真学习绩效管理政策要求，力求将预算绩效管理工作做的更好。</w:t>
      </w:r>
    </w:p>
    <w:p>
      <w:pPr>
        <w:spacing w:line="596" w:lineRule="exact"/>
        <w:ind w:firstLine="640" w:firstLineChars="200"/>
        <w:jc w:val="center"/>
        <w:rPr>
          <w:rFonts w:eastAsia="方正仿宋_GBK"/>
          <w:sz w:val="32"/>
          <w:szCs w:val="32"/>
        </w:rPr>
      </w:pPr>
    </w:p>
    <w:p>
      <w:pPr>
        <w:spacing w:line="596" w:lineRule="exact"/>
        <w:ind w:firstLine="640" w:firstLineChars="200"/>
        <w:jc w:val="center"/>
        <w:rPr>
          <w:rFonts w:eastAsia="方正仿宋_GBK"/>
          <w:sz w:val="32"/>
          <w:szCs w:val="32"/>
        </w:rPr>
      </w:pPr>
      <w:r>
        <w:rPr>
          <w:rFonts w:hint="eastAsia" w:eastAsia="方正仿宋_GBK"/>
          <w:sz w:val="32"/>
          <w:szCs w:val="32"/>
          <w:lang w:val="en-US" w:eastAsia="zh-CN"/>
        </w:rPr>
        <w:t xml:space="preserve">                                  </w:t>
      </w:r>
      <w:r>
        <w:rPr>
          <w:rFonts w:hint="eastAsia" w:eastAsia="方正仿宋_GBK"/>
          <w:sz w:val="32"/>
          <w:szCs w:val="32"/>
        </w:rPr>
        <w:t>区委编办</w:t>
      </w:r>
    </w:p>
    <w:p>
      <w:pPr>
        <w:spacing w:line="596" w:lineRule="exact"/>
        <w:ind w:firstLine="640" w:firstLineChars="200"/>
        <w:jc w:val="right"/>
        <w:rPr>
          <w:rFonts w:eastAsia="方正仿宋_GBK"/>
          <w:sz w:val="32"/>
          <w:szCs w:val="32"/>
        </w:rPr>
      </w:pPr>
      <w:r>
        <w:rPr>
          <w:rFonts w:hint="eastAsia" w:eastAsia="方正仿宋_GBK"/>
          <w:sz w:val="32"/>
          <w:szCs w:val="32"/>
        </w:rPr>
        <w:t>202</w:t>
      </w:r>
      <w:r>
        <w:rPr>
          <w:rFonts w:hint="eastAsia" w:eastAsia="方正仿宋_GBK"/>
          <w:sz w:val="32"/>
          <w:szCs w:val="32"/>
          <w:lang w:val="en-US" w:eastAsia="zh-CN"/>
        </w:rPr>
        <w:t>3</w:t>
      </w:r>
      <w:r>
        <w:rPr>
          <w:rFonts w:hint="eastAsia" w:eastAsia="方正仿宋_GBK"/>
          <w:sz w:val="32"/>
          <w:szCs w:val="32"/>
        </w:rPr>
        <w:t>年3月2</w:t>
      </w:r>
      <w:r>
        <w:rPr>
          <w:rFonts w:hint="eastAsia" w:eastAsia="方正仿宋_GBK"/>
          <w:sz w:val="32"/>
          <w:szCs w:val="32"/>
          <w:lang w:val="en-US" w:eastAsia="zh-CN"/>
        </w:rPr>
        <w:t>6</w:t>
      </w:r>
      <w:r>
        <w:rPr>
          <w:rFonts w:hint="eastAsia" w:eastAsia="方正仿宋_GBK"/>
          <w:sz w:val="32"/>
          <w:szCs w:val="32"/>
        </w:rPr>
        <w:t>日</w:t>
      </w: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JhMjZmYTk0MDM0ZDkxMTQ5YTg1Yzg2ZjhhMjIxNzcifQ=="/>
  </w:docVars>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4410B"/>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9497F"/>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11CE4"/>
    <w:rsid w:val="00E225F8"/>
    <w:rsid w:val="00E25A0F"/>
    <w:rsid w:val="00E42BE7"/>
    <w:rsid w:val="00E55405"/>
    <w:rsid w:val="00E72086"/>
    <w:rsid w:val="00E91393"/>
    <w:rsid w:val="00EB0A75"/>
    <w:rsid w:val="00EF2A45"/>
    <w:rsid w:val="00F70C2E"/>
    <w:rsid w:val="00F9262E"/>
    <w:rsid w:val="00F93438"/>
    <w:rsid w:val="00FA41F0"/>
    <w:rsid w:val="00FD0041"/>
    <w:rsid w:val="00FE38F2"/>
    <w:rsid w:val="01F622BE"/>
    <w:rsid w:val="1BC533DC"/>
    <w:rsid w:val="54980481"/>
    <w:rsid w:val="6657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7">
    <w:name w:val="页眉 Char"/>
    <w:basedOn w:val="5"/>
    <w:link w:val="3"/>
    <w:qFormat/>
    <w:uiPriority w:val="99"/>
    <w:rPr>
      <w:rFonts w:ascii="Times New Roman" w:hAnsi="Times New Roman" w:eastAsia="宋体" w:cs="Times New Roman"/>
      <w:sz w:val="18"/>
      <w:szCs w:val="18"/>
    </w:rPr>
  </w:style>
  <w:style w:type="character" w:customStyle="1" w:styleId="8">
    <w:name w:val="页脚 Char"/>
    <w:basedOn w:val="5"/>
    <w:link w:val="2"/>
    <w:qFormat/>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Pages>
  <Words>794</Words>
  <Characters>821</Characters>
  <Lines>1</Lines>
  <Paragraphs>1</Paragraphs>
  <TotalTime>2</TotalTime>
  <ScaleCrop>false</ScaleCrop>
  <LinksUpToDate>false</LinksUpToDate>
  <CharactersWithSpaces>855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海蓝兽</cp:lastModifiedBy>
  <cp:lastPrinted>2020-04-20T08:58:00Z</cp:lastPrinted>
  <dcterms:modified xsi:type="dcterms:W3CDTF">2023-09-12T09:47:14Z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3655F9708E464774AB2300C861835CC1</vt:lpwstr>
  </property>
</Properties>
</file>