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6" w:lineRule="exact"/>
        <w:jc w:val="left"/>
        <w:rPr>
          <w:rFonts w:hint="eastAsia" w:ascii="方正仿宋_GBK" w:eastAsia="方正仿宋_GBK"/>
          <w:sz w:val="32"/>
          <w:szCs w:val="32"/>
          <w:lang w:eastAsia="zh-CN"/>
        </w:rPr>
      </w:pPr>
      <w:r>
        <w:rPr>
          <w:rFonts w:hint="eastAsia" w:ascii="方正仿宋_GBK" w:eastAsia="方正仿宋_GBK"/>
          <w:sz w:val="32"/>
          <w:szCs w:val="32"/>
        </w:rPr>
        <w:t>附件</w:t>
      </w:r>
      <w:r>
        <w:rPr>
          <w:rFonts w:hint="eastAsia" w:ascii="方正仿宋_GBK" w:eastAsia="方正仿宋_GBK"/>
          <w:sz w:val="32"/>
          <w:szCs w:val="32"/>
          <w:lang w:val="en-US" w:eastAsia="zh-CN"/>
        </w:rPr>
        <w:t>3</w:t>
      </w:r>
    </w:p>
    <w:p>
      <w:pPr>
        <w:spacing w:line="596" w:lineRule="exact"/>
        <w:jc w:val="center"/>
        <w:rPr>
          <w:rFonts w:eastAsia="方正小标宋_GBK"/>
          <w:sz w:val="44"/>
          <w:szCs w:val="32"/>
        </w:rPr>
      </w:pPr>
    </w:p>
    <w:p>
      <w:pPr>
        <w:spacing w:line="596" w:lineRule="exact"/>
        <w:jc w:val="center"/>
        <w:rPr>
          <w:rFonts w:eastAsia="方正小标宋_GBK"/>
          <w:sz w:val="44"/>
          <w:szCs w:val="32"/>
        </w:rPr>
      </w:pPr>
    </w:p>
    <w:p>
      <w:pPr>
        <w:spacing w:line="596" w:lineRule="exact"/>
        <w:jc w:val="center"/>
        <w:rPr>
          <w:rFonts w:eastAsia="方正小标宋_GBK"/>
          <w:sz w:val="44"/>
          <w:szCs w:val="32"/>
        </w:rPr>
      </w:pPr>
    </w:p>
    <w:p>
      <w:pPr>
        <w:spacing w:line="596" w:lineRule="exact"/>
        <w:jc w:val="center"/>
        <w:rPr>
          <w:rFonts w:eastAsia="方正小标宋_GBK"/>
          <w:sz w:val="44"/>
          <w:szCs w:val="32"/>
        </w:rPr>
      </w:pPr>
      <w:bookmarkStart w:id="19" w:name="_GoBack"/>
      <w:bookmarkEnd w:id="19"/>
    </w:p>
    <w:p>
      <w:pPr>
        <w:spacing w:line="596" w:lineRule="exact"/>
        <w:jc w:val="center"/>
        <w:rPr>
          <w:rFonts w:eastAsia="方正小标宋_GBK"/>
          <w:sz w:val="44"/>
          <w:szCs w:val="32"/>
        </w:rPr>
      </w:pPr>
    </w:p>
    <w:p>
      <w:pPr>
        <w:spacing w:line="596" w:lineRule="exact"/>
        <w:jc w:val="center"/>
        <w:rPr>
          <w:rFonts w:eastAsia="方正小标宋_GBK"/>
          <w:sz w:val="44"/>
          <w:szCs w:val="32"/>
        </w:rPr>
      </w:pPr>
    </w:p>
    <w:p>
      <w:pPr>
        <w:pStyle w:val="15"/>
        <w:spacing w:line="596" w:lineRule="exact"/>
        <w:ind w:left="359" w:leftChars="171" w:firstLine="1100" w:firstLineChars="250"/>
        <w:jc w:val="center"/>
        <w:rPr>
          <w:rFonts w:eastAsia="方正小标宋_GBK"/>
          <w:sz w:val="44"/>
          <w:szCs w:val="32"/>
        </w:rPr>
      </w:pPr>
      <w:r>
        <w:rPr>
          <w:rFonts w:hint="eastAsia" w:eastAsia="方正小标宋_GBK"/>
          <w:sz w:val="44"/>
          <w:szCs w:val="32"/>
        </w:rPr>
        <w:t>重庆市璧山区科学技术局</w:t>
      </w:r>
    </w:p>
    <w:p>
      <w:pPr>
        <w:pStyle w:val="15"/>
        <w:spacing w:line="596" w:lineRule="exact"/>
        <w:ind w:left="359" w:leftChars="171" w:firstLine="1100" w:firstLineChars="250"/>
        <w:jc w:val="center"/>
        <w:rPr>
          <w:rFonts w:eastAsia="方正小标宋_GBK"/>
          <w:sz w:val="44"/>
          <w:szCs w:val="32"/>
        </w:rPr>
      </w:pPr>
      <w:r>
        <w:rPr>
          <w:rFonts w:hint="eastAsia" w:eastAsia="方正小标宋_GBK"/>
          <w:sz w:val="44"/>
          <w:szCs w:val="32"/>
        </w:rPr>
        <w:t>2022</w:t>
      </w:r>
      <w:r>
        <w:rPr>
          <w:rFonts w:eastAsia="方正小标宋_GBK"/>
          <w:sz w:val="44"/>
          <w:szCs w:val="32"/>
        </w:rPr>
        <w:t>年</w:t>
      </w:r>
      <w:r>
        <w:rPr>
          <w:rFonts w:hint="eastAsia" w:eastAsia="方正小标宋_GBK"/>
          <w:sz w:val="44"/>
          <w:szCs w:val="32"/>
        </w:rPr>
        <w:t>度</w:t>
      </w:r>
      <w:r>
        <w:rPr>
          <w:rFonts w:eastAsia="方正小标宋_GBK"/>
          <w:sz w:val="44"/>
          <w:szCs w:val="32"/>
        </w:rPr>
        <w:t>整体支出绩效</w:t>
      </w:r>
      <w:r>
        <w:rPr>
          <w:rFonts w:hint="eastAsia" w:eastAsia="方正小标宋_GBK"/>
          <w:sz w:val="44"/>
          <w:szCs w:val="32"/>
        </w:rPr>
        <w:t>自评</w:t>
      </w:r>
      <w:r>
        <w:rPr>
          <w:rFonts w:eastAsia="方正小标宋_GBK"/>
          <w:sz w:val="44"/>
          <w:szCs w:val="32"/>
        </w:rPr>
        <w:t>报告</w:t>
      </w:r>
    </w:p>
    <w:p>
      <w:pPr>
        <w:pStyle w:val="15"/>
        <w:spacing w:line="596" w:lineRule="exact"/>
        <w:ind w:left="357" w:firstLine="640"/>
        <w:rPr>
          <w:rFonts w:eastAsia="方正仿宋_GBK"/>
          <w:sz w:val="32"/>
          <w:szCs w:val="32"/>
        </w:rPr>
      </w:pPr>
    </w:p>
    <w:p>
      <w:pPr>
        <w:pStyle w:val="15"/>
        <w:spacing w:line="596" w:lineRule="exact"/>
        <w:ind w:left="357" w:firstLine="640"/>
        <w:rPr>
          <w:rFonts w:eastAsia="方正仿宋_GBK"/>
          <w:sz w:val="32"/>
          <w:szCs w:val="32"/>
        </w:rPr>
      </w:pPr>
    </w:p>
    <w:p>
      <w:pPr>
        <w:pStyle w:val="15"/>
        <w:spacing w:line="596" w:lineRule="exact"/>
        <w:ind w:left="357" w:firstLine="640"/>
        <w:rPr>
          <w:rFonts w:eastAsia="方正仿宋_GBK"/>
          <w:sz w:val="32"/>
          <w:szCs w:val="32"/>
        </w:rPr>
      </w:pPr>
    </w:p>
    <w:p>
      <w:pPr>
        <w:pStyle w:val="15"/>
        <w:spacing w:line="596" w:lineRule="exact"/>
        <w:ind w:left="357" w:firstLine="640"/>
        <w:rPr>
          <w:rFonts w:eastAsia="方正仿宋_GBK"/>
          <w:sz w:val="32"/>
          <w:szCs w:val="32"/>
        </w:rPr>
      </w:pPr>
    </w:p>
    <w:p>
      <w:pPr>
        <w:pStyle w:val="15"/>
        <w:spacing w:line="596" w:lineRule="exact"/>
        <w:ind w:left="357" w:firstLine="640"/>
        <w:rPr>
          <w:rFonts w:eastAsia="方正仿宋_GBK"/>
          <w:sz w:val="32"/>
          <w:szCs w:val="32"/>
        </w:rPr>
      </w:pPr>
    </w:p>
    <w:p>
      <w:pPr>
        <w:pStyle w:val="15"/>
        <w:spacing w:line="596" w:lineRule="exact"/>
        <w:ind w:left="357" w:firstLine="640"/>
        <w:rPr>
          <w:rFonts w:eastAsia="方正仿宋_GBK"/>
          <w:sz w:val="32"/>
          <w:szCs w:val="32"/>
        </w:rPr>
      </w:pPr>
    </w:p>
    <w:p>
      <w:pPr>
        <w:pStyle w:val="15"/>
        <w:spacing w:line="596" w:lineRule="exact"/>
        <w:ind w:left="357" w:firstLine="640"/>
        <w:rPr>
          <w:rFonts w:eastAsia="方正仿宋_GBK"/>
          <w:sz w:val="32"/>
          <w:szCs w:val="32"/>
        </w:rPr>
      </w:pPr>
    </w:p>
    <w:p>
      <w:pPr>
        <w:pStyle w:val="15"/>
        <w:spacing w:line="596" w:lineRule="exact"/>
        <w:ind w:left="357" w:firstLine="640"/>
        <w:rPr>
          <w:rFonts w:eastAsia="方正仿宋_GBK"/>
          <w:sz w:val="32"/>
          <w:szCs w:val="32"/>
        </w:rPr>
      </w:pPr>
    </w:p>
    <w:p>
      <w:pPr>
        <w:pStyle w:val="15"/>
        <w:spacing w:line="596" w:lineRule="exact"/>
        <w:ind w:left="357" w:firstLine="640"/>
        <w:rPr>
          <w:rFonts w:eastAsia="方正仿宋_GBK"/>
          <w:sz w:val="32"/>
          <w:szCs w:val="32"/>
        </w:rPr>
      </w:pPr>
    </w:p>
    <w:p>
      <w:pPr>
        <w:pStyle w:val="15"/>
        <w:spacing w:line="596" w:lineRule="exact"/>
        <w:ind w:left="357" w:firstLine="640"/>
        <w:rPr>
          <w:rFonts w:eastAsia="方正仿宋_GBK"/>
          <w:sz w:val="32"/>
          <w:szCs w:val="32"/>
        </w:rPr>
      </w:pPr>
    </w:p>
    <w:p>
      <w:pPr>
        <w:pStyle w:val="15"/>
        <w:spacing w:line="596" w:lineRule="exact"/>
        <w:ind w:left="357" w:firstLine="640"/>
        <w:rPr>
          <w:rFonts w:eastAsia="方正仿宋_GBK"/>
          <w:sz w:val="32"/>
          <w:szCs w:val="32"/>
        </w:rPr>
      </w:pPr>
    </w:p>
    <w:p>
      <w:pPr>
        <w:pStyle w:val="15"/>
        <w:spacing w:line="596" w:lineRule="exact"/>
        <w:ind w:left="357" w:firstLine="640"/>
        <w:rPr>
          <w:rFonts w:eastAsia="方正仿宋_GBK"/>
          <w:sz w:val="32"/>
          <w:szCs w:val="32"/>
        </w:rPr>
      </w:pPr>
    </w:p>
    <w:p>
      <w:pPr>
        <w:pStyle w:val="15"/>
        <w:spacing w:line="596" w:lineRule="exact"/>
        <w:ind w:left="357" w:firstLine="640"/>
        <w:rPr>
          <w:rFonts w:eastAsia="方正仿宋_GBK"/>
          <w:sz w:val="32"/>
          <w:szCs w:val="32"/>
        </w:rPr>
      </w:pPr>
    </w:p>
    <w:p>
      <w:pPr>
        <w:rPr>
          <w:rFonts w:ascii="方正小标宋_GBK" w:hAnsi="方正小标宋_GBK" w:eastAsia="方正小标宋_GBK" w:cs="方正小标宋_GBK"/>
          <w:sz w:val="28"/>
          <w:szCs w:val="28"/>
        </w:rPr>
      </w:pPr>
      <w:r>
        <w:rPr>
          <w:rFonts w:hint="eastAsia" w:ascii="方正小标宋_GBK" w:hAnsi="方正小标宋_GBK" w:eastAsia="方正小标宋_GBK" w:cs="方正小标宋_GBK"/>
          <w:sz w:val="28"/>
          <w:szCs w:val="28"/>
        </w:rPr>
        <w:br w:type="page"/>
      </w:r>
    </w:p>
    <w:p>
      <w:pPr>
        <w:jc w:val="center"/>
        <w:rPr>
          <w:rFonts w:ascii="方正小标宋_GBK" w:hAnsi="方正小标宋_GBK" w:eastAsia="方正小标宋_GBK" w:cs="方正小标宋_GBK"/>
          <w:sz w:val="28"/>
          <w:szCs w:val="28"/>
        </w:rPr>
      </w:pPr>
      <w:r>
        <w:rPr>
          <w:rFonts w:hint="eastAsia" w:ascii="方正小标宋_GBK" w:hAnsi="方正小标宋_GBK" w:eastAsia="方正小标宋_GBK" w:cs="方正小标宋_GBK"/>
          <w:sz w:val="28"/>
          <w:szCs w:val="28"/>
        </w:rPr>
        <w:t>目录</w:t>
      </w:r>
    </w:p>
    <w:sdt>
      <w:sdtPr>
        <w:rPr>
          <w:rFonts w:ascii="宋体" w:hAnsi="宋体"/>
        </w:rPr>
        <w:id w:val="147467040"/>
        <w15:color w:val="DBDBDB"/>
        <w:docPartObj>
          <w:docPartGallery w:val="Table of Contents"/>
          <w:docPartUnique/>
        </w:docPartObj>
      </w:sdtPr>
      <w:sdtEndPr>
        <w:rPr>
          <w:rFonts w:hint="eastAsia" w:ascii="仿宋_GB2312" w:hAnsi="方正仿宋_GBK" w:eastAsia="仿宋_GB2312" w:cs="方正仿宋_GBK"/>
          <w:sz w:val="32"/>
          <w:szCs w:val="32"/>
        </w:rPr>
      </w:sdtEndPr>
      <w:sdtContent>
        <w:p>
          <w:pPr>
            <w:jc w:val="center"/>
          </w:pPr>
        </w:p>
        <w:p>
          <w:pPr>
            <w:pStyle w:val="6"/>
            <w:tabs>
              <w:tab w:val="right" w:leader="dot" w:pos="8948"/>
            </w:tabs>
            <w:rPr>
              <w:rFonts w:hint="eastAsia" w:ascii="仿宋_GB2312" w:eastAsia="仿宋_GB2312" w:hAnsiTheme="minorHAnsi" w:cstheme="minorBidi"/>
              <w:sz w:val="32"/>
              <w:szCs w:val="32"/>
            </w:rPr>
          </w:pPr>
          <w:r>
            <w:rPr>
              <w:rFonts w:hint="eastAsia" w:ascii="仿宋_GB2312" w:hAnsi="方正仿宋_GBK" w:eastAsia="仿宋_GB2312" w:cs="方正仿宋_GBK"/>
              <w:sz w:val="32"/>
              <w:szCs w:val="32"/>
            </w:rPr>
            <w:fldChar w:fldCharType="begin"/>
          </w:r>
          <w:r>
            <w:rPr>
              <w:rFonts w:hint="eastAsia" w:ascii="仿宋_GB2312" w:hAnsi="方正仿宋_GBK" w:eastAsia="仿宋_GB2312" w:cs="方正仿宋_GBK"/>
              <w:sz w:val="32"/>
              <w:szCs w:val="32"/>
            </w:rPr>
            <w:instrText xml:space="preserve">TOC \o "1-3" \h \u </w:instrText>
          </w:r>
          <w:r>
            <w:rPr>
              <w:rFonts w:hint="eastAsia" w:ascii="仿宋_GB2312" w:hAnsi="方正仿宋_GBK" w:eastAsia="仿宋_GB2312" w:cs="方正仿宋_GBK"/>
              <w:sz w:val="32"/>
              <w:szCs w:val="32"/>
            </w:rPr>
            <w:fldChar w:fldCharType="separate"/>
          </w:r>
          <w:r>
            <w:fldChar w:fldCharType="begin"/>
          </w:r>
          <w:r>
            <w:instrText xml:space="preserve"> HYPERLINK \l "_Toc131175002" </w:instrText>
          </w:r>
          <w:r>
            <w:fldChar w:fldCharType="separate"/>
          </w:r>
          <w:r>
            <w:rPr>
              <w:rStyle w:val="11"/>
              <w:rFonts w:hint="eastAsia" w:ascii="仿宋_GB2312" w:eastAsia="仿宋_GB2312"/>
              <w:sz w:val="32"/>
              <w:szCs w:val="32"/>
            </w:rPr>
            <w:t>一、基本情况</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_Toc131175002 \h </w:instrText>
          </w:r>
          <w:r>
            <w:rPr>
              <w:rFonts w:hint="eastAsia" w:ascii="仿宋_GB2312" w:eastAsia="仿宋_GB2312"/>
              <w:sz w:val="32"/>
              <w:szCs w:val="32"/>
            </w:rPr>
            <w:fldChar w:fldCharType="separate"/>
          </w:r>
          <w:r>
            <w:rPr>
              <w:rFonts w:hint="eastAsia" w:ascii="仿宋_GB2312" w:eastAsia="仿宋_GB2312"/>
              <w:sz w:val="32"/>
              <w:szCs w:val="32"/>
            </w:rPr>
            <w:t>4</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7"/>
            <w:tabs>
              <w:tab w:val="right" w:leader="dot" w:pos="8948"/>
            </w:tabs>
            <w:rPr>
              <w:rFonts w:hint="eastAsia" w:ascii="仿宋_GB2312" w:eastAsia="仿宋_GB2312" w:hAnsiTheme="minorHAnsi" w:cstheme="minorBidi"/>
              <w:sz w:val="32"/>
              <w:szCs w:val="32"/>
            </w:rPr>
          </w:pPr>
          <w:r>
            <w:fldChar w:fldCharType="begin"/>
          </w:r>
          <w:r>
            <w:instrText xml:space="preserve"> HYPERLINK \l "_Toc131175003" </w:instrText>
          </w:r>
          <w:r>
            <w:fldChar w:fldCharType="separate"/>
          </w:r>
          <w:r>
            <w:rPr>
              <w:rStyle w:val="11"/>
              <w:rFonts w:hint="eastAsia" w:ascii="仿宋_GB2312" w:eastAsia="仿宋_GB2312"/>
              <w:sz w:val="32"/>
              <w:szCs w:val="32"/>
            </w:rPr>
            <w:t>（一）部门基本情况</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_Toc131175003 \h </w:instrText>
          </w:r>
          <w:r>
            <w:rPr>
              <w:rFonts w:hint="eastAsia" w:ascii="仿宋_GB2312" w:eastAsia="仿宋_GB2312"/>
              <w:sz w:val="32"/>
              <w:szCs w:val="32"/>
            </w:rPr>
            <w:fldChar w:fldCharType="separate"/>
          </w:r>
          <w:r>
            <w:rPr>
              <w:rFonts w:hint="eastAsia" w:ascii="仿宋_GB2312" w:eastAsia="仿宋_GB2312"/>
              <w:sz w:val="32"/>
              <w:szCs w:val="32"/>
            </w:rPr>
            <w:t>4</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3"/>
            <w:tabs>
              <w:tab w:val="right" w:leader="dot" w:pos="8948"/>
            </w:tabs>
            <w:rPr>
              <w:rFonts w:hint="eastAsia" w:ascii="仿宋_GB2312" w:eastAsia="仿宋_GB2312" w:hAnsiTheme="minorHAnsi" w:cstheme="minorBidi"/>
              <w:sz w:val="32"/>
              <w:szCs w:val="32"/>
            </w:rPr>
          </w:pPr>
          <w:r>
            <w:fldChar w:fldCharType="begin"/>
          </w:r>
          <w:r>
            <w:instrText xml:space="preserve"> HYPERLINK \l "_Toc131175004" </w:instrText>
          </w:r>
          <w:r>
            <w:fldChar w:fldCharType="separate"/>
          </w:r>
          <w:r>
            <w:rPr>
              <w:rStyle w:val="11"/>
              <w:rFonts w:hint="eastAsia" w:ascii="仿宋_GB2312" w:hAnsi="方正仿宋_GBK" w:eastAsia="仿宋_GB2312" w:cs="方正仿宋_GBK"/>
              <w:sz w:val="32"/>
              <w:szCs w:val="32"/>
            </w:rPr>
            <w:t>1、部门职级</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_Toc131175004 \h </w:instrText>
          </w:r>
          <w:r>
            <w:rPr>
              <w:rFonts w:hint="eastAsia" w:ascii="仿宋_GB2312" w:eastAsia="仿宋_GB2312"/>
              <w:sz w:val="32"/>
              <w:szCs w:val="32"/>
            </w:rPr>
            <w:fldChar w:fldCharType="separate"/>
          </w:r>
          <w:r>
            <w:rPr>
              <w:rFonts w:hint="eastAsia" w:ascii="仿宋_GB2312" w:eastAsia="仿宋_GB2312"/>
              <w:sz w:val="32"/>
              <w:szCs w:val="32"/>
            </w:rPr>
            <w:t>4</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3"/>
            <w:tabs>
              <w:tab w:val="right" w:leader="dot" w:pos="8948"/>
            </w:tabs>
            <w:rPr>
              <w:rFonts w:hint="eastAsia" w:ascii="仿宋_GB2312" w:eastAsia="仿宋_GB2312" w:hAnsiTheme="minorHAnsi" w:cstheme="minorBidi"/>
              <w:sz w:val="32"/>
              <w:szCs w:val="32"/>
            </w:rPr>
          </w:pPr>
          <w:r>
            <w:fldChar w:fldCharType="begin"/>
          </w:r>
          <w:r>
            <w:instrText xml:space="preserve"> HYPERLINK \l "_Toc131175005" </w:instrText>
          </w:r>
          <w:r>
            <w:fldChar w:fldCharType="separate"/>
          </w:r>
          <w:r>
            <w:rPr>
              <w:rStyle w:val="11"/>
              <w:rFonts w:hint="eastAsia" w:ascii="仿宋_GB2312" w:hAnsi="方正仿宋_GBK" w:eastAsia="仿宋_GB2312" w:cs="方正仿宋_GBK"/>
              <w:sz w:val="32"/>
              <w:szCs w:val="32"/>
            </w:rPr>
            <w:t>2、内设机构及编制</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_Toc131175005 \h </w:instrText>
          </w:r>
          <w:r>
            <w:rPr>
              <w:rFonts w:hint="eastAsia" w:ascii="仿宋_GB2312" w:eastAsia="仿宋_GB2312"/>
              <w:sz w:val="32"/>
              <w:szCs w:val="32"/>
            </w:rPr>
            <w:fldChar w:fldCharType="separate"/>
          </w:r>
          <w:r>
            <w:rPr>
              <w:rFonts w:hint="eastAsia" w:ascii="仿宋_GB2312" w:eastAsia="仿宋_GB2312"/>
              <w:sz w:val="32"/>
              <w:szCs w:val="32"/>
            </w:rPr>
            <w:t>4</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3"/>
            <w:tabs>
              <w:tab w:val="right" w:leader="dot" w:pos="8948"/>
            </w:tabs>
            <w:rPr>
              <w:rFonts w:hint="eastAsia" w:ascii="仿宋_GB2312" w:eastAsia="仿宋_GB2312" w:hAnsiTheme="minorHAnsi" w:cstheme="minorBidi"/>
              <w:sz w:val="32"/>
              <w:szCs w:val="32"/>
            </w:rPr>
          </w:pPr>
          <w:r>
            <w:fldChar w:fldCharType="begin"/>
          </w:r>
          <w:r>
            <w:instrText xml:space="preserve"> HYPERLINK \l "_Toc131175006" </w:instrText>
          </w:r>
          <w:r>
            <w:fldChar w:fldCharType="separate"/>
          </w:r>
          <w:r>
            <w:rPr>
              <w:rStyle w:val="11"/>
              <w:rFonts w:hint="eastAsia" w:ascii="仿宋_GB2312" w:hAnsi="方正仿宋_GBK" w:eastAsia="仿宋_GB2312" w:cs="方正仿宋_GBK"/>
              <w:sz w:val="32"/>
              <w:szCs w:val="32"/>
            </w:rPr>
            <w:t>3、职能职责</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_Toc131175006 \h </w:instrText>
          </w:r>
          <w:r>
            <w:rPr>
              <w:rFonts w:hint="eastAsia" w:ascii="仿宋_GB2312" w:eastAsia="仿宋_GB2312"/>
              <w:sz w:val="32"/>
              <w:szCs w:val="32"/>
            </w:rPr>
            <w:fldChar w:fldCharType="separate"/>
          </w:r>
          <w:r>
            <w:rPr>
              <w:rFonts w:hint="eastAsia" w:ascii="仿宋_GB2312" w:eastAsia="仿宋_GB2312"/>
              <w:sz w:val="32"/>
              <w:szCs w:val="32"/>
            </w:rPr>
            <w:t>5</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7"/>
            <w:tabs>
              <w:tab w:val="right" w:leader="dot" w:pos="8948"/>
            </w:tabs>
            <w:rPr>
              <w:rFonts w:hint="eastAsia" w:ascii="仿宋_GB2312" w:eastAsia="仿宋_GB2312" w:hAnsiTheme="minorHAnsi" w:cstheme="minorBidi"/>
              <w:sz w:val="32"/>
              <w:szCs w:val="32"/>
            </w:rPr>
          </w:pPr>
          <w:r>
            <w:fldChar w:fldCharType="begin"/>
          </w:r>
          <w:r>
            <w:instrText xml:space="preserve"> HYPERLINK \l "_Toc131175007" </w:instrText>
          </w:r>
          <w:r>
            <w:fldChar w:fldCharType="separate"/>
          </w:r>
          <w:r>
            <w:rPr>
              <w:rStyle w:val="11"/>
              <w:rFonts w:hint="eastAsia" w:ascii="仿宋_GB2312" w:eastAsia="仿宋_GB2312"/>
              <w:sz w:val="32"/>
              <w:szCs w:val="32"/>
            </w:rPr>
            <w:t>（二）预算及支出情况</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_Toc131175007 \h </w:instrText>
          </w:r>
          <w:r>
            <w:rPr>
              <w:rFonts w:hint="eastAsia" w:ascii="仿宋_GB2312" w:eastAsia="仿宋_GB2312"/>
              <w:sz w:val="32"/>
              <w:szCs w:val="32"/>
            </w:rPr>
            <w:fldChar w:fldCharType="separate"/>
          </w:r>
          <w:r>
            <w:rPr>
              <w:rFonts w:hint="eastAsia" w:ascii="仿宋_GB2312" w:eastAsia="仿宋_GB2312"/>
              <w:sz w:val="32"/>
              <w:szCs w:val="32"/>
            </w:rPr>
            <w:t>7</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3"/>
            <w:tabs>
              <w:tab w:val="right" w:leader="dot" w:pos="8948"/>
            </w:tabs>
            <w:rPr>
              <w:rFonts w:hint="eastAsia" w:ascii="仿宋_GB2312" w:eastAsia="仿宋_GB2312" w:hAnsiTheme="minorHAnsi" w:cstheme="minorBidi"/>
              <w:sz w:val="32"/>
              <w:szCs w:val="32"/>
            </w:rPr>
          </w:pPr>
          <w:r>
            <w:fldChar w:fldCharType="begin"/>
          </w:r>
          <w:r>
            <w:instrText xml:space="preserve"> HYPERLINK \l "_Toc131175008" </w:instrText>
          </w:r>
          <w:r>
            <w:fldChar w:fldCharType="separate"/>
          </w:r>
          <w:r>
            <w:rPr>
              <w:rStyle w:val="11"/>
              <w:rFonts w:hint="eastAsia" w:ascii="仿宋_GB2312" w:hAnsi="方正仿宋_GBK" w:eastAsia="仿宋_GB2312" w:cs="方正仿宋_GBK"/>
              <w:sz w:val="32"/>
              <w:szCs w:val="32"/>
            </w:rPr>
            <w:t>1、财政资金整体支出</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_Toc131175008 \h </w:instrText>
          </w:r>
          <w:r>
            <w:rPr>
              <w:rFonts w:hint="eastAsia" w:ascii="仿宋_GB2312" w:eastAsia="仿宋_GB2312"/>
              <w:sz w:val="32"/>
              <w:szCs w:val="32"/>
            </w:rPr>
            <w:fldChar w:fldCharType="separate"/>
          </w:r>
          <w:r>
            <w:rPr>
              <w:rFonts w:hint="eastAsia" w:ascii="仿宋_GB2312" w:eastAsia="仿宋_GB2312"/>
              <w:sz w:val="32"/>
              <w:szCs w:val="32"/>
            </w:rPr>
            <w:t>7</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3"/>
            <w:tabs>
              <w:tab w:val="right" w:leader="dot" w:pos="8948"/>
            </w:tabs>
            <w:rPr>
              <w:rFonts w:hint="eastAsia" w:ascii="仿宋_GB2312" w:eastAsia="仿宋_GB2312" w:hAnsiTheme="minorHAnsi" w:cstheme="minorBidi"/>
              <w:sz w:val="32"/>
              <w:szCs w:val="32"/>
            </w:rPr>
          </w:pPr>
          <w:r>
            <w:fldChar w:fldCharType="begin"/>
          </w:r>
          <w:r>
            <w:instrText xml:space="preserve"> HYPERLINK \l "_Toc131175009" </w:instrText>
          </w:r>
          <w:r>
            <w:fldChar w:fldCharType="separate"/>
          </w:r>
          <w:r>
            <w:rPr>
              <w:rStyle w:val="11"/>
              <w:rFonts w:hint="eastAsia" w:ascii="仿宋_GB2312" w:hAnsi="方正仿宋_GBK" w:eastAsia="仿宋_GB2312" w:cs="方正仿宋_GBK"/>
              <w:sz w:val="32"/>
              <w:szCs w:val="32"/>
            </w:rPr>
            <w:t>2、部门“三公”经费支出</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_Toc131175009 \h </w:instrText>
          </w:r>
          <w:r>
            <w:rPr>
              <w:rFonts w:hint="eastAsia" w:ascii="仿宋_GB2312" w:eastAsia="仿宋_GB2312"/>
              <w:sz w:val="32"/>
              <w:szCs w:val="32"/>
            </w:rPr>
            <w:fldChar w:fldCharType="separate"/>
          </w:r>
          <w:r>
            <w:rPr>
              <w:rFonts w:hint="eastAsia" w:ascii="仿宋_GB2312" w:eastAsia="仿宋_GB2312"/>
              <w:sz w:val="32"/>
              <w:szCs w:val="32"/>
            </w:rPr>
            <w:t>8</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6"/>
            <w:tabs>
              <w:tab w:val="right" w:leader="dot" w:pos="8948"/>
            </w:tabs>
            <w:rPr>
              <w:rFonts w:hint="eastAsia" w:ascii="仿宋_GB2312" w:eastAsia="仿宋_GB2312" w:hAnsiTheme="minorHAnsi" w:cstheme="minorBidi"/>
              <w:sz w:val="32"/>
              <w:szCs w:val="32"/>
            </w:rPr>
          </w:pPr>
          <w:r>
            <w:fldChar w:fldCharType="begin"/>
          </w:r>
          <w:r>
            <w:instrText xml:space="preserve"> HYPERLINK \l "_Toc131175010" </w:instrText>
          </w:r>
          <w:r>
            <w:fldChar w:fldCharType="separate"/>
          </w:r>
          <w:r>
            <w:rPr>
              <w:rStyle w:val="11"/>
              <w:rFonts w:hint="eastAsia" w:ascii="仿宋_GB2312" w:eastAsia="仿宋_GB2312"/>
              <w:sz w:val="32"/>
              <w:szCs w:val="32"/>
            </w:rPr>
            <w:t>（一）绩效评价工作开展情况</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_Toc131175010 \h </w:instrText>
          </w:r>
          <w:r>
            <w:rPr>
              <w:rFonts w:hint="eastAsia" w:ascii="仿宋_GB2312" w:eastAsia="仿宋_GB2312"/>
              <w:sz w:val="32"/>
              <w:szCs w:val="32"/>
            </w:rPr>
            <w:fldChar w:fldCharType="separate"/>
          </w:r>
          <w:r>
            <w:rPr>
              <w:rFonts w:hint="eastAsia" w:ascii="仿宋_GB2312" w:eastAsia="仿宋_GB2312"/>
              <w:sz w:val="32"/>
              <w:szCs w:val="32"/>
            </w:rPr>
            <w:t>8</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3"/>
            <w:tabs>
              <w:tab w:val="right" w:leader="dot" w:pos="8948"/>
            </w:tabs>
            <w:rPr>
              <w:rFonts w:hint="eastAsia" w:ascii="仿宋_GB2312" w:eastAsia="仿宋_GB2312" w:hAnsiTheme="minorHAnsi" w:cstheme="minorBidi"/>
              <w:sz w:val="32"/>
              <w:szCs w:val="32"/>
            </w:rPr>
          </w:pPr>
          <w:r>
            <w:fldChar w:fldCharType="begin"/>
          </w:r>
          <w:r>
            <w:instrText xml:space="preserve"> HYPERLINK \l "_Toc131175011" </w:instrText>
          </w:r>
          <w:r>
            <w:fldChar w:fldCharType="separate"/>
          </w:r>
          <w:r>
            <w:rPr>
              <w:rStyle w:val="11"/>
              <w:rFonts w:hint="eastAsia" w:ascii="仿宋_GB2312" w:hAnsi="方正仿宋_GBK" w:eastAsia="仿宋_GB2312" w:cs="方正仿宋_GBK"/>
              <w:sz w:val="32"/>
              <w:szCs w:val="32"/>
            </w:rPr>
            <w:t>1、前期准备</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_Toc131175011 \h </w:instrText>
          </w:r>
          <w:r>
            <w:rPr>
              <w:rFonts w:hint="eastAsia" w:ascii="仿宋_GB2312" w:eastAsia="仿宋_GB2312"/>
              <w:sz w:val="32"/>
              <w:szCs w:val="32"/>
            </w:rPr>
            <w:fldChar w:fldCharType="separate"/>
          </w:r>
          <w:r>
            <w:rPr>
              <w:rFonts w:hint="eastAsia" w:ascii="仿宋_GB2312" w:eastAsia="仿宋_GB2312"/>
              <w:sz w:val="32"/>
              <w:szCs w:val="32"/>
            </w:rPr>
            <w:t>8</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3"/>
            <w:tabs>
              <w:tab w:val="right" w:leader="dot" w:pos="8948"/>
            </w:tabs>
            <w:rPr>
              <w:rFonts w:hint="eastAsia" w:ascii="仿宋_GB2312" w:eastAsia="仿宋_GB2312" w:hAnsiTheme="minorHAnsi" w:cstheme="minorBidi"/>
              <w:sz w:val="32"/>
              <w:szCs w:val="32"/>
            </w:rPr>
          </w:pPr>
          <w:r>
            <w:fldChar w:fldCharType="begin"/>
          </w:r>
          <w:r>
            <w:instrText xml:space="preserve"> HYPERLINK \l "_Toc131175012" </w:instrText>
          </w:r>
          <w:r>
            <w:fldChar w:fldCharType="separate"/>
          </w:r>
          <w:r>
            <w:rPr>
              <w:rStyle w:val="11"/>
              <w:rFonts w:hint="eastAsia" w:ascii="仿宋_GB2312" w:hAnsi="方正仿宋_GBK" w:eastAsia="仿宋_GB2312" w:cs="方正仿宋_GBK"/>
              <w:sz w:val="32"/>
              <w:szCs w:val="32"/>
            </w:rPr>
            <w:t>2、组织实施</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_Toc131175012 \h </w:instrText>
          </w:r>
          <w:r>
            <w:rPr>
              <w:rFonts w:hint="eastAsia" w:ascii="仿宋_GB2312" w:eastAsia="仿宋_GB2312"/>
              <w:sz w:val="32"/>
              <w:szCs w:val="32"/>
            </w:rPr>
            <w:fldChar w:fldCharType="separate"/>
          </w:r>
          <w:r>
            <w:rPr>
              <w:rFonts w:hint="eastAsia" w:ascii="仿宋_GB2312" w:eastAsia="仿宋_GB2312"/>
              <w:sz w:val="32"/>
              <w:szCs w:val="32"/>
            </w:rPr>
            <w:t>8</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3"/>
            <w:tabs>
              <w:tab w:val="right" w:leader="dot" w:pos="8948"/>
            </w:tabs>
            <w:rPr>
              <w:rFonts w:hint="eastAsia" w:ascii="仿宋_GB2312" w:eastAsia="仿宋_GB2312" w:hAnsiTheme="minorHAnsi" w:cstheme="minorBidi"/>
              <w:sz w:val="32"/>
              <w:szCs w:val="32"/>
            </w:rPr>
          </w:pPr>
          <w:r>
            <w:fldChar w:fldCharType="begin"/>
          </w:r>
          <w:r>
            <w:instrText xml:space="preserve"> HYPERLINK \l "_Toc131175013" </w:instrText>
          </w:r>
          <w:r>
            <w:fldChar w:fldCharType="separate"/>
          </w:r>
          <w:r>
            <w:rPr>
              <w:rStyle w:val="11"/>
              <w:rFonts w:hint="eastAsia" w:ascii="仿宋_GB2312" w:hAnsi="方正仿宋_GBK" w:eastAsia="仿宋_GB2312" w:cs="方正仿宋_GBK"/>
              <w:sz w:val="32"/>
              <w:szCs w:val="32"/>
            </w:rPr>
            <w:t>3、分析评价</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_Toc131175013 \h </w:instrText>
          </w:r>
          <w:r>
            <w:rPr>
              <w:rFonts w:hint="eastAsia" w:ascii="仿宋_GB2312" w:eastAsia="仿宋_GB2312"/>
              <w:sz w:val="32"/>
              <w:szCs w:val="32"/>
            </w:rPr>
            <w:fldChar w:fldCharType="separate"/>
          </w:r>
          <w:r>
            <w:rPr>
              <w:rFonts w:hint="eastAsia" w:ascii="仿宋_GB2312" w:eastAsia="仿宋_GB2312"/>
              <w:sz w:val="32"/>
              <w:szCs w:val="32"/>
            </w:rPr>
            <w:t>9</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6"/>
            <w:tabs>
              <w:tab w:val="right" w:leader="dot" w:pos="8948"/>
            </w:tabs>
            <w:rPr>
              <w:rFonts w:hint="eastAsia" w:ascii="仿宋_GB2312" w:eastAsia="仿宋_GB2312" w:hAnsiTheme="minorHAnsi" w:cstheme="minorBidi"/>
              <w:sz w:val="32"/>
              <w:szCs w:val="32"/>
            </w:rPr>
          </w:pPr>
          <w:r>
            <w:fldChar w:fldCharType="begin"/>
          </w:r>
          <w:r>
            <w:instrText xml:space="preserve"> HYPERLINK \l "_Toc131175014" </w:instrText>
          </w:r>
          <w:r>
            <w:fldChar w:fldCharType="separate"/>
          </w:r>
          <w:r>
            <w:rPr>
              <w:rStyle w:val="11"/>
              <w:rFonts w:hint="eastAsia" w:ascii="仿宋_GB2312" w:eastAsia="仿宋_GB2312"/>
              <w:sz w:val="32"/>
              <w:szCs w:val="32"/>
            </w:rPr>
            <w:t>（二）主要经验及做法</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_Toc131175014 \h </w:instrText>
          </w:r>
          <w:r>
            <w:rPr>
              <w:rFonts w:hint="eastAsia" w:ascii="仿宋_GB2312" w:eastAsia="仿宋_GB2312"/>
              <w:sz w:val="32"/>
              <w:szCs w:val="32"/>
            </w:rPr>
            <w:fldChar w:fldCharType="separate"/>
          </w:r>
          <w:r>
            <w:rPr>
              <w:rFonts w:hint="eastAsia" w:ascii="仿宋_GB2312" w:eastAsia="仿宋_GB2312"/>
              <w:sz w:val="32"/>
              <w:szCs w:val="32"/>
            </w:rPr>
            <w:t>9</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6"/>
            <w:tabs>
              <w:tab w:val="right" w:leader="dot" w:pos="8948"/>
            </w:tabs>
            <w:rPr>
              <w:rFonts w:hint="eastAsia" w:ascii="仿宋_GB2312" w:eastAsia="仿宋_GB2312" w:hAnsiTheme="minorHAnsi" w:cstheme="minorBidi"/>
              <w:sz w:val="32"/>
              <w:szCs w:val="32"/>
            </w:rPr>
          </w:pPr>
          <w:r>
            <w:fldChar w:fldCharType="begin"/>
          </w:r>
          <w:r>
            <w:instrText xml:space="preserve"> HYPERLINK \l "_Toc131175015" </w:instrText>
          </w:r>
          <w:r>
            <w:fldChar w:fldCharType="separate"/>
          </w:r>
          <w:r>
            <w:rPr>
              <w:rStyle w:val="11"/>
              <w:rFonts w:hint="eastAsia" w:ascii="仿宋_GB2312" w:eastAsia="仿宋_GB2312"/>
              <w:sz w:val="32"/>
              <w:szCs w:val="32"/>
            </w:rPr>
            <w:t>三、绩效评价情况及结论</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_Toc131175015 \h </w:instrText>
          </w:r>
          <w:r>
            <w:rPr>
              <w:rFonts w:hint="eastAsia" w:ascii="仿宋_GB2312" w:eastAsia="仿宋_GB2312"/>
              <w:sz w:val="32"/>
              <w:szCs w:val="32"/>
            </w:rPr>
            <w:fldChar w:fldCharType="separate"/>
          </w:r>
          <w:r>
            <w:rPr>
              <w:rFonts w:hint="eastAsia" w:ascii="仿宋_GB2312" w:eastAsia="仿宋_GB2312"/>
              <w:sz w:val="32"/>
              <w:szCs w:val="32"/>
            </w:rPr>
            <w:t>10</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6"/>
            <w:tabs>
              <w:tab w:val="right" w:leader="dot" w:pos="8948"/>
            </w:tabs>
            <w:rPr>
              <w:rFonts w:hint="eastAsia" w:ascii="仿宋_GB2312" w:eastAsia="仿宋_GB2312" w:hAnsiTheme="minorHAnsi" w:cstheme="minorBidi"/>
              <w:sz w:val="32"/>
              <w:szCs w:val="32"/>
            </w:rPr>
          </w:pPr>
          <w:r>
            <w:fldChar w:fldCharType="begin"/>
          </w:r>
          <w:r>
            <w:instrText xml:space="preserve"> HYPERLINK \l "_Toc131175016" </w:instrText>
          </w:r>
          <w:r>
            <w:fldChar w:fldCharType="separate"/>
          </w:r>
          <w:r>
            <w:rPr>
              <w:rStyle w:val="11"/>
              <w:rFonts w:hint="eastAsia" w:ascii="仿宋_GB2312" w:eastAsia="仿宋_GB2312"/>
              <w:sz w:val="32"/>
              <w:szCs w:val="32"/>
            </w:rPr>
            <w:t>四、需重点关注的问题</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_Toc131175016 \h </w:instrText>
          </w:r>
          <w:r>
            <w:rPr>
              <w:rFonts w:hint="eastAsia" w:ascii="仿宋_GB2312" w:eastAsia="仿宋_GB2312"/>
              <w:sz w:val="32"/>
              <w:szCs w:val="32"/>
            </w:rPr>
            <w:fldChar w:fldCharType="separate"/>
          </w:r>
          <w:r>
            <w:rPr>
              <w:rFonts w:hint="eastAsia" w:ascii="仿宋_GB2312" w:eastAsia="仿宋_GB2312"/>
              <w:sz w:val="32"/>
              <w:szCs w:val="32"/>
            </w:rPr>
            <w:t>13</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6"/>
            <w:tabs>
              <w:tab w:val="right" w:leader="dot" w:pos="8948"/>
            </w:tabs>
            <w:rPr>
              <w:rFonts w:hint="eastAsia" w:ascii="仿宋_GB2312" w:eastAsia="仿宋_GB2312" w:hAnsiTheme="minorHAnsi" w:cstheme="minorBidi"/>
              <w:sz w:val="32"/>
              <w:szCs w:val="32"/>
            </w:rPr>
          </w:pPr>
          <w:r>
            <w:fldChar w:fldCharType="begin"/>
          </w:r>
          <w:r>
            <w:instrText xml:space="preserve"> HYPERLINK \l "_Toc131175017" </w:instrText>
          </w:r>
          <w:r>
            <w:fldChar w:fldCharType="separate"/>
          </w:r>
          <w:r>
            <w:rPr>
              <w:rStyle w:val="11"/>
              <w:rFonts w:hint="eastAsia" w:ascii="仿宋_GB2312" w:eastAsia="仿宋_GB2312"/>
              <w:sz w:val="32"/>
              <w:szCs w:val="32"/>
            </w:rPr>
            <w:t>五、有关建议</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_Toc131175017 \h </w:instrText>
          </w:r>
          <w:r>
            <w:rPr>
              <w:rFonts w:hint="eastAsia" w:ascii="仿宋_GB2312" w:eastAsia="仿宋_GB2312"/>
              <w:sz w:val="32"/>
              <w:szCs w:val="32"/>
            </w:rPr>
            <w:fldChar w:fldCharType="separate"/>
          </w:r>
          <w:r>
            <w:rPr>
              <w:rFonts w:hint="eastAsia" w:ascii="仿宋_GB2312" w:eastAsia="仿宋_GB2312"/>
              <w:sz w:val="32"/>
              <w:szCs w:val="32"/>
            </w:rPr>
            <w:t>13</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15"/>
            <w:spacing w:line="560" w:lineRule="exact"/>
            <w:ind w:firstLine="0" w:firstLineChars="0"/>
            <w:rPr>
              <w:rFonts w:hint="eastAsia" w:ascii="仿宋_GB2312" w:eastAsia="仿宋_GB2312"/>
              <w:sz w:val="32"/>
              <w:szCs w:val="32"/>
            </w:rPr>
          </w:pPr>
          <w:r>
            <w:rPr>
              <w:rFonts w:hint="eastAsia" w:ascii="仿宋_GB2312" w:hAnsi="方正仿宋_GBK" w:eastAsia="仿宋_GB2312" w:cs="方正仿宋_GBK"/>
              <w:sz w:val="32"/>
              <w:szCs w:val="32"/>
            </w:rPr>
            <w:fldChar w:fldCharType="end"/>
          </w:r>
        </w:p>
      </w:sdtContent>
    </w:sdt>
    <w:p>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page"/>
      </w:r>
    </w:p>
    <w:p>
      <w:pPr>
        <w:spacing w:line="560" w:lineRule="exact"/>
        <w:ind w:firstLine="640" w:firstLineChars="200"/>
        <w:rPr>
          <w:rFonts w:eastAsia="方正黑体_GBK"/>
          <w:sz w:val="32"/>
          <w:szCs w:val="32"/>
        </w:rPr>
      </w:pPr>
      <w:r>
        <w:rPr>
          <w:rFonts w:hint="eastAsia" w:ascii="方正仿宋_GBK" w:hAnsi="方正仿宋_GBK" w:eastAsia="方正仿宋_GBK" w:cs="方正仿宋_GBK"/>
          <w:sz w:val="32"/>
          <w:szCs w:val="32"/>
        </w:rPr>
        <w:t>为加强财政资金的管理，提高财政资金的使用效益。根据《重庆市财政局关于加快推进预算绩效管理工作的通知》（渝财绩〔2022〕1号）、《中共重庆市璧山区委 重庆市璧山区人民政府关于全面实施预算绩效管理的实施意见》（璧山委发〔2020〕5号）、《重庆市璧山区财政局关于开展2022年度预算绩效自评工作的通知》（璧财绩〔2023〕1号）文件要求，形成2022年度部门整体支出绩效自评报告如下：</w:t>
      </w:r>
    </w:p>
    <w:p>
      <w:pPr>
        <w:tabs>
          <w:tab w:val="left" w:pos="3969"/>
        </w:tabs>
        <w:spacing w:line="596" w:lineRule="exact"/>
        <w:ind w:firstLine="640" w:firstLineChars="200"/>
        <w:outlineLvl w:val="0"/>
        <w:rPr>
          <w:rFonts w:eastAsia="方正黑体_GBK"/>
          <w:sz w:val="32"/>
          <w:szCs w:val="32"/>
        </w:rPr>
      </w:pPr>
      <w:bookmarkStart w:id="0" w:name="_Toc131175002"/>
      <w:r>
        <w:rPr>
          <w:rFonts w:eastAsia="方正黑体_GBK"/>
          <w:sz w:val="32"/>
          <w:szCs w:val="32"/>
        </w:rPr>
        <w:t>一、基本</w:t>
      </w:r>
      <w:r>
        <w:rPr>
          <w:rFonts w:hint="eastAsia" w:eastAsia="方正黑体_GBK"/>
          <w:sz w:val="32"/>
          <w:szCs w:val="32"/>
        </w:rPr>
        <w:t>情况</w:t>
      </w:r>
      <w:bookmarkEnd w:id="0"/>
    </w:p>
    <w:p>
      <w:pPr>
        <w:spacing w:line="596" w:lineRule="exact"/>
        <w:ind w:firstLine="640" w:firstLineChars="200"/>
        <w:outlineLvl w:val="1"/>
        <w:rPr>
          <w:rFonts w:eastAsia="方正仿宋_GBK"/>
          <w:sz w:val="32"/>
          <w:szCs w:val="32"/>
        </w:rPr>
      </w:pPr>
      <w:bookmarkStart w:id="1" w:name="_Toc131175003"/>
      <w:r>
        <w:rPr>
          <w:rFonts w:eastAsia="方正仿宋_GBK"/>
          <w:sz w:val="32"/>
          <w:szCs w:val="32"/>
        </w:rPr>
        <w:t>（一）</w:t>
      </w:r>
      <w:r>
        <w:rPr>
          <w:rFonts w:hint="eastAsia" w:eastAsia="方正仿宋_GBK"/>
          <w:sz w:val="32"/>
          <w:szCs w:val="32"/>
        </w:rPr>
        <w:t>部门基本情况</w:t>
      </w:r>
      <w:bookmarkEnd w:id="1"/>
    </w:p>
    <w:p>
      <w:pPr>
        <w:spacing w:line="560" w:lineRule="exact"/>
        <w:ind w:firstLine="640" w:firstLineChars="200"/>
        <w:outlineLvl w:val="2"/>
        <w:rPr>
          <w:rFonts w:ascii="方正仿宋_GBK" w:hAnsi="方正仿宋_GBK" w:eastAsia="方正仿宋_GBK" w:cs="方正仿宋_GBK"/>
          <w:sz w:val="32"/>
          <w:szCs w:val="32"/>
        </w:rPr>
      </w:pPr>
      <w:bookmarkStart w:id="2" w:name="_Toc131175004"/>
      <w:r>
        <w:rPr>
          <w:rFonts w:hint="eastAsia" w:ascii="方正仿宋_GBK" w:hAnsi="方正仿宋_GBK" w:eastAsia="方正仿宋_GBK" w:cs="方正仿宋_GBK"/>
          <w:sz w:val="32"/>
          <w:szCs w:val="32"/>
        </w:rPr>
        <w:t>1、部门职级</w:t>
      </w:r>
      <w:bookmarkEnd w:id="2"/>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重庆市璧山区科学技术局是区政府工作部门，为正处级。</w:t>
      </w:r>
    </w:p>
    <w:p>
      <w:pPr>
        <w:spacing w:line="560" w:lineRule="exact"/>
        <w:ind w:firstLine="640" w:firstLineChars="200"/>
        <w:outlineLvl w:val="2"/>
        <w:rPr>
          <w:rFonts w:ascii="方正仿宋_GBK" w:hAnsi="方正仿宋_GBK" w:eastAsia="方正仿宋_GBK" w:cs="方正仿宋_GBK"/>
          <w:sz w:val="32"/>
          <w:szCs w:val="32"/>
        </w:rPr>
      </w:pPr>
      <w:bookmarkStart w:id="3" w:name="_Toc131175005"/>
      <w:r>
        <w:rPr>
          <w:rFonts w:hint="eastAsia" w:ascii="方正仿宋_GBK" w:hAnsi="方正仿宋_GBK" w:eastAsia="方正仿宋_GBK" w:cs="方正仿宋_GBK"/>
          <w:sz w:val="32"/>
          <w:szCs w:val="32"/>
        </w:rPr>
        <w:t>2、内设机构及编制</w:t>
      </w:r>
      <w:bookmarkEnd w:id="3"/>
    </w:p>
    <w:p>
      <w:pPr>
        <w:spacing w:line="560" w:lineRule="exact"/>
        <w:ind w:firstLine="640" w:firstLineChars="200"/>
        <w:rPr>
          <w:rFonts w:ascii="方正仿宋_GBK" w:hAnsi="方正仿宋_GBK" w:eastAsia="方正仿宋_GBK" w:cs="方正仿宋_GBK"/>
          <w:color w:val="FF0000"/>
          <w:sz w:val="32"/>
          <w:szCs w:val="32"/>
        </w:rPr>
      </w:pPr>
      <w:r>
        <w:rPr>
          <w:rFonts w:hint="eastAsia" w:ascii="方正仿宋_GBK" w:hAnsi="方正仿宋_GBK" w:eastAsia="方正仿宋_GBK" w:cs="方正仿宋_GBK"/>
          <w:sz w:val="32"/>
          <w:szCs w:val="32"/>
        </w:rPr>
        <w:t>重庆市璧山区科学技术局设下列内设机构：</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（1）办公室。负责机关日常运转，承担纪检监察、组织人事、宣传统战、财务、督查督办、政务公开、信访稳定、安全、保密、科普、科技监督、科研诚信建设及行政执法监督等工作，其他相关工作。</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技术创新科。负责资源配置与管理，承担科研项目管理及经费安排，本部门预算；负责高新技术及科技企业发展，拟订高新技术发展和企业技术创新政策措施，牵头组织关键技术攻关、高新技术发展及产业化、科技型企业和高新技术企业培育、科技金融、科技人才、研发投入、高新技术产品推荐等工作；负责农村科技工作，承担科技特派员服务、科技下乡、平台规划实施等工作，助力乡村振兴、精准扶贫协调推进；其他相关工作。</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规划发展科。负责科技体制改革，拟订科技发展规划和年度工作计划，拟订贯彻落实国家创新驱动发展战略、重大科技创新的政策措施，承担科技调查统计工作；负责基础研究，拟定技术创新中心等研发平台建设计划并组织实施；负责科技成果转化与创新创业工作，拟订科技成果转化及产业化政策措施，协调推进众创空间、孵化器建设；引进推动科技服务业、技术市场、科技中介组织发展服务机构；负责科技开放合作共享、科技资源共享工作，引进科技创新资源、联系服务外国专家，组织参加会展活动，推动科技军民融合发展；负责社会民生科技工作，拟订科技促进社会民生领域发展政策措施，推动社会民生领域重大关键技术攻关；其他相关工作。</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区科技局机关核定行政编制9名；设局长1名，副局长2名，科级领导职数3名。</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机关后勤服务人员事业编制1名。</w:t>
      </w:r>
    </w:p>
    <w:p>
      <w:pPr>
        <w:spacing w:line="560" w:lineRule="exact"/>
        <w:ind w:firstLine="640" w:firstLineChars="200"/>
        <w:outlineLvl w:val="2"/>
        <w:rPr>
          <w:rFonts w:ascii="方正仿宋_GBK" w:hAnsi="方正仿宋_GBK" w:eastAsia="方正仿宋_GBK" w:cs="方正仿宋_GBK"/>
          <w:sz w:val="32"/>
          <w:szCs w:val="32"/>
        </w:rPr>
      </w:pPr>
      <w:bookmarkStart w:id="4" w:name="_Toc131175006"/>
      <w:r>
        <w:rPr>
          <w:rFonts w:hint="eastAsia" w:ascii="方正仿宋_GBK" w:hAnsi="方正仿宋_GBK" w:eastAsia="方正仿宋_GBK" w:cs="方正仿宋_GBK"/>
          <w:sz w:val="32"/>
          <w:szCs w:val="32"/>
        </w:rPr>
        <w:t>3、职能职责</w:t>
      </w:r>
      <w:bookmarkEnd w:id="4"/>
    </w:p>
    <w:p>
      <w:pPr>
        <w:spacing w:line="59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贯彻落实党中央、市委、区委关于科技创新工作的方针政策和决策部署，拟订全区落实创新驱动发展战略、科技发展、引进国外智力计划和政策措施并组织实施，在履行职责过程中坚持和加强党对科技创新工作的集中统一领导。</w:t>
      </w:r>
    </w:p>
    <w:p>
      <w:pPr>
        <w:spacing w:line="59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（2）统筹推进全区创新体系建设和科技体制改革，会同有关部门健全技术创新激励机制。优化科研体系建设，指导科研机构改革发展，推动企业科技创新能力建设，承担推进科技军民融合发展相关工作。</w:t>
      </w:r>
    </w:p>
    <w:p>
      <w:pPr>
        <w:spacing w:line="59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编制区级科技项目计划并组织实施，统筹协调基础研究、关键共性技术、前沿引领技术、现代工程技术、颠覆性技术研发和创新，加强科技项目资金的监管。会同有关部门提出优化配置科技资源的政策措施建议，推动多元化科技投入和科技金融结合。协调管理区级财政科技计划（专项、基金等）并监督实施。</w:t>
      </w:r>
    </w:p>
    <w:p>
      <w:pPr>
        <w:spacing w:line="59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（4）拟订科技创新基地建设规划并组织实施，参与编制科技基础设施建设规划和组织实施，开展技术创新中心等研发平台建设，推动科研条件保障建设、科技资源开放共享。</w:t>
      </w:r>
    </w:p>
    <w:p>
      <w:pPr>
        <w:spacing w:line="59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组织拟订高新技术发展及产业化、科技促进农业农村和社会发展政策措施并组织实施。负责高新技术产品、高新技术企业、科技型企业审核推荐工作。组织开展重点领域技术发展需求分析，提出重大任务并监督实施。统筹区域科技创新体系建设，推动区域创新发展、科技资源合理布局和协同创新能力建设，推动科技园区建设。</w:t>
      </w:r>
    </w:p>
    <w:p>
      <w:pPr>
        <w:spacing w:line="59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（6）推动技术转移和科技成果转化，促进产学研结合。指导科技服务业、技术市场和科技中介组织发展。</w:t>
      </w:r>
    </w:p>
    <w:p>
      <w:pPr>
        <w:spacing w:line="59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（7）负责科技监督评价体系建设和科技评估管理，统筹科研诚信建设。组织实施创新调查和科技报告制度，承担全区科技保密工作。</w:t>
      </w:r>
    </w:p>
    <w:p>
      <w:pPr>
        <w:spacing w:line="59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（8）开展对外交流与创新能力开放合作，组织开展国内外科技合作与科技人才交流。</w:t>
      </w:r>
    </w:p>
    <w:p>
      <w:pPr>
        <w:spacing w:line="59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（9）会同有关部门拟定科技人才队伍建设计划和政策措施并组织实施，建立健全科技人才评价和激励机制，推动科技创新人才队伍建设。拟订科学普及和科学传播计划、政策措施并组织实施。</w:t>
      </w:r>
    </w:p>
    <w:p>
      <w:pPr>
        <w:spacing w:line="59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（10）承担引进科技创新资源、培育科技型企业和高新技术企业、科技宣传等工作。</w:t>
      </w:r>
    </w:p>
    <w:p>
      <w:pPr>
        <w:spacing w:line="59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（11）负责引进国外智力工作。拟订引进国外专家计划并组织实施，建立国外科学家、团队吸引集聚和重点外国专家联系服务机制。</w:t>
      </w:r>
    </w:p>
    <w:p>
      <w:pPr>
        <w:spacing w:line="59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（12）负责机关、下属单位和行业社会组织党建工作。</w:t>
      </w:r>
    </w:p>
    <w:p>
      <w:pPr>
        <w:spacing w:line="59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（13）完成区委和区政府交办的其他任务。</w:t>
      </w:r>
    </w:p>
    <w:p>
      <w:pPr>
        <w:spacing w:line="59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14）职能转变。围绕贯彻实施科教兴区、人才强区、创新驱动发展战略，加强、优化、转变政府科技管理和服务职能，完善科技创新制度和组织体系，加强宏观管理和统筹协调，减少微观管理和具体审批事项，加强事中事后监管和科技诚信建设。从研发管理向创新服务转变，深入推进科技计划管理改革。按照上级要求推进政府部门不直接管理具体科研项目，委托专业机构开展项目受理、评审、立项、过程管理、验收等具体工作。进一步改进科技人才评价机制，建立健全以创新能力、质量、贡献、绩效为导向的科技人才评价体系和激励措施，统筹我区科技人才队伍建设和引进国外智力工作。</w:t>
      </w:r>
    </w:p>
    <w:p>
      <w:pPr>
        <w:spacing w:line="596" w:lineRule="exact"/>
        <w:outlineLvl w:val="1"/>
        <w:rPr>
          <w:rFonts w:eastAsia="方正仿宋_GBK"/>
          <w:sz w:val="32"/>
          <w:szCs w:val="32"/>
        </w:rPr>
      </w:pPr>
      <w:bookmarkStart w:id="5" w:name="_Toc131175007"/>
      <w:r>
        <w:rPr>
          <w:rFonts w:eastAsia="方正仿宋_GBK"/>
          <w:sz w:val="32"/>
          <w:szCs w:val="32"/>
        </w:rPr>
        <w:t>（二）</w:t>
      </w:r>
      <w:r>
        <w:rPr>
          <w:rFonts w:hint="eastAsia" w:eastAsia="方正仿宋_GBK"/>
          <w:sz w:val="32"/>
          <w:szCs w:val="32"/>
        </w:rPr>
        <w:t>预算及支出情况</w:t>
      </w:r>
      <w:bookmarkEnd w:id="5"/>
    </w:p>
    <w:p>
      <w:pPr>
        <w:spacing w:line="560" w:lineRule="exact"/>
        <w:ind w:firstLine="640" w:firstLineChars="200"/>
        <w:outlineLvl w:val="2"/>
        <w:rPr>
          <w:rFonts w:ascii="方正仿宋_GBK" w:hAnsi="方正仿宋_GBK" w:eastAsia="方正仿宋_GBK" w:cs="方正仿宋_GBK"/>
          <w:sz w:val="32"/>
          <w:szCs w:val="32"/>
        </w:rPr>
      </w:pPr>
      <w:bookmarkStart w:id="6" w:name="_Toc131175008"/>
      <w:r>
        <w:rPr>
          <w:rFonts w:hint="eastAsia" w:ascii="方正仿宋_GBK" w:hAnsi="方正仿宋_GBK" w:eastAsia="方正仿宋_GBK" w:cs="方正仿宋_GBK"/>
          <w:sz w:val="32"/>
          <w:szCs w:val="32"/>
        </w:rPr>
        <w:t>1、财政资金整体支出</w:t>
      </w:r>
      <w:bookmarkEnd w:id="6"/>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2022年财政资金年初预算数为2931.88万元，年初无结转和结余资金，全年（调整）预算数为</w:t>
      </w:r>
      <w:r>
        <w:rPr>
          <w:rFonts w:hint="eastAsia" w:ascii="方正仿宋_GBK" w:eastAsia="方正仿宋_GBK"/>
          <w:sz w:val="32"/>
          <w:szCs w:val="32"/>
        </w:rPr>
        <w:t>2851.19</w:t>
      </w:r>
      <w:r>
        <w:rPr>
          <w:rFonts w:hint="eastAsia" w:ascii="方正仿宋_GBK" w:hAnsi="方正仿宋_GBK" w:eastAsia="方正仿宋_GBK" w:cs="方正仿宋_GBK"/>
          <w:sz w:val="32"/>
          <w:szCs w:val="32"/>
        </w:rPr>
        <w:t>万元（年末零结转资金不作为预算调整），</w:t>
      </w:r>
      <w:r>
        <w:rPr>
          <w:rFonts w:hint="eastAsia" w:ascii="方正仿宋_GBK" w:hAnsi="方正仿宋_GBK" w:eastAsia="方正仿宋_GBK" w:cs="方正仿宋_GBK"/>
          <w:kern w:val="0"/>
          <w:sz w:val="32"/>
          <w:szCs w:val="32"/>
          <w:shd w:val="clear" w:color="auto" w:fill="FFFFFF"/>
        </w:rPr>
        <w:t>全年执行数1209.56万元</w:t>
      </w:r>
      <w:r>
        <w:rPr>
          <w:rFonts w:hint="eastAsia" w:ascii="方正仿宋_GBK" w:hAnsi="方正仿宋_GBK" w:eastAsia="方正仿宋_GBK" w:cs="方正仿宋_GBK"/>
          <w:sz w:val="32"/>
          <w:szCs w:val="32"/>
        </w:rPr>
        <w:t>，年末无结转和结余资金。</w:t>
      </w:r>
    </w:p>
    <w:p>
      <w:pPr>
        <w:spacing w:line="560" w:lineRule="exact"/>
        <w:ind w:firstLine="640" w:firstLineChars="200"/>
        <w:outlineLvl w:val="2"/>
        <w:rPr>
          <w:rFonts w:ascii="方正仿宋_GBK" w:hAnsi="方正仿宋_GBK" w:eastAsia="方正仿宋_GBK" w:cs="方正仿宋_GBK"/>
          <w:sz w:val="32"/>
          <w:szCs w:val="32"/>
        </w:rPr>
      </w:pPr>
      <w:bookmarkStart w:id="7" w:name="_Toc131175009"/>
      <w:r>
        <w:rPr>
          <w:rFonts w:hint="eastAsia" w:ascii="方正仿宋_GBK" w:hAnsi="方正仿宋_GBK" w:eastAsia="方正仿宋_GBK" w:cs="方正仿宋_GBK"/>
          <w:sz w:val="32"/>
          <w:szCs w:val="32"/>
        </w:rPr>
        <w:t>2、部门“三公”经费支出</w:t>
      </w:r>
      <w:bookmarkEnd w:id="7"/>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2022年“三公”经费支出总额5.98万元，其中：公务车运行维护费4.85万元、国内公务接待1.13万元。年初预算支出13.2万，比年初预算减少7.22万元，主要原因是国内公务接待减少。本年使用非财政拨款资金购置公务用车1辆、处置公务用车1辆、保有量为2辆、无因公出国（境）团组数及人数。</w:t>
      </w:r>
    </w:p>
    <w:p>
      <w:pPr>
        <w:pStyle w:val="2"/>
      </w:pPr>
      <w:r>
        <w:rPr>
          <w:rFonts w:hint="eastAsia" w:ascii="方正仿宋_GBK" w:hAnsi="方正仿宋_GBK" w:eastAsia="方正仿宋_GBK" w:cs="方正仿宋_GBK"/>
          <w:sz w:val="32"/>
          <w:szCs w:val="32"/>
        </w:rPr>
        <w:t xml:space="preserve">    二、主要成效</w:t>
      </w:r>
    </w:p>
    <w:p>
      <w:pPr>
        <w:spacing w:line="596" w:lineRule="exact"/>
        <w:ind w:firstLine="640" w:firstLineChars="200"/>
        <w:outlineLvl w:val="0"/>
        <w:rPr>
          <w:rFonts w:eastAsia="方正仿宋_GBK"/>
          <w:sz w:val="32"/>
          <w:szCs w:val="32"/>
        </w:rPr>
      </w:pPr>
      <w:bookmarkStart w:id="8" w:name="_Toc131175010"/>
      <w:r>
        <w:rPr>
          <w:rFonts w:eastAsia="方正仿宋_GBK"/>
          <w:sz w:val="32"/>
          <w:szCs w:val="32"/>
        </w:rPr>
        <w:t>（一）绩效评价</w:t>
      </w:r>
      <w:r>
        <w:rPr>
          <w:rFonts w:hint="eastAsia" w:eastAsia="方正仿宋_GBK"/>
          <w:sz w:val="32"/>
          <w:szCs w:val="32"/>
        </w:rPr>
        <w:t>工作开展</w:t>
      </w:r>
      <w:r>
        <w:rPr>
          <w:rFonts w:eastAsia="方正仿宋_GBK"/>
          <w:sz w:val="32"/>
          <w:szCs w:val="32"/>
        </w:rPr>
        <w:t>情况</w:t>
      </w:r>
      <w:bookmarkEnd w:id="8"/>
    </w:p>
    <w:p>
      <w:pPr>
        <w:spacing w:line="596" w:lineRule="exact"/>
        <w:ind w:firstLine="640" w:firstLineChars="200"/>
        <w:outlineLvl w:val="2"/>
        <w:rPr>
          <w:rFonts w:ascii="方正仿宋_GBK" w:hAnsi="方正仿宋_GBK" w:eastAsia="方正仿宋_GBK" w:cs="方正仿宋_GBK"/>
          <w:sz w:val="32"/>
          <w:szCs w:val="32"/>
        </w:rPr>
      </w:pPr>
      <w:bookmarkStart w:id="9" w:name="_Toc131175011"/>
      <w:r>
        <w:rPr>
          <w:rFonts w:hint="eastAsia" w:ascii="方正仿宋_GBK" w:hAnsi="方正仿宋_GBK" w:eastAsia="方正仿宋_GBK" w:cs="方正仿宋_GBK"/>
          <w:sz w:val="32"/>
          <w:szCs w:val="32"/>
        </w:rPr>
        <w:t>1、前期准备</w:t>
      </w:r>
      <w:bookmarkEnd w:id="9"/>
    </w:p>
    <w:p>
      <w:pPr>
        <w:spacing w:line="59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重庆市璧山区财政局关于开展2022年度预算绩效自评工作的通知》（璧财绩〔2023〕1号）文件要求，我单位高度重视绩效评价，组成由单位领导、办公室、各业务科室负责人和项目负责人组成的自评小组，制定自评方案，明确自评程序和方法，通知要求资金使用科室上报资金使用情况、项目实施情况及计划绩效目标完成情况。</w:t>
      </w:r>
    </w:p>
    <w:p>
      <w:pPr>
        <w:spacing w:line="560" w:lineRule="exact"/>
        <w:ind w:firstLine="640" w:firstLineChars="200"/>
        <w:outlineLvl w:val="2"/>
        <w:rPr>
          <w:rFonts w:ascii="方正仿宋_GBK" w:hAnsi="方正仿宋_GBK" w:eastAsia="方正仿宋_GBK" w:cs="方正仿宋_GBK"/>
          <w:sz w:val="32"/>
          <w:szCs w:val="32"/>
        </w:rPr>
      </w:pPr>
      <w:bookmarkStart w:id="10" w:name="_Toc131175012"/>
      <w:r>
        <w:rPr>
          <w:rFonts w:hint="eastAsia" w:ascii="方正仿宋_GBK" w:hAnsi="方正仿宋_GBK" w:eastAsia="方正仿宋_GBK" w:cs="方正仿宋_GBK"/>
          <w:sz w:val="32"/>
          <w:szCs w:val="32"/>
        </w:rPr>
        <w:t>2、组织实施</w:t>
      </w:r>
      <w:bookmarkEnd w:id="10"/>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本次绩效评价工作分为两个阶段：</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第一个阶段为评价准备阶段，自评工作组梳理和研读了国家层面、市级层面、区级层面与本次评价部门整体有关的政策文件，获得评价资料。</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个阶段为实施评价阶段，自评工作组在2023年2月28日至3月18日开展评价实施。取得评价部门整体实施的进度和资金筹集支出情况等资料，通过研读搭建指标体系，填写《重庆市璧山区科学技术局2022年度部门整体支出绩效自评表》并撰写自评报告。</w:t>
      </w:r>
    </w:p>
    <w:p>
      <w:pPr>
        <w:spacing w:line="560" w:lineRule="exact"/>
        <w:ind w:firstLine="640" w:firstLineChars="200"/>
        <w:outlineLvl w:val="2"/>
        <w:rPr>
          <w:rFonts w:ascii="方正仿宋_GBK" w:hAnsi="方正仿宋_GBK" w:eastAsia="方正仿宋_GBK" w:cs="方正仿宋_GBK"/>
          <w:sz w:val="32"/>
          <w:szCs w:val="32"/>
        </w:rPr>
      </w:pPr>
      <w:bookmarkStart w:id="11" w:name="_Toc5795"/>
      <w:bookmarkStart w:id="12" w:name="_Toc131175013"/>
      <w:r>
        <w:rPr>
          <w:rFonts w:hint="eastAsia" w:ascii="方正仿宋_GBK" w:hAnsi="方正仿宋_GBK" w:eastAsia="方正仿宋_GBK" w:cs="方正仿宋_GBK"/>
          <w:sz w:val="32"/>
          <w:szCs w:val="32"/>
        </w:rPr>
        <w:t>3、分析评价</w:t>
      </w:r>
      <w:bookmarkEnd w:id="11"/>
      <w:bookmarkEnd w:id="12"/>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3月18日至3月28日，自评工作组根据《重庆市璧山区科学技术局2022年度部门整体支出绩效自评表》中的指标体系以及自评报告的分析情况，对初稿进行审核，按照相关文件、资金拨付资料，开展自评检查工作，对部门整体实施情况和质量进行评定。提出修改意见，形成部门整体绩效评价报告。</w:t>
      </w:r>
    </w:p>
    <w:p>
      <w:pPr>
        <w:spacing w:line="596" w:lineRule="exact"/>
        <w:ind w:firstLine="640" w:firstLineChars="200"/>
        <w:outlineLvl w:val="0"/>
        <w:rPr>
          <w:rFonts w:eastAsia="方正仿宋_GBK"/>
          <w:sz w:val="32"/>
          <w:szCs w:val="32"/>
        </w:rPr>
      </w:pPr>
      <w:bookmarkStart w:id="13" w:name="_Toc131175014"/>
      <w:r>
        <w:rPr>
          <w:rFonts w:eastAsia="方正仿宋_GBK"/>
          <w:sz w:val="32"/>
          <w:szCs w:val="32"/>
        </w:rPr>
        <w:t>（</w:t>
      </w:r>
      <w:r>
        <w:rPr>
          <w:rFonts w:hint="eastAsia" w:eastAsia="方正仿宋_GBK"/>
          <w:sz w:val="32"/>
          <w:szCs w:val="32"/>
        </w:rPr>
        <w:t>二</w:t>
      </w:r>
      <w:r>
        <w:rPr>
          <w:rFonts w:eastAsia="方正仿宋_GBK"/>
          <w:sz w:val="32"/>
          <w:szCs w:val="32"/>
        </w:rPr>
        <w:t>）主要经验及做法</w:t>
      </w:r>
      <w:bookmarkEnd w:id="13"/>
    </w:p>
    <w:p>
      <w:pPr>
        <w:pStyle w:val="8"/>
        <w:widowControl/>
        <w:shd w:val="clear" w:color="auto" w:fill="FFFFFF"/>
        <w:spacing w:beforeAutospacing="0" w:afterAutospacing="0" w:line="560" w:lineRule="exact"/>
        <w:ind w:firstLine="640" w:firstLineChars="200"/>
        <w:jc w:val="both"/>
        <w:rPr>
          <w:rFonts w:ascii="仿宋_GB2312" w:hAnsi="仿宋" w:eastAsia="仿宋_GB2312" w:cs="仿宋"/>
          <w:bCs/>
          <w:kern w:val="2"/>
          <w:sz w:val="32"/>
          <w:szCs w:val="32"/>
        </w:rPr>
      </w:pPr>
      <w:r>
        <w:rPr>
          <w:rFonts w:hint="eastAsia" w:ascii="仿宋_GB2312" w:hAnsi="仿宋" w:eastAsia="仿宋_GB2312" w:cs="仿宋"/>
          <w:bCs/>
          <w:kern w:val="2"/>
          <w:sz w:val="32"/>
          <w:szCs w:val="32"/>
        </w:rPr>
        <w:t>1、制定项目绩效管理制度明确项目绩效目标编制及审批流程，规范绩效指标设置。</w:t>
      </w:r>
    </w:p>
    <w:p>
      <w:pPr>
        <w:pStyle w:val="8"/>
        <w:widowControl/>
        <w:shd w:val="clear" w:color="auto" w:fill="FFFFFF"/>
        <w:spacing w:beforeAutospacing="0" w:afterAutospacing="0" w:line="560" w:lineRule="exact"/>
        <w:ind w:firstLine="640" w:firstLineChars="200"/>
        <w:jc w:val="both"/>
        <w:rPr>
          <w:rFonts w:ascii="仿宋_GB2312" w:hAnsi="仿宋" w:eastAsia="仿宋_GB2312" w:cs="仿宋"/>
          <w:bCs/>
          <w:kern w:val="2"/>
          <w:sz w:val="32"/>
          <w:szCs w:val="32"/>
        </w:rPr>
      </w:pPr>
      <w:r>
        <w:rPr>
          <w:rFonts w:hint="eastAsia" w:ascii="仿宋_GB2312" w:hAnsi="仿宋" w:eastAsia="仿宋_GB2312" w:cs="仿宋"/>
          <w:bCs/>
          <w:kern w:val="2"/>
          <w:sz w:val="32"/>
          <w:szCs w:val="32"/>
        </w:rPr>
        <w:t>2、强化预算绩效双监控，从项目期中已实现的产出成果与效益；项目预算执行进度是否与当前期限相匹配；专项资金是否专款专用，是否存在截留、挤占、挪用资金等违纪违规问题，有无滞留、缓拨资金以及因管理不善造成资金损失、浪费；专项资金是否按照规定用途、开支范围、开支标准及其其他相关要求使用等方面进行绩效监控。</w:t>
      </w:r>
    </w:p>
    <w:p>
      <w:pPr>
        <w:pStyle w:val="8"/>
        <w:widowControl/>
        <w:shd w:val="clear" w:color="auto" w:fill="FFFFFF"/>
        <w:spacing w:beforeAutospacing="0" w:afterAutospacing="0" w:line="560" w:lineRule="exact"/>
        <w:ind w:firstLine="640" w:firstLineChars="200"/>
        <w:jc w:val="both"/>
      </w:pPr>
      <w:r>
        <w:rPr>
          <w:rFonts w:hint="eastAsia" w:ascii="仿宋_GB2312" w:hAnsi="仿宋" w:eastAsia="仿宋_GB2312" w:cs="仿宋"/>
          <w:bCs/>
          <w:kern w:val="2"/>
          <w:sz w:val="32"/>
          <w:szCs w:val="32"/>
        </w:rPr>
        <w:t>3、成立成渝地区高校创新创业促进会，汇聚川渝两地高校、科技创新企业、科技孵化中心等67家会员单位，开展信息互通与资源共享、双创活动、科技成果转化等合作服务；举办成渝科技创新联盟项目对接活动，依托高新技术产业研究院公司，积极举办成渝两地科技创新联盟项目对接活动，目前在微电子、应用磁学、传感技术、新能源、气象雷达等多个领域开展合作和项目对接。</w:t>
      </w:r>
    </w:p>
    <w:p>
      <w:pPr>
        <w:pStyle w:val="8"/>
        <w:widowControl/>
        <w:shd w:val="clear" w:color="auto" w:fill="FFFFFF"/>
        <w:spacing w:beforeAutospacing="0" w:afterAutospacing="0" w:line="560" w:lineRule="exact"/>
        <w:ind w:firstLine="640" w:firstLineChars="200"/>
        <w:jc w:val="both"/>
      </w:pPr>
      <w:r>
        <w:rPr>
          <w:rFonts w:hint="eastAsia" w:ascii="仿宋_GB2312" w:hAnsi="仿宋" w:eastAsia="仿宋_GB2312" w:cs="仿宋"/>
          <w:bCs/>
          <w:kern w:val="2"/>
          <w:sz w:val="32"/>
          <w:szCs w:val="32"/>
        </w:rPr>
        <w:t>4、把党的政治建设摆在首位，深学笃用习近平新时代中国特色社会主义思想，深入学习贯彻党的十九届五中、六中全会精神，深化落实习近平总书记视察重庆重要讲话精神和区委十四届八次全会报告精神。推动落实“不忘初心、牢记使命”制度，扎实开展党史学习教育，认真贯彻落实“七一”重要讲话精神，提升全区科技创新水平，切实开展“我为群众办实事”实践活动。深入推进机关党支部“三基建设”，严肃规范党内政治生活，严格落实意识形态工作责任制，加强纪律作风建设，持之以恒正风肃纪。</w:t>
      </w:r>
    </w:p>
    <w:p>
      <w:pPr>
        <w:spacing w:line="596" w:lineRule="exact"/>
        <w:ind w:firstLine="640" w:firstLineChars="200"/>
        <w:outlineLvl w:val="0"/>
        <w:rPr>
          <w:rFonts w:eastAsia="方正黑体_GBK"/>
          <w:sz w:val="32"/>
          <w:szCs w:val="32"/>
        </w:rPr>
      </w:pPr>
      <w:bookmarkStart w:id="14" w:name="_Toc131175015"/>
      <w:r>
        <w:rPr>
          <w:rFonts w:hint="eastAsia" w:eastAsia="方正黑体_GBK"/>
          <w:sz w:val="32"/>
          <w:szCs w:val="32"/>
        </w:rPr>
        <w:t>三</w:t>
      </w:r>
      <w:r>
        <w:rPr>
          <w:rFonts w:eastAsia="方正黑体_GBK"/>
          <w:sz w:val="32"/>
          <w:szCs w:val="32"/>
        </w:rPr>
        <w:t>、</w:t>
      </w:r>
      <w:r>
        <w:rPr>
          <w:rFonts w:hint="eastAsia" w:eastAsia="方正黑体_GBK"/>
          <w:sz w:val="32"/>
          <w:szCs w:val="32"/>
        </w:rPr>
        <w:t>绩效</w:t>
      </w:r>
      <w:r>
        <w:rPr>
          <w:rFonts w:eastAsia="方正黑体_GBK"/>
          <w:sz w:val="32"/>
          <w:szCs w:val="32"/>
        </w:rPr>
        <w:t>评价情况及结论</w:t>
      </w:r>
      <w:bookmarkEnd w:id="14"/>
    </w:p>
    <w:p>
      <w:pPr>
        <w:spacing w:line="596" w:lineRule="exact"/>
        <w:ind w:firstLine="640" w:firstLineChars="200"/>
        <w:rPr>
          <w:rFonts w:ascii="方正仿宋_GBK" w:hAnsi="方正仿宋_GBK" w:eastAsia="方正仿宋_GBK" w:cs="方正仿宋_GBK"/>
          <w:sz w:val="32"/>
          <w:szCs w:val="32"/>
        </w:rPr>
      </w:pPr>
      <w:r>
        <w:rPr>
          <w:rFonts w:hint="eastAsia" w:eastAsia="方正仿宋_GBK" w:cs="方正仿宋_GBK"/>
          <w:sz w:val="32"/>
          <w:szCs w:val="32"/>
        </w:rPr>
        <w:t>根据《</w:t>
      </w:r>
      <w:r>
        <w:rPr>
          <w:rFonts w:hint="eastAsia" w:ascii="方正仿宋_GBK" w:hAnsi="方正仿宋_GBK" w:eastAsia="方正仿宋_GBK" w:cs="方正仿宋_GBK"/>
          <w:sz w:val="32"/>
          <w:szCs w:val="32"/>
        </w:rPr>
        <w:t>重庆市璧山区科学技术局</w:t>
      </w:r>
      <w:r>
        <w:rPr>
          <w:rFonts w:hint="eastAsia" w:eastAsia="方正仿宋_GBK" w:cs="方正仿宋_GBK"/>
          <w:sz w:val="32"/>
          <w:szCs w:val="32"/>
        </w:rPr>
        <w:t>2022年度部门整体支出绩效自评表》中的指标体系分析情况，</w:t>
      </w:r>
      <w:r>
        <w:rPr>
          <w:rFonts w:hint="eastAsia" w:ascii="方正仿宋_GBK" w:hAnsi="方正仿宋_GBK" w:eastAsia="方正仿宋_GBK" w:cs="方正仿宋_GBK"/>
          <w:sz w:val="32"/>
          <w:szCs w:val="32"/>
        </w:rPr>
        <w:t>重庆市璧山区科学技术局</w:t>
      </w:r>
      <w:r>
        <w:rPr>
          <w:rFonts w:hint="eastAsia" w:eastAsia="方正仿宋_GBK" w:cs="方正仿宋_GBK"/>
          <w:sz w:val="32"/>
          <w:szCs w:val="32"/>
        </w:rPr>
        <w:t>2022年度部门整体支出绩效自评总得分94.24分，等级为“</w:t>
      </w:r>
      <w:r>
        <w:rPr>
          <w:rFonts w:hint="eastAsia" w:eastAsia="方正仿宋_GBK" w:cs="方正仿宋_GBK"/>
          <w:color w:val="000000" w:themeColor="text1"/>
          <w:sz w:val="32"/>
          <w:szCs w:val="32"/>
          <w14:textFill>
            <w14:solidFill>
              <w14:schemeClr w14:val="tx1"/>
            </w14:solidFill>
          </w14:textFill>
        </w:rPr>
        <w:t>优</w:t>
      </w:r>
      <w:r>
        <w:rPr>
          <w:rFonts w:hint="eastAsia" w:eastAsia="方正仿宋_GBK" w:cs="方正仿宋_GBK"/>
          <w:sz w:val="32"/>
          <w:szCs w:val="32"/>
        </w:rPr>
        <w:t>”。</w:t>
      </w:r>
      <w:r>
        <w:rPr>
          <w:rFonts w:hint="eastAsia" w:ascii="方正仿宋_GBK" w:hAnsi="方正仿宋_GBK" w:eastAsia="方正仿宋_GBK" w:cs="方正仿宋_GBK"/>
          <w:sz w:val="32"/>
          <w:szCs w:val="32"/>
        </w:rPr>
        <w:t>具体得分情况如表1所示。</w:t>
      </w:r>
    </w:p>
    <w:p>
      <w:pPr>
        <w:widowControl/>
        <w:shd w:val="clear" w:color="auto" w:fill="FFFFFF"/>
        <w:adjustRightInd w:val="0"/>
        <w:snapToGrid w:val="0"/>
        <w:spacing w:line="560" w:lineRule="exact"/>
        <w:ind w:firstLine="560" w:firstLineChars="200"/>
        <w:jc w:val="center"/>
        <w:rPr>
          <w:rFonts w:ascii="方正仿宋_GBK" w:hAnsi="方正仿宋_GBK" w:eastAsia="方正仿宋_GBK" w:cs="方正仿宋_GBK"/>
          <w:kern w:val="0"/>
          <w:sz w:val="28"/>
          <w:szCs w:val="28"/>
          <w:shd w:val="clear" w:color="auto" w:fill="FFFFFF"/>
        </w:rPr>
      </w:pPr>
    </w:p>
    <w:p>
      <w:pPr>
        <w:widowControl/>
        <w:shd w:val="clear" w:color="auto" w:fill="FFFFFF"/>
        <w:adjustRightInd w:val="0"/>
        <w:snapToGrid w:val="0"/>
        <w:spacing w:line="560" w:lineRule="exact"/>
        <w:ind w:firstLine="560" w:firstLineChars="200"/>
        <w:jc w:val="center"/>
        <w:rPr>
          <w:rFonts w:ascii="方正仿宋_GBK" w:hAnsi="方正仿宋_GBK" w:eastAsia="方正仿宋_GBK" w:cs="方正仿宋_GBK"/>
          <w:kern w:val="0"/>
          <w:sz w:val="28"/>
          <w:szCs w:val="28"/>
          <w:shd w:val="clear" w:color="auto" w:fill="FFFFFF"/>
        </w:rPr>
      </w:pPr>
    </w:p>
    <w:p>
      <w:pPr>
        <w:pStyle w:val="2"/>
        <w:rPr>
          <w:rFonts w:ascii="方正仿宋_GBK" w:hAnsi="方正仿宋_GBK" w:eastAsia="方正仿宋_GBK" w:cs="方正仿宋_GBK"/>
          <w:kern w:val="0"/>
          <w:szCs w:val="28"/>
          <w:shd w:val="clear" w:color="auto" w:fill="FFFFFF"/>
        </w:rPr>
      </w:pPr>
    </w:p>
    <w:p>
      <w:pPr>
        <w:rPr>
          <w:rFonts w:ascii="方正仿宋_GBK" w:hAnsi="方正仿宋_GBK" w:eastAsia="方正仿宋_GBK" w:cs="方正仿宋_GBK"/>
          <w:kern w:val="0"/>
          <w:sz w:val="28"/>
          <w:szCs w:val="28"/>
          <w:shd w:val="clear" w:color="auto" w:fill="FFFFFF"/>
        </w:rPr>
      </w:pPr>
    </w:p>
    <w:p>
      <w:pPr>
        <w:pStyle w:val="2"/>
      </w:pPr>
    </w:p>
    <w:p>
      <w:pPr>
        <w:widowControl/>
        <w:shd w:val="clear" w:color="auto" w:fill="FFFFFF"/>
        <w:adjustRightInd w:val="0"/>
        <w:snapToGrid w:val="0"/>
        <w:spacing w:line="560" w:lineRule="exact"/>
        <w:ind w:firstLine="560" w:firstLineChars="200"/>
        <w:jc w:val="center"/>
        <w:rPr>
          <w:rFonts w:ascii="方正仿宋_GBK" w:hAnsi="方正仿宋_GBK" w:eastAsia="方正仿宋_GBK" w:cs="方正仿宋_GBK"/>
          <w:kern w:val="0"/>
          <w:sz w:val="28"/>
          <w:szCs w:val="28"/>
          <w:shd w:val="clear" w:color="auto" w:fill="FFFFFF"/>
        </w:rPr>
      </w:pPr>
      <w:r>
        <w:rPr>
          <w:rFonts w:hint="eastAsia" w:ascii="方正仿宋_GBK" w:hAnsi="方正仿宋_GBK" w:eastAsia="方正仿宋_GBK" w:cs="方正仿宋_GBK"/>
          <w:kern w:val="0"/>
          <w:sz w:val="28"/>
          <w:szCs w:val="28"/>
          <w:shd w:val="clear" w:color="auto" w:fill="FFFFFF"/>
        </w:rPr>
        <w:t>表 1：指标得分情况</w:t>
      </w:r>
    </w:p>
    <w:tbl>
      <w:tblPr>
        <w:tblStyle w:val="9"/>
        <w:tblW w:w="8994" w:type="dxa"/>
        <w:tblInd w:w="0" w:type="dxa"/>
        <w:tblLayout w:type="fixed"/>
        <w:tblCellMar>
          <w:top w:w="0" w:type="dxa"/>
          <w:left w:w="0" w:type="dxa"/>
          <w:bottom w:w="0" w:type="dxa"/>
          <w:right w:w="0" w:type="dxa"/>
        </w:tblCellMar>
      </w:tblPr>
      <w:tblGrid>
        <w:gridCol w:w="4563"/>
        <w:gridCol w:w="1466"/>
        <w:gridCol w:w="1488"/>
        <w:gridCol w:w="1477"/>
      </w:tblGrid>
      <w:tr>
        <w:tblPrEx>
          <w:tblCellMar>
            <w:top w:w="0" w:type="dxa"/>
            <w:left w:w="0" w:type="dxa"/>
            <w:bottom w:w="0" w:type="dxa"/>
            <w:right w:w="0" w:type="dxa"/>
          </w:tblCellMar>
        </w:tblPrEx>
        <w:trPr>
          <w:trHeight w:val="585" w:hRule="atLeast"/>
        </w:trPr>
        <w:tc>
          <w:tcPr>
            <w:tcW w:w="4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指标名称</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权重</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得分</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得分率</w:t>
            </w:r>
          </w:p>
        </w:tc>
      </w:tr>
      <w:tr>
        <w:tblPrEx>
          <w:tblCellMar>
            <w:top w:w="0" w:type="dxa"/>
            <w:left w:w="0" w:type="dxa"/>
            <w:bottom w:w="0" w:type="dxa"/>
            <w:right w:w="0" w:type="dxa"/>
          </w:tblCellMar>
        </w:tblPrEx>
        <w:trPr>
          <w:trHeight w:val="285" w:hRule="atLeast"/>
        </w:trPr>
        <w:tc>
          <w:tcPr>
            <w:tcW w:w="4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预算执行率</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10</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4.24</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42.42%</w:t>
            </w:r>
          </w:p>
        </w:tc>
      </w:tr>
      <w:tr>
        <w:tblPrEx>
          <w:tblCellMar>
            <w:top w:w="0" w:type="dxa"/>
            <w:left w:w="0" w:type="dxa"/>
            <w:bottom w:w="0" w:type="dxa"/>
            <w:right w:w="0" w:type="dxa"/>
          </w:tblCellMar>
        </w:tblPrEx>
        <w:trPr>
          <w:trHeight w:val="285" w:hRule="atLeast"/>
        </w:trPr>
        <w:tc>
          <w:tcPr>
            <w:tcW w:w="4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新增科技型企业数量</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15</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15</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100%</w:t>
            </w:r>
          </w:p>
        </w:tc>
      </w:tr>
      <w:tr>
        <w:tblPrEx>
          <w:tblCellMar>
            <w:top w:w="0" w:type="dxa"/>
            <w:left w:w="0" w:type="dxa"/>
            <w:bottom w:w="0" w:type="dxa"/>
            <w:right w:w="0" w:type="dxa"/>
          </w:tblCellMar>
        </w:tblPrEx>
        <w:trPr>
          <w:trHeight w:val="285" w:hRule="atLeast"/>
        </w:trPr>
        <w:tc>
          <w:tcPr>
            <w:tcW w:w="4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新增高新技术企业数量</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15</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15</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100%</w:t>
            </w:r>
          </w:p>
        </w:tc>
      </w:tr>
      <w:tr>
        <w:tblPrEx>
          <w:tblCellMar>
            <w:top w:w="0" w:type="dxa"/>
            <w:left w:w="0" w:type="dxa"/>
            <w:bottom w:w="0" w:type="dxa"/>
            <w:right w:w="0" w:type="dxa"/>
          </w:tblCellMar>
        </w:tblPrEx>
        <w:trPr>
          <w:trHeight w:val="285" w:hRule="atLeast"/>
        </w:trPr>
        <w:tc>
          <w:tcPr>
            <w:tcW w:w="4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举办创新创业大赛场次</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100%</w:t>
            </w:r>
          </w:p>
        </w:tc>
      </w:tr>
      <w:tr>
        <w:tblPrEx>
          <w:tblCellMar>
            <w:top w:w="0" w:type="dxa"/>
            <w:left w:w="0" w:type="dxa"/>
            <w:bottom w:w="0" w:type="dxa"/>
            <w:right w:w="0" w:type="dxa"/>
          </w:tblCellMar>
        </w:tblPrEx>
        <w:trPr>
          <w:trHeight w:val="285" w:hRule="atLeast"/>
        </w:trPr>
        <w:tc>
          <w:tcPr>
            <w:tcW w:w="4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举办科技活动周场次</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100%</w:t>
            </w:r>
          </w:p>
        </w:tc>
      </w:tr>
      <w:tr>
        <w:tblPrEx>
          <w:tblCellMar>
            <w:top w:w="0" w:type="dxa"/>
            <w:left w:w="0" w:type="dxa"/>
            <w:bottom w:w="0" w:type="dxa"/>
            <w:right w:w="0" w:type="dxa"/>
          </w:tblCellMar>
        </w:tblPrEx>
        <w:trPr>
          <w:trHeight w:val="285" w:hRule="atLeast"/>
        </w:trPr>
        <w:tc>
          <w:tcPr>
            <w:tcW w:w="4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选派科技特派员人数</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100%</w:t>
            </w:r>
          </w:p>
        </w:tc>
      </w:tr>
      <w:tr>
        <w:tblPrEx>
          <w:tblCellMar>
            <w:top w:w="0" w:type="dxa"/>
            <w:left w:w="0" w:type="dxa"/>
            <w:bottom w:w="0" w:type="dxa"/>
            <w:right w:w="0" w:type="dxa"/>
          </w:tblCellMar>
        </w:tblPrEx>
        <w:trPr>
          <w:trHeight w:val="285" w:hRule="atLeast"/>
        </w:trPr>
        <w:tc>
          <w:tcPr>
            <w:tcW w:w="4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技术合同认定个数</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100%</w:t>
            </w:r>
          </w:p>
        </w:tc>
      </w:tr>
      <w:tr>
        <w:tblPrEx>
          <w:tblCellMar>
            <w:top w:w="0" w:type="dxa"/>
            <w:left w:w="0" w:type="dxa"/>
            <w:bottom w:w="0" w:type="dxa"/>
            <w:right w:w="0" w:type="dxa"/>
          </w:tblCellMar>
        </w:tblPrEx>
        <w:trPr>
          <w:trHeight w:val="285" w:hRule="atLeast"/>
        </w:trPr>
        <w:tc>
          <w:tcPr>
            <w:tcW w:w="4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科技成果认定个数</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100%</w:t>
            </w:r>
          </w:p>
        </w:tc>
      </w:tr>
      <w:tr>
        <w:tblPrEx>
          <w:tblCellMar>
            <w:top w:w="0" w:type="dxa"/>
            <w:left w:w="0" w:type="dxa"/>
            <w:bottom w:w="0" w:type="dxa"/>
            <w:right w:w="0" w:type="dxa"/>
          </w:tblCellMar>
        </w:tblPrEx>
        <w:trPr>
          <w:trHeight w:val="285" w:hRule="atLeast"/>
        </w:trPr>
        <w:tc>
          <w:tcPr>
            <w:tcW w:w="4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职工满意度</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100%</w:t>
            </w:r>
          </w:p>
        </w:tc>
      </w:tr>
      <w:tr>
        <w:tblPrEx>
          <w:tblCellMar>
            <w:top w:w="0" w:type="dxa"/>
            <w:left w:w="0" w:type="dxa"/>
            <w:bottom w:w="0" w:type="dxa"/>
            <w:right w:w="0" w:type="dxa"/>
          </w:tblCellMar>
        </w:tblPrEx>
        <w:trPr>
          <w:trHeight w:val="285" w:hRule="atLeast"/>
        </w:trPr>
        <w:tc>
          <w:tcPr>
            <w:tcW w:w="4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企业满意度</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98%</w:t>
            </w:r>
          </w:p>
        </w:tc>
      </w:tr>
    </w:tbl>
    <w:p>
      <w:pPr>
        <w:pStyle w:val="2"/>
      </w:pPr>
    </w:p>
    <w:p>
      <w:pPr>
        <w:widowControl/>
        <w:shd w:val="clear" w:color="auto" w:fill="FFFFFF"/>
        <w:adjustRightInd w:val="0"/>
        <w:snapToGrid w:val="0"/>
        <w:spacing w:line="560" w:lineRule="exact"/>
        <w:ind w:firstLine="640" w:firstLineChars="200"/>
        <w:rPr>
          <w:rFonts w:ascii="方正仿宋_GBK" w:eastAsia="方正仿宋_GBK"/>
          <w:sz w:val="32"/>
          <w:szCs w:val="32"/>
        </w:rPr>
      </w:pPr>
      <w:r>
        <w:rPr>
          <w:rFonts w:hint="eastAsia" w:ascii="方正仿宋_GBK" w:eastAsia="方正仿宋_GBK"/>
          <w:sz w:val="32"/>
          <w:szCs w:val="32"/>
        </w:rPr>
        <w:t>1、预算执行率分析</w:t>
      </w:r>
    </w:p>
    <w:p>
      <w:pPr>
        <w:widowControl/>
        <w:shd w:val="clear" w:color="auto" w:fill="FFFFFF"/>
        <w:adjustRightInd w:val="0"/>
        <w:snapToGrid w:val="0"/>
        <w:spacing w:line="560" w:lineRule="exact"/>
        <w:ind w:firstLine="640" w:firstLineChars="200"/>
      </w:pPr>
      <w:r>
        <w:rPr>
          <w:rFonts w:hint="eastAsia" w:ascii="方正仿宋_GBK" w:eastAsia="方正仿宋_GBK"/>
          <w:sz w:val="32"/>
          <w:szCs w:val="32"/>
        </w:rPr>
        <w:t>年初预算数为2931.88万元，全年调整数为2851.19万元，预算执行数为1209.56万元，因财政资金紧张，支付困难，预算执行率为42.42%。</w:t>
      </w:r>
      <w:r>
        <w:rPr>
          <w:rFonts w:hint="eastAsia" w:ascii="方正仿宋_GBK" w:hAnsi="方正仿宋_GBK" w:eastAsia="方正仿宋_GBK" w:cs="方正仿宋_GBK"/>
          <w:kern w:val="0"/>
          <w:sz w:val="32"/>
          <w:szCs w:val="32"/>
          <w:shd w:val="clear" w:color="auto" w:fill="FFFFFF"/>
        </w:rPr>
        <w:t>根据评价标准，该指标得42.42%权重分。</w:t>
      </w:r>
    </w:p>
    <w:p>
      <w:pPr>
        <w:widowControl/>
        <w:shd w:val="clear" w:color="auto" w:fill="FFFFFF"/>
        <w:adjustRightInd w:val="0"/>
        <w:snapToGrid w:val="0"/>
        <w:spacing w:line="560" w:lineRule="exact"/>
        <w:ind w:firstLine="640" w:firstLineChars="200"/>
        <w:rPr>
          <w:rFonts w:ascii="方正仿宋_GBK" w:eastAsia="方正仿宋_GBK"/>
          <w:sz w:val="32"/>
          <w:szCs w:val="32"/>
        </w:rPr>
      </w:pPr>
      <w:r>
        <w:rPr>
          <w:rFonts w:hint="eastAsia" w:ascii="方正仿宋_GBK" w:eastAsia="方正仿宋_GBK"/>
          <w:sz w:val="32"/>
          <w:szCs w:val="32"/>
        </w:rPr>
        <w:t>2、新增科技型企业数量分析</w:t>
      </w:r>
    </w:p>
    <w:p>
      <w:pPr>
        <w:widowControl/>
        <w:shd w:val="clear" w:color="auto" w:fill="FFFFFF"/>
        <w:adjustRightInd w:val="0"/>
        <w:snapToGrid w:val="0"/>
        <w:spacing w:line="560" w:lineRule="exact"/>
        <w:ind w:firstLine="640" w:firstLineChars="200"/>
        <w:rPr>
          <w:rFonts w:ascii="方正仿宋_GBK" w:hAnsi="方正仿宋_GBK" w:eastAsia="方正仿宋_GBK" w:cs="方正仿宋_GBK"/>
          <w:kern w:val="0"/>
          <w:sz w:val="32"/>
          <w:szCs w:val="32"/>
          <w:shd w:val="clear" w:color="auto" w:fill="FFFFFF"/>
        </w:rPr>
      </w:pPr>
      <w:r>
        <w:rPr>
          <w:rFonts w:hint="eastAsia" w:ascii="方正仿宋_GBK" w:eastAsia="方正仿宋_GBK"/>
          <w:sz w:val="32"/>
          <w:szCs w:val="32"/>
        </w:rPr>
        <w:t>增强科技服务水平，加大科技型企业投入，本</w:t>
      </w:r>
      <w:r>
        <w:rPr>
          <w:rFonts w:hint="eastAsia" w:ascii="方正仿宋_GBK" w:hAnsi="方正仿宋_GBK" w:eastAsia="方正仿宋_GBK" w:cs="方正仿宋_GBK"/>
          <w:kern w:val="0"/>
          <w:sz w:val="32"/>
          <w:szCs w:val="32"/>
          <w:shd w:val="clear" w:color="auto" w:fill="FFFFFF"/>
        </w:rPr>
        <w:t>年度新增科技型企业171家。根据评价标准，该指标得100%权重分。</w:t>
      </w:r>
    </w:p>
    <w:p>
      <w:pPr>
        <w:widowControl/>
        <w:shd w:val="clear" w:color="auto" w:fill="FFFFFF"/>
        <w:adjustRightInd w:val="0"/>
        <w:snapToGrid w:val="0"/>
        <w:spacing w:line="560" w:lineRule="exact"/>
        <w:ind w:firstLine="640" w:firstLineChars="200"/>
        <w:rPr>
          <w:rFonts w:ascii="方正仿宋_GBK" w:eastAsia="方正仿宋_GBK"/>
          <w:sz w:val="32"/>
          <w:szCs w:val="32"/>
        </w:rPr>
      </w:pPr>
      <w:r>
        <w:rPr>
          <w:rFonts w:hint="eastAsia" w:ascii="方正仿宋_GBK" w:eastAsia="方正仿宋_GBK"/>
          <w:sz w:val="32"/>
          <w:szCs w:val="32"/>
        </w:rPr>
        <w:t>3、新增高新技术企业数量分析</w:t>
      </w:r>
    </w:p>
    <w:p>
      <w:pPr>
        <w:widowControl/>
        <w:shd w:val="clear" w:color="auto" w:fill="FFFFFF"/>
        <w:adjustRightInd w:val="0"/>
        <w:snapToGrid w:val="0"/>
        <w:spacing w:line="560" w:lineRule="exact"/>
        <w:ind w:firstLine="640" w:firstLineChars="200"/>
        <w:rPr>
          <w:rFonts w:ascii="方正仿宋_GBK" w:hAnsi="方正仿宋_GBK" w:eastAsia="方正仿宋_GBK" w:cs="方正仿宋_GBK"/>
          <w:kern w:val="0"/>
          <w:sz w:val="32"/>
          <w:szCs w:val="32"/>
          <w:shd w:val="clear" w:color="auto" w:fill="FFFFFF"/>
        </w:rPr>
      </w:pPr>
      <w:r>
        <w:rPr>
          <w:rFonts w:hint="eastAsia" w:ascii="方正仿宋_GBK" w:eastAsia="方正仿宋_GBK"/>
          <w:sz w:val="32"/>
          <w:szCs w:val="32"/>
        </w:rPr>
        <w:t>通过加快培育、积极引进高新技术企业，本年度新增高新技术企业59家。</w:t>
      </w:r>
      <w:r>
        <w:rPr>
          <w:rFonts w:hint="eastAsia" w:ascii="方正仿宋_GBK" w:hAnsi="方正仿宋_GBK" w:eastAsia="方正仿宋_GBK" w:cs="方正仿宋_GBK"/>
          <w:kern w:val="0"/>
          <w:sz w:val="32"/>
          <w:szCs w:val="32"/>
          <w:shd w:val="clear" w:color="auto" w:fill="FFFFFF"/>
        </w:rPr>
        <w:t>根据评价标准，该指标得100%权重分。</w:t>
      </w:r>
    </w:p>
    <w:p>
      <w:pPr>
        <w:widowControl/>
        <w:shd w:val="clear" w:color="auto" w:fill="FFFFFF"/>
        <w:adjustRightInd w:val="0"/>
        <w:snapToGrid w:val="0"/>
        <w:spacing w:line="560" w:lineRule="exact"/>
        <w:ind w:firstLine="640" w:firstLineChars="200"/>
        <w:rPr>
          <w:rFonts w:ascii="方正仿宋_GBK" w:eastAsia="方正仿宋_GBK"/>
          <w:sz w:val="32"/>
          <w:szCs w:val="32"/>
        </w:rPr>
      </w:pPr>
      <w:r>
        <w:rPr>
          <w:rFonts w:hint="eastAsia" w:ascii="方正仿宋_GBK" w:eastAsia="方正仿宋_GBK"/>
          <w:sz w:val="32"/>
          <w:szCs w:val="32"/>
        </w:rPr>
        <w:t>4、举办创新创业大赛场次分析</w:t>
      </w:r>
    </w:p>
    <w:p>
      <w:pPr>
        <w:widowControl/>
        <w:shd w:val="clear" w:color="auto" w:fill="FFFFFF"/>
        <w:adjustRightInd w:val="0"/>
        <w:snapToGrid w:val="0"/>
        <w:spacing w:line="560" w:lineRule="exact"/>
        <w:ind w:firstLine="640" w:firstLineChars="200"/>
        <w:rPr>
          <w:rFonts w:ascii="方正仿宋_GBK" w:hAnsi="方正仿宋_GBK" w:eastAsia="方正仿宋_GBK" w:cs="方正仿宋_GBK"/>
          <w:color w:val="FF0000"/>
          <w:kern w:val="0"/>
          <w:sz w:val="32"/>
          <w:szCs w:val="32"/>
          <w:shd w:val="clear" w:color="auto" w:fill="FFFFFF"/>
        </w:rPr>
      </w:pPr>
      <w:r>
        <w:rPr>
          <w:rFonts w:hint="eastAsia" w:ascii="方正仿宋_GBK" w:eastAsia="方正仿宋_GBK"/>
          <w:sz w:val="32"/>
          <w:szCs w:val="32"/>
        </w:rPr>
        <w:t>为鼓励企业加大科技研发投入，提高科技创新水平，举办创新创业大赛场次1次。</w:t>
      </w:r>
      <w:r>
        <w:rPr>
          <w:rFonts w:hint="eastAsia" w:ascii="方正仿宋_GBK" w:hAnsi="方正仿宋_GBK" w:eastAsia="方正仿宋_GBK" w:cs="方正仿宋_GBK"/>
          <w:kern w:val="0"/>
          <w:sz w:val="32"/>
          <w:szCs w:val="32"/>
          <w:shd w:val="clear" w:color="auto" w:fill="FFFFFF"/>
        </w:rPr>
        <w:t>根据评价标准，该指标得100%权重分。</w:t>
      </w:r>
    </w:p>
    <w:p>
      <w:pPr>
        <w:widowControl/>
        <w:shd w:val="clear" w:color="auto" w:fill="FFFFFF"/>
        <w:adjustRightInd w:val="0"/>
        <w:snapToGrid w:val="0"/>
        <w:spacing w:line="560" w:lineRule="exact"/>
        <w:ind w:firstLine="640" w:firstLineChars="200"/>
        <w:rPr>
          <w:rFonts w:ascii="方正仿宋_GBK" w:eastAsia="方正仿宋_GBK"/>
          <w:sz w:val="32"/>
          <w:szCs w:val="32"/>
        </w:rPr>
      </w:pPr>
      <w:r>
        <w:rPr>
          <w:rFonts w:hint="eastAsia" w:ascii="方正仿宋_GBK" w:eastAsia="方正仿宋_GBK"/>
          <w:sz w:val="32"/>
          <w:szCs w:val="32"/>
        </w:rPr>
        <w:t>5、举办科技活动周场次分析</w:t>
      </w:r>
    </w:p>
    <w:p>
      <w:pPr>
        <w:widowControl/>
        <w:shd w:val="clear" w:color="auto" w:fill="FFFFFF"/>
        <w:adjustRightInd w:val="0"/>
        <w:snapToGrid w:val="0"/>
        <w:spacing w:line="560" w:lineRule="exact"/>
        <w:ind w:firstLine="640" w:firstLineChars="200"/>
        <w:rPr>
          <w:rFonts w:ascii="方正仿宋_GBK" w:hAnsi="方正仿宋_GBK" w:eastAsia="方正仿宋_GBK" w:cs="方正仿宋_GBK"/>
          <w:color w:val="FF0000"/>
          <w:kern w:val="0"/>
          <w:sz w:val="32"/>
          <w:szCs w:val="32"/>
          <w:shd w:val="clear" w:color="auto" w:fill="FFFFFF"/>
        </w:rPr>
      </w:pPr>
      <w:r>
        <w:rPr>
          <w:rFonts w:hint="eastAsia" w:ascii="方正仿宋_GBK" w:eastAsia="方正仿宋_GBK"/>
          <w:sz w:val="32"/>
          <w:szCs w:val="32"/>
        </w:rPr>
        <w:t>为提高各项科技项目完成质量、加快基地建设，举办科技活动周活动场次1次。</w:t>
      </w:r>
      <w:r>
        <w:rPr>
          <w:rFonts w:hint="eastAsia" w:ascii="方正仿宋_GBK" w:hAnsi="方正仿宋_GBK" w:eastAsia="方正仿宋_GBK" w:cs="方正仿宋_GBK"/>
          <w:kern w:val="0"/>
          <w:sz w:val="32"/>
          <w:szCs w:val="32"/>
          <w:shd w:val="clear" w:color="auto" w:fill="FFFFFF"/>
        </w:rPr>
        <w:t>根据评价标准，该指标得100%权重分。</w:t>
      </w:r>
    </w:p>
    <w:p>
      <w:pPr>
        <w:widowControl/>
        <w:shd w:val="clear" w:color="auto" w:fill="FFFFFF"/>
        <w:adjustRightInd w:val="0"/>
        <w:snapToGrid w:val="0"/>
        <w:spacing w:line="560" w:lineRule="exact"/>
        <w:ind w:firstLine="640" w:firstLineChars="200"/>
        <w:rPr>
          <w:rFonts w:ascii="方正仿宋_GBK" w:eastAsia="方正仿宋_GBK"/>
          <w:sz w:val="32"/>
          <w:szCs w:val="32"/>
        </w:rPr>
      </w:pPr>
      <w:r>
        <w:rPr>
          <w:rFonts w:hint="eastAsia" w:ascii="方正仿宋_GBK" w:eastAsia="方正仿宋_GBK"/>
          <w:sz w:val="32"/>
          <w:szCs w:val="32"/>
        </w:rPr>
        <w:t>6、选派科技特派员人数分析</w:t>
      </w:r>
    </w:p>
    <w:p>
      <w:pPr>
        <w:widowControl/>
        <w:shd w:val="clear" w:color="auto" w:fill="FFFFFF"/>
        <w:adjustRightInd w:val="0"/>
        <w:snapToGrid w:val="0"/>
        <w:spacing w:line="560" w:lineRule="exact"/>
        <w:ind w:firstLine="640" w:firstLineChars="200"/>
        <w:rPr>
          <w:rFonts w:ascii="方正仿宋_GBK" w:eastAsia="方正仿宋_GBK"/>
          <w:sz w:val="32"/>
          <w:szCs w:val="32"/>
        </w:rPr>
      </w:pPr>
      <w:r>
        <w:rPr>
          <w:rFonts w:hint="eastAsia" w:ascii="方正仿宋_GBK" w:eastAsia="方正仿宋_GBK"/>
          <w:sz w:val="32"/>
          <w:szCs w:val="32"/>
        </w:rPr>
        <w:t>为做好防扶贫工作，选派特派员下乡助农，共计选派区级科技特派员31名，市级科技特派员22名。</w:t>
      </w:r>
      <w:r>
        <w:rPr>
          <w:rFonts w:hint="eastAsia" w:ascii="方正仿宋_GBK" w:hAnsi="方正仿宋_GBK" w:eastAsia="方正仿宋_GBK" w:cs="方正仿宋_GBK"/>
          <w:kern w:val="0"/>
          <w:sz w:val="32"/>
          <w:szCs w:val="32"/>
          <w:shd w:val="clear" w:color="auto" w:fill="FFFFFF"/>
        </w:rPr>
        <w:t>根据评价标准，该指标得100%权重分。</w:t>
      </w:r>
    </w:p>
    <w:p>
      <w:pPr>
        <w:widowControl/>
        <w:shd w:val="clear" w:color="auto" w:fill="FFFFFF"/>
        <w:adjustRightInd w:val="0"/>
        <w:snapToGrid w:val="0"/>
        <w:spacing w:line="560" w:lineRule="exact"/>
        <w:ind w:firstLine="640" w:firstLineChars="200"/>
        <w:rPr>
          <w:rFonts w:ascii="方正仿宋_GBK" w:eastAsia="方正仿宋_GBK"/>
          <w:sz w:val="32"/>
          <w:szCs w:val="32"/>
        </w:rPr>
      </w:pPr>
      <w:r>
        <w:rPr>
          <w:rFonts w:hint="eastAsia" w:ascii="方正仿宋_GBK" w:eastAsia="方正仿宋_GBK"/>
          <w:sz w:val="32"/>
          <w:szCs w:val="32"/>
        </w:rPr>
        <w:t>7、技术合同认定个数分析</w:t>
      </w:r>
    </w:p>
    <w:p>
      <w:pPr>
        <w:widowControl/>
        <w:shd w:val="clear" w:color="auto" w:fill="FFFFFF"/>
        <w:adjustRightInd w:val="0"/>
        <w:snapToGrid w:val="0"/>
        <w:spacing w:line="560" w:lineRule="exact"/>
        <w:ind w:firstLine="640" w:firstLineChars="200"/>
        <w:rPr>
          <w:rFonts w:ascii="方正仿宋_GBK" w:hAnsi="方正仿宋_GBK" w:eastAsia="方正仿宋_GBK" w:cs="方正仿宋_GBK"/>
          <w:color w:val="FF0000"/>
          <w:kern w:val="0"/>
          <w:sz w:val="32"/>
          <w:szCs w:val="32"/>
          <w:shd w:val="clear" w:color="auto" w:fill="FFFFFF"/>
        </w:rPr>
      </w:pPr>
      <w:r>
        <w:rPr>
          <w:rFonts w:hint="eastAsia" w:ascii="方正仿宋_GBK" w:eastAsia="方正仿宋_GBK"/>
          <w:sz w:val="32"/>
          <w:szCs w:val="32"/>
        </w:rPr>
        <w:t>为激励和扶持企事业单位增强创新能力，提升产业技术支撑水平和区域创新能力，鼓励企业开展技术合同登记，技术合同认定28个。</w:t>
      </w:r>
      <w:r>
        <w:rPr>
          <w:rFonts w:hint="eastAsia" w:ascii="方正仿宋_GBK" w:hAnsi="方正仿宋_GBK" w:eastAsia="方正仿宋_GBK" w:cs="方正仿宋_GBK"/>
          <w:kern w:val="0"/>
          <w:sz w:val="32"/>
          <w:szCs w:val="32"/>
          <w:shd w:val="clear" w:color="auto" w:fill="FFFFFF"/>
        </w:rPr>
        <w:t>根据评价标准，该指标得100%权重分。</w:t>
      </w:r>
    </w:p>
    <w:p>
      <w:pPr>
        <w:widowControl/>
        <w:shd w:val="clear" w:color="auto" w:fill="FFFFFF"/>
        <w:adjustRightInd w:val="0"/>
        <w:snapToGrid w:val="0"/>
        <w:spacing w:line="560" w:lineRule="exact"/>
        <w:ind w:firstLine="640" w:firstLineChars="200"/>
        <w:rPr>
          <w:rFonts w:ascii="方正仿宋_GBK" w:eastAsia="方正仿宋_GBK"/>
          <w:sz w:val="32"/>
          <w:szCs w:val="32"/>
        </w:rPr>
      </w:pPr>
      <w:r>
        <w:rPr>
          <w:rFonts w:hint="eastAsia" w:ascii="方正仿宋_GBK" w:eastAsia="方正仿宋_GBK"/>
          <w:sz w:val="32"/>
          <w:szCs w:val="32"/>
        </w:rPr>
        <w:t>8、科技成果认定个数分析</w:t>
      </w:r>
    </w:p>
    <w:p>
      <w:pPr>
        <w:widowControl/>
        <w:shd w:val="clear" w:color="auto" w:fill="FFFFFF"/>
        <w:adjustRightInd w:val="0"/>
        <w:snapToGrid w:val="0"/>
        <w:spacing w:line="560" w:lineRule="exact"/>
        <w:ind w:firstLine="640" w:firstLineChars="200"/>
        <w:rPr>
          <w:rFonts w:ascii="方正仿宋_GBK" w:hAnsi="方正仿宋_GBK" w:eastAsia="方正仿宋_GBK" w:cs="方正仿宋_GBK"/>
          <w:color w:val="FF0000"/>
          <w:kern w:val="0"/>
          <w:sz w:val="32"/>
          <w:szCs w:val="32"/>
          <w:shd w:val="clear" w:color="auto" w:fill="FFFFFF"/>
        </w:rPr>
      </w:pPr>
      <w:r>
        <w:rPr>
          <w:rFonts w:hint="eastAsia" w:ascii="方正仿宋_GBK" w:eastAsia="方正仿宋_GBK"/>
          <w:sz w:val="32"/>
          <w:szCs w:val="32"/>
        </w:rPr>
        <w:t>为推动科技创新，促进企事业单位协同创新，鼓励企事业单位开展科技成果转化，科技成果认定151个。</w:t>
      </w:r>
      <w:r>
        <w:rPr>
          <w:rFonts w:hint="eastAsia" w:ascii="方正仿宋_GBK" w:hAnsi="方正仿宋_GBK" w:eastAsia="方正仿宋_GBK" w:cs="方正仿宋_GBK"/>
          <w:kern w:val="0"/>
          <w:sz w:val="32"/>
          <w:szCs w:val="32"/>
          <w:shd w:val="clear" w:color="auto" w:fill="FFFFFF"/>
        </w:rPr>
        <w:t>根据评价标准，该指标得100%权重分。</w:t>
      </w:r>
    </w:p>
    <w:p>
      <w:pPr>
        <w:widowControl/>
        <w:shd w:val="clear" w:color="auto" w:fill="FFFFFF"/>
        <w:adjustRightInd w:val="0"/>
        <w:snapToGrid w:val="0"/>
        <w:spacing w:line="560" w:lineRule="exact"/>
        <w:ind w:firstLine="640" w:firstLineChars="200"/>
        <w:rPr>
          <w:rFonts w:ascii="方正仿宋_GBK" w:eastAsia="方正仿宋_GBK"/>
          <w:sz w:val="32"/>
          <w:szCs w:val="32"/>
        </w:rPr>
      </w:pPr>
      <w:r>
        <w:rPr>
          <w:rFonts w:hint="eastAsia" w:ascii="方正仿宋_GBK" w:eastAsia="方正仿宋_GBK"/>
          <w:sz w:val="32"/>
          <w:szCs w:val="32"/>
        </w:rPr>
        <w:t>9、职工满意度分析</w:t>
      </w:r>
    </w:p>
    <w:p>
      <w:pPr>
        <w:widowControl/>
        <w:shd w:val="clear" w:color="auto" w:fill="FFFFFF"/>
        <w:adjustRightInd w:val="0"/>
        <w:snapToGrid w:val="0"/>
        <w:spacing w:line="560" w:lineRule="exact"/>
        <w:ind w:firstLine="640" w:firstLineChars="200"/>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lang w:bidi="ar"/>
        </w:rPr>
        <w:t>职工</w:t>
      </w:r>
      <w:r>
        <w:rPr>
          <w:rFonts w:hint="eastAsia" w:ascii="方正仿宋_GBK" w:hAnsi="方正仿宋_GBK" w:eastAsia="方正仿宋_GBK" w:cs="方正仿宋_GBK"/>
          <w:kern w:val="0"/>
          <w:sz w:val="32"/>
          <w:szCs w:val="32"/>
          <w:shd w:val="clear" w:color="auto" w:fill="FFFFFF"/>
        </w:rPr>
        <w:t>对相关工作和满意度达到</w:t>
      </w:r>
      <w:r>
        <w:rPr>
          <w:rFonts w:hint="eastAsia" w:ascii="方正仿宋_GBK" w:eastAsia="方正仿宋_GBK"/>
          <w:sz w:val="32"/>
          <w:szCs w:val="32"/>
        </w:rPr>
        <w:t>100%。</w:t>
      </w:r>
      <w:r>
        <w:rPr>
          <w:rFonts w:hint="eastAsia" w:ascii="方正仿宋_GBK" w:hAnsi="方正仿宋_GBK" w:eastAsia="方正仿宋_GBK" w:cs="方正仿宋_GBK"/>
          <w:kern w:val="0"/>
          <w:sz w:val="32"/>
          <w:szCs w:val="32"/>
          <w:shd w:val="clear" w:color="auto" w:fill="FFFFFF"/>
        </w:rPr>
        <w:t>根据评价标准，该指标得100%权重分。</w:t>
      </w:r>
    </w:p>
    <w:p>
      <w:pPr>
        <w:widowControl/>
        <w:shd w:val="clear" w:color="auto" w:fill="FFFFFF"/>
        <w:adjustRightInd w:val="0"/>
        <w:snapToGrid w:val="0"/>
        <w:spacing w:line="560" w:lineRule="exact"/>
        <w:ind w:firstLine="640" w:firstLineChars="200"/>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10、企业满意度分析</w:t>
      </w:r>
    </w:p>
    <w:p>
      <w:pPr>
        <w:widowControl/>
        <w:shd w:val="clear" w:color="auto" w:fill="FFFFFF"/>
        <w:adjustRightInd w:val="0"/>
        <w:snapToGrid w:val="0"/>
        <w:spacing w:line="560" w:lineRule="exact"/>
        <w:ind w:firstLine="640" w:firstLineChars="200"/>
      </w:pPr>
      <w:r>
        <w:rPr>
          <w:rFonts w:hint="eastAsia" w:ascii="方正仿宋_GBK" w:hAnsi="方正仿宋_GBK" w:eastAsia="方正仿宋_GBK" w:cs="方正仿宋_GBK"/>
          <w:kern w:val="0"/>
          <w:sz w:val="32"/>
          <w:szCs w:val="32"/>
          <w:shd w:val="clear" w:color="auto" w:fill="FFFFFF"/>
        </w:rPr>
        <w:t>企业对相关工作和满意度达到98</w:t>
      </w:r>
      <w:r>
        <w:rPr>
          <w:rFonts w:hint="eastAsia" w:ascii="方正仿宋_GBK" w:eastAsia="方正仿宋_GBK"/>
          <w:sz w:val="32"/>
          <w:szCs w:val="32"/>
        </w:rPr>
        <w:t>%。</w:t>
      </w:r>
      <w:r>
        <w:rPr>
          <w:rFonts w:hint="eastAsia" w:ascii="方正仿宋_GBK" w:hAnsi="方正仿宋_GBK" w:eastAsia="方正仿宋_GBK" w:cs="方正仿宋_GBK"/>
          <w:kern w:val="0"/>
          <w:sz w:val="32"/>
          <w:szCs w:val="32"/>
          <w:shd w:val="clear" w:color="auto" w:fill="FFFFFF"/>
        </w:rPr>
        <w:t>根据评价标准，该指标得100%权重分。</w:t>
      </w:r>
    </w:p>
    <w:p>
      <w:pPr>
        <w:spacing w:line="596" w:lineRule="exact"/>
        <w:ind w:firstLine="640" w:firstLineChars="200"/>
        <w:outlineLvl w:val="0"/>
        <w:rPr>
          <w:rFonts w:eastAsia="方正仿宋_GBK"/>
          <w:sz w:val="32"/>
          <w:szCs w:val="32"/>
        </w:rPr>
      </w:pPr>
      <w:bookmarkStart w:id="15" w:name="_Toc131175016"/>
      <w:r>
        <w:rPr>
          <w:rFonts w:hint="eastAsia" w:eastAsia="方正黑体_GBK"/>
          <w:sz w:val="32"/>
          <w:szCs w:val="32"/>
        </w:rPr>
        <w:t>四、需重点关注的问题</w:t>
      </w:r>
      <w:bookmarkEnd w:id="15"/>
    </w:p>
    <w:p>
      <w:pPr>
        <w:spacing w:line="56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1、</w:t>
      </w:r>
      <w:bookmarkStart w:id="16" w:name="_Toc17179"/>
      <w:bookmarkStart w:id="17" w:name="_Toc21701"/>
      <w:r>
        <w:rPr>
          <w:rFonts w:ascii="仿宋_GB2312" w:hAnsi="仿宋" w:eastAsia="仿宋_GB2312" w:cs="仿宋"/>
          <w:bCs/>
          <w:sz w:val="32"/>
          <w:szCs w:val="32"/>
        </w:rPr>
        <w:t>科技服务水平有待提高</w:t>
      </w:r>
      <w:r>
        <w:rPr>
          <w:rFonts w:hint="eastAsia" w:ascii="仿宋_GB2312" w:hAnsi="仿宋" w:eastAsia="仿宋_GB2312" w:cs="仿宋"/>
          <w:bCs/>
          <w:sz w:val="32"/>
          <w:szCs w:val="32"/>
        </w:rPr>
        <w:t>。</w:t>
      </w:r>
    </w:p>
    <w:p>
      <w:pPr>
        <w:spacing w:line="56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2、</w:t>
      </w:r>
      <w:r>
        <w:rPr>
          <w:rFonts w:ascii="仿宋_GB2312" w:hAnsi="仿宋" w:eastAsia="仿宋_GB2312" w:cs="仿宋"/>
          <w:bCs/>
          <w:sz w:val="32"/>
          <w:szCs w:val="32"/>
        </w:rPr>
        <w:t>提高农户科学种养殖技术难度大</w:t>
      </w:r>
      <w:r>
        <w:rPr>
          <w:rFonts w:hint="eastAsia" w:ascii="仿宋_GB2312" w:hAnsi="仿宋" w:eastAsia="仿宋_GB2312" w:cs="仿宋"/>
          <w:bCs/>
          <w:sz w:val="32"/>
          <w:szCs w:val="32"/>
        </w:rPr>
        <w:t>。</w:t>
      </w:r>
    </w:p>
    <w:bookmarkEnd w:id="16"/>
    <w:bookmarkEnd w:id="17"/>
    <w:p>
      <w:pPr>
        <w:spacing w:line="596" w:lineRule="exact"/>
        <w:ind w:firstLine="640" w:firstLineChars="200"/>
        <w:outlineLvl w:val="0"/>
        <w:rPr>
          <w:rFonts w:eastAsia="方正黑体_GBK"/>
          <w:sz w:val="32"/>
          <w:szCs w:val="32"/>
        </w:rPr>
      </w:pPr>
      <w:bookmarkStart w:id="18" w:name="_Toc131175017"/>
      <w:r>
        <w:rPr>
          <w:rFonts w:hint="eastAsia" w:eastAsia="方正黑体_GBK"/>
          <w:sz w:val="32"/>
          <w:szCs w:val="32"/>
        </w:rPr>
        <w:t>五、有关建议</w:t>
      </w:r>
      <w:bookmarkEnd w:id="18"/>
    </w:p>
    <w:p>
      <w:pPr>
        <w:spacing w:line="56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1、</w:t>
      </w:r>
      <w:r>
        <w:rPr>
          <w:rFonts w:ascii="仿宋_GB2312" w:hAnsi="仿宋" w:eastAsia="仿宋_GB2312" w:cs="仿宋"/>
          <w:bCs/>
          <w:sz w:val="32"/>
          <w:szCs w:val="32"/>
        </w:rPr>
        <w:t>强化川渝地区合作交流，引进科技服务业企业，推动科技服务业发展</w:t>
      </w:r>
      <w:r>
        <w:rPr>
          <w:rFonts w:hint="eastAsia" w:ascii="仿宋_GB2312" w:hAnsi="仿宋" w:eastAsia="仿宋_GB2312" w:cs="仿宋"/>
          <w:bCs/>
          <w:sz w:val="32"/>
          <w:szCs w:val="32"/>
        </w:rPr>
        <w:t>，加强自身队伍建设，增强</w:t>
      </w:r>
      <w:r>
        <w:rPr>
          <w:rFonts w:ascii="仿宋_GB2312" w:hAnsi="仿宋" w:eastAsia="仿宋_GB2312" w:cs="仿宋"/>
          <w:bCs/>
          <w:sz w:val="32"/>
          <w:szCs w:val="32"/>
        </w:rPr>
        <w:t>科技计划项目管理的科学性、合理性、规范性</w:t>
      </w:r>
      <w:r>
        <w:rPr>
          <w:rFonts w:hint="eastAsia" w:ascii="仿宋_GB2312" w:hAnsi="仿宋" w:eastAsia="仿宋_GB2312" w:cs="仿宋"/>
          <w:bCs/>
          <w:sz w:val="32"/>
          <w:szCs w:val="32"/>
        </w:rPr>
        <w:t>。</w:t>
      </w:r>
    </w:p>
    <w:p>
      <w:pPr>
        <w:spacing w:line="56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2、加大</w:t>
      </w:r>
      <w:r>
        <w:rPr>
          <w:rFonts w:ascii="仿宋_GB2312" w:hAnsi="仿宋" w:eastAsia="仿宋_GB2312" w:cs="仿宋"/>
          <w:bCs/>
          <w:sz w:val="32"/>
          <w:szCs w:val="32"/>
        </w:rPr>
        <w:t>科技特派员进村入户开展宣传培训</w:t>
      </w:r>
      <w:r>
        <w:rPr>
          <w:rFonts w:hint="eastAsia" w:ascii="仿宋_GB2312" w:hAnsi="仿宋" w:eastAsia="仿宋_GB2312" w:cs="仿宋"/>
          <w:bCs/>
          <w:sz w:val="32"/>
          <w:szCs w:val="32"/>
        </w:rPr>
        <w:t>力度</w:t>
      </w:r>
      <w:r>
        <w:rPr>
          <w:rFonts w:ascii="仿宋_GB2312" w:hAnsi="仿宋" w:eastAsia="仿宋_GB2312" w:cs="仿宋"/>
          <w:bCs/>
          <w:sz w:val="32"/>
          <w:szCs w:val="32"/>
        </w:rPr>
        <w:t>，引进推广农业新品种、新技术、培育壮大优势特色产业。</w:t>
      </w:r>
    </w:p>
    <w:p>
      <w:pPr>
        <w:spacing w:line="560" w:lineRule="exact"/>
        <w:ind w:firstLine="640" w:firstLineChars="200"/>
        <w:rPr>
          <w:rFonts w:ascii="仿宋_GB2312" w:hAnsi="仿宋" w:eastAsia="仿宋_GB2312" w:cs="仿宋"/>
          <w:bCs/>
          <w:sz w:val="32"/>
          <w:szCs w:val="32"/>
        </w:rPr>
      </w:pPr>
    </w:p>
    <w:sectPr>
      <w:footerReference r:id="rId3" w:type="default"/>
      <w:pgSz w:w="11906" w:h="16838"/>
      <w:pgMar w:top="1588" w:right="1474" w:bottom="1588" w:left="147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5NmY1N2U1MTgyYzM0YTMwNTJmMjA2Yjk0Y2IxNTcifQ=="/>
  </w:docVars>
  <w:rsids>
    <w:rsidRoot w:val="00806865"/>
    <w:rsid w:val="00043A15"/>
    <w:rsid w:val="000575E2"/>
    <w:rsid w:val="00063B15"/>
    <w:rsid w:val="0009607E"/>
    <w:rsid w:val="000B5DB9"/>
    <w:rsid w:val="000C0972"/>
    <w:rsid w:val="000C2596"/>
    <w:rsid w:val="00171AB3"/>
    <w:rsid w:val="001C3D64"/>
    <w:rsid w:val="001C641A"/>
    <w:rsid w:val="001C6822"/>
    <w:rsid w:val="001E256D"/>
    <w:rsid w:val="001E2D5B"/>
    <w:rsid w:val="00247BB1"/>
    <w:rsid w:val="002571F7"/>
    <w:rsid w:val="002641A6"/>
    <w:rsid w:val="002834C5"/>
    <w:rsid w:val="00293914"/>
    <w:rsid w:val="002C141E"/>
    <w:rsid w:val="002D3D8A"/>
    <w:rsid w:val="002F6627"/>
    <w:rsid w:val="00304656"/>
    <w:rsid w:val="00333D24"/>
    <w:rsid w:val="00337586"/>
    <w:rsid w:val="003532F1"/>
    <w:rsid w:val="00357647"/>
    <w:rsid w:val="00365C0E"/>
    <w:rsid w:val="00381982"/>
    <w:rsid w:val="00381F5B"/>
    <w:rsid w:val="00384864"/>
    <w:rsid w:val="003B01B9"/>
    <w:rsid w:val="003E4915"/>
    <w:rsid w:val="003E75C4"/>
    <w:rsid w:val="00401B11"/>
    <w:rsid w:val="00422429"/>
    <w:rsid w:val="0043034C"/>
    <w:rsid w:val="00443E03"/>
    <w:rsid w:val="00487348"/>
    <w:rsid w:val="00497B55"/>
    <w:rsid w:val="004A5F86"/>
    <w:rsid w:val="004C051C"/>
    <w:rsid w:val="004F189B"/>
    <w:rsid w:val="00516F77"/>
    <w:rsid w:val="00547BAD"/>
    <w:rsid w:val="00550210"/>
    <w:rsid w:val="005516E1"/>
    <w:rsid w:val="00563118"/>
    <w:rsid w:val="005A221A"/>
    <w:rsid w:val="005B5ED1"/>
    <w:rsid w:val="00606BA5"/>
    <w:rsid w:val="006417E5"/>
    <w:rsid w:val="0064309B"/>
    <w:rsid w:val="00671BB5"/>
    <w:rsid w:val="006772C6"/>
    <w:rsid w:val="006A49EF"/>
    <w:rsid w:val="006C7720"/>
    <w:rsid w:val="006C793C"/>
    <w:rsid w:val="006D100A"/>
    <w:rsid w:val="006E6E29"/>
    <w:rsid w:val="00704B56"/>
    <w:rsid w:val="00725E01"/>
    <w:rsid w:val="00732DA5"/>
    <w:rsid w:val="00770339"/>
    <w:rsid w:val="0077453E"/>
    <w:rsid w:val="007B27A0"/>
    <w:rsid w:val="007C2693"/>
    <w:rsid w:val="007D04AB"/>
    <w:rsid w:val="007D7B0E"/>
    <w:rsid w:val="007E1336"/>
    <w:rsid w:val="007E54DF"/>
    <w:rsid w:val="00806211"/>
    <w:rsid w:val="00806865"/>
    <w:rsid w:val="0081273A"/>
    <w:rsid w:val="0082343D"/>
    <w:rsid w:val="00831BF0"/>
    <w:rsid w:val="00837D1D"/>
    <w:rsid w:val="00844EE6"/>
    <w:rsid w:val="00871B89"/>
    <w:rsid w:val="00880010"/>
    <w:rsid w:val="0089189B"/>
    <w:rsid w:val="008A7625"/>
    <w:rsid w:val="008D02AF"/>
    <w:rsid w:val="008D25A0"/>
    <w:rsid w:val="008F6EB2"/>
    <w:rsid w:val="009108DF"/>
    <w:rsid w:val="00974291"/>
    <w:rsid w:val="009A23DE"/>
    <w:rsid w:val="00A1196F"/>
    <w:rsid w:val="00A27343"/>
    <w:rsid w:val="00A3725D"/>
    <w:rsid w:val="00A45BE4"/>
    <w:rsid w:val="00AD0DAD"/>
    <w:rsid w:val="00AF31E0"/>
    <w:rsid w:val="00B07031"/>
    <w:rsid w:val="00B17BC3"/>
    <w:rsid w:val="00B34D05"/>
    <w:rsid w:val="00B85927"/>
    <w:rsid w:val="00BC3295"/>
    <w:rsid w:val="00BD1848"/>
    <w:rsid w:val="00BF6FF2"/>
    <w:rsid w:val="00C31CE4"/>
    <w:rsid w:val="00C77086"/>
    <w:rsid w:val="00C858DD"/>
    <w:rsid w:val="00CB1EB4"/>
    <w:rsid w:val="00CD33CE"/>
    <w:rsid w:val="00CE1CC7"/>
    <w:rsid w:val="00CF26C3"/>
    <w:rsid w:val="00D610B4"/>
    <w:rsid w:val="00D86135"/>
    <w:rsid w:val="00E05A32"/>
    <w:rsid w:val="00E225F8"/>
    <w:rsid w:val="00E25A0F"/>
    <w:rsid w:val="00E42BE7"/>
    <w:rsid w:val="00E55405"/>
    <w:rsid w:val="00E72086"/>
    <w:rsid w:val="00E91393"/>
    <w:rsid w:val="00EB0A75"/>
    <w:rsid w:val="00ED3BD8"/>
    <w:rsid w:val="00EF2A45"/>
    <w:rsid w:val="00F70C2E"/>
    <w:rsid w:val="00F76805"/>
    <w:rsid w:val="00F9262E"/>
    <w:rsid w:val="00F93438"/>
    <w:rsid w:val="00FA41F0"/>
    <w:rsid w:val="00FD0041"/>
    <w:rsid w:val="00FE38F2"/>
    <w:rsid w:val="016A347B"/>
    <w:rsid w:val="01955BC2"/>
    <w:rsid w:val="028A24EE"/>
    <w:rsid w:val="02B0089C"/>
    <w:rsid w:val="02E5725D"/>
    <w:rsid w:val="03192A63"/>
    <w:rsid w:val="032A1D61"/>
    <w:rsid w:val="03863E70"/>
    <w:rsid w:val="03CC21CB"/>
    <w:rsid w:val="04421E00"/>
    <w:rsid w:val="04A942BA"/>
    <w:rsid w:val="04B213C1"/>
    <w:rsid w:val="04BA12CE"/>
    <w:rsid w:val="04D91EE0"/>
    <w:rsid w:val="04F05A45"/>
    <w:rsid w:val="05575AC4"/>
    <w:rsid w:val="058B39C0"/>
    <w:rsid w:val="05962A91"/>
    <w:rsid w:val="05AF76AE"/>
    <w:rsid w:val="067D59FE"/>
    <w:rsid w:val="069114AA"/>
    <w:rsid w:val="06DC0977"/>
    <w:rsid w:val="06E45A7E"/>
    <w:rsid w:val="06EC66E0"/>
    <w:rsid w:val="081D7AE0"/>
    <w:rsid w:val="08251081"/>
    <w:rsid w:val="088E7A4F"/>
    <w:rsid w:val="08932C73"/>
    <w:rsid w:val="089332B7"/>
    <w:rsid w:val="09361B1F"/>
    <w:rsid w:val="09576D50"/>
    <w:rsid w:val="09C556F2"/>
    <w:rsid w:val="09FA11E0"/>
    <w:rsid w:val="0A232419"/>
    <w:rsid w:val="0AB1211B"/>
    <w:rsid w:val="0AFF7427"/>
    <w:rsid w:val="0B924F3C"/>
    <w:rsid w:val="0BE107DE"/>
    <w:rsid w:val="0C104C1F"/>
    <w:rsid w:val="0C1C7A68"/>
    <w:rsid w:val="0CE47124"/>
    <w:rsid w:val="0D4002EA"/>
    <w:rsid w:val="0D80131B"/>
    <w:rsid w:val="0E2A646C"/>
    <w:rsid w:val="0E625C06"/>
    <w:rsid w:val="0E9670FF"/>
    <w:rsid w:val="0EAD6090"/>
    <w:rsid w:val="0EB14497"/>
    <w:rsid w:val="0EC56766"/>
    <w:rsid w:val="0EF9482D"/>
    <w:rsid w:val="0F0A1DF9"/>
    <w:rsid w:val="0F114F36"/>
    <w:rsid w:val="0F4867E1"/>
    <w:rsid w:val="100D394F"/>
    <w:rsid w:val="10872C96"/>
    <w:rsid w:val="10C77FA2"/>
    <w:rsid w:val="10E945E4"/>
    <w:rsid w:val="11E92A7D"/>
    <w:rsid w:val="11EE5A02"/>
    <w:rsid w:val="129E0FE6"/>
    <w:rsid w:val="12FD42F3"/>
    <w:rsid w:val="12FF4CC4"/>
    <w:rsid w:val="13041393"/>
    <w:rsid w:val="13A4281C"/>
    <w:rsid w:val="13B81E24"/>
    <w:rsid w:val="13C14191"/>
    <w:rsid w:val="14605346"/>
    <w:rsid w:val="149363ED"/>
    <w:rsid w:val="14F74BCE"/>
    <w:rsid w:val="156009C5"/>
    <w:rsid w:val="15D45EDB"/>
    <w:rsid w:val="15D53161"/>
    <w:rsid w:val="15E50ECA"/>
    <w:rsid w:val="164C1806"/>
    <w:rsid w:val="16683FED"/>
    <w:rsid w:val="16946B78"/>
    <w:rsid w:val="16B11307"/>
    <w:rsid w:val="170830C2"/>
    <w:rsid w:val="172D2B29"/>
    <w:rsid w:val="178A7F7B"/>
    <w:rsid w:val="178D5376"/>
    <w:rsid w:val="17B40B54"/>
    <w:rsid w:val="17BF70EE"/>
    <w:rsid w:val="17C73B8D"/>
    <w:rsid w:val="1820443C"/>
    <w:rsid w:val="18567E5D"/>
    <w:rsid w:val="18E216F1"/>
    <w:rsid w:val="19033B41"/>
    <w:rsid w:val="190E2B30"/>
    <w:rsid w:val="192F0DDA"/>
    <w:rsid w:val="19F20C99"/>
    <w:rsid w:val="1A093935"/>
    <w:rsid w:val="1A0F6516"/>
    <w:rsid w:val="1AD76C66"/>
    <w:rsid w:val="1B3B46BA"/>
    <w:rsid w:val="1B9238A2"/>
    <w:rsid w:val="1B9C545C"/>
    <w:rsid w:val="1BAF2331"/>
    <w:rsid w:val="1C073948"/>
    <w:rsid w:val="1C27204D"/>
    <w:rsid w:val="1C3A1F70"/>
    <w:rsid w:val="1C44694B"/>
    <w:rsid w:val="1C760ACE"/>
    <w:rsid w:val="1C797B8B"/>
    <w:rsid w:val="1CAD0994"/>
    <w:rsid w:val="1CBE6AE9"/>
    <w:rsid w:val="1CCE242C"/>
    <w:rsid w:val="1D3F5364"/>
    <w:rsid w:val="1D820D1A"/>
    <w:rsid w:val="1D953CF2"/>
    <w:rsid w:val="1DDC1477"/>
    <w:rsid w:val="1E0C793C"/>
    <w:rsid w:val="1E57048B"/>
    <w:rsid w:val="1E6C17B0"/>
    <w:rsid w:val="1EB37344"/>
    <w:rsid w:val="1EB4768C"/>
    <w:rsid w:val="1EBB288A"/>
    <w:rsid w:val="1EFB7F8A"/>
    <w:rsid w:val="1F3B070C"/>
    <w:rsid w:val="1F897A12"/>
    <w:rsid w:val="1F8B2AE2"/>
    <w:rsid w:val="1FB44DFE"/>
    <w:rsid w:val="1FB922B6"/>
    <w:rsid w:val="203E7B55"/>
    <w:rsid w:val="20711CD8"/>
    <w:rsid w:val="211014F1"/>
    <w:rsid w:val="211D59BC"/>
    <w:rsid w:val="21676C37"/>
    <w:rsid w:val="217001E2"/>
    <w:rsid w:val="21983295"/>
    <w:rsid w:val="21F23FE5"/>
    <w:rsid w:val="223631D9"/>
    <w:rsid w:val="22393EA1"/>
    <w:rsid w:val="22491CD9"/>
    <w:rsid w:val="22644610"/>
    <w:rsid w:val="22EA36DF"/>
    <w:rsid w:val="22F369D5"/>
    <w:rsid w:val="23146A25"/>
    <w:rsid w:val="23587F35"/>
    <w:rsid w:val="238B30B1"/>
    <w:rsid w:val="23B664D3"/>
    <w:rsid w:val="23BC14BC"/>
    <w:rsid w:val="241906BD"/>
    <w:rsid w:val="244020ED"/>
    <w:rsid w:val="24855D52"/>
    <w:rsid w:val="2501161D"/>
    <w:rsid w:val="25095830"/>
    <w:rsid w:val="25545725"/>
    <w:rsid w:val="2559015C"/>
    <w:rsid w:val="25805352"/>
    <w:rsid w:val="25A14E0E"/>
    <w:rsid w:val="25C1725E"/>
    <w:rsid w:val="25E934C3"/>
    <w:rsid w:val="26233A75"/>
    <w:rsid w:val="265005E2"/>
    <w:rsid w:val="26896F05"/>
    <w:rsid w:val="269E759F"/>
    <w:rsid w:val="26A67592"/>
    <w:rsid w:val="26C863CA"/>
    <w:rsid w:val="26DD00C8"/>
    <w:rsid w:val="27014CE1"/>
    <w:rsid w:val="271F6B16"/>
    <w:rsid w:val="273852FE"/>
    <w:rsid w:val="277061AF"/>
    <w:rsid w:val="27EB5D07"/>
    <w:rsid w:val="281C69CE"/>
    <w:rsid w:val="284D3120"/>
    <w:rsid w:val="28F30AC7"/>
    <w:rsid w:val="291E516B"/>
    <w:rsid w:val="29230B96"/>
    <w:rsid w:val="293D309F"/>
    <w:rsid w:val="296A19BB"/>
    <w:rsid w:val="298760C9"/>
    <w:rsid w:val="2A144355"/>
    <w:rsid w:val="2A950CB9"/>
    <w:rsid w:val="2ADF010D"/>
    <w:rsid w:val="2AE94C67"/>
    <w:rsid w:val="2BE5357A"/>
    <w:rsid w:val="2BF35C97"/>
    <w:rsid w:val="2C047EA4"/>
    <w:rsid w:val="2C175182"/>
    <w:rsid w:val="2C1D4AC2"/>
    <w:rsid w:val="2C4E7372"/>
    <w:rsid w:val="2CFE2B46"/>
    <w:rsid w:val="2D6A1F89"/>
    <w:rsid w:val="2DC676D8"/>
    <w:rsid w:val="2E224612"/>
    <w:rsid w:val="2E537B2C"/>
    <w:rsid w:val="2EB76CF2"/>
    <w:rsid w:val="2FDD1B7F"/>
    <w:rsid w:val="305B02AF"/>
    <w:rsid w:val="30964F58"/>
    <w:rsid w:val="30AE4883"/>
    <w:rsid w:val="314400D6"/>
    <w:rsid w:val="317A6513"/>
    <w:rsid w:val="31A517E2"/>
    <w:rsid w:val="31C37EBA"/>
    <w:rsid w:val="31D903E2"/>
    <w:rsid w:val="324A3FB8"/>
    <w:rsid w:val="324F79A0"/>
    <w:rsid w:val="326351F9"/>
    <w:rsid w:val="32882844"/>
    <w:rsid w:val="32891103"/>
    <w:rsid w:val="32DB1E15"/>
    <w:rsid w:val="32FA3DAF"/>
    <w:rsid w:val="33226E62"/>
    <w:rsid w:val="33A75F64"/>
    <w:rsid w:val="343E5F1E"/>
    <w:rsid w:val="345B03BA"/>
    <w:rsid w:val="34DB15D1"/>
    <w:rsid w:val="35531555"/>
    <w:rsid w:val="359C73A0"/>
    <w:rsid w:val="35DF4A23"/>
    <w:rsid w:val="361C3BBB"/>
    <w:rsid w:val="370D479A"/>
    <w:rsid w:val="375D4970"/>
    <w:rsid w:val="3772660A"/>
    <w:rsid w:val="37A109AF"/>
    <w:rsid w:val="37CE1367"/>
    <w:rsid w:val="38450F97"/>
    <w:rsid w:val="38606463"/>
    <w:rsid w:val="38D34E86"/>
    <w:rsid w:val="392C4A54"/>
    <w:rsid w:val="393A3157"/>
    <w:rsid w:val="39D62CD1"/>
    <w:rsid w:val="39D7256C"/>
    <w:rsid w:val="3A4D2102"/>
    <w:rsid w:val="3A5D595D"/>
    <w:rsid w:val="3AB64A60"/>
    <w:rsid w:val="3AD02B9B"/>
    <w:rsid w:val="3AD46C94"/>
    <w:rsid w:val="3B1A3241"/>
    <w:rsid w:val="3B6B724C"/>
    <w:rsid w:val="3B716BD9"/>
    <w:rsid w:val="3B8316E3"/>
    <w:rsid w:val="3BFA4E20"/>
    <w:rsid w:val="3C0269D0"/>
    <w:rsid w:val="3C387ABE"/>
    <w:rsid w:val="3C795D45"/>
    <w:rsid w:val="3CB669F0"/>
    <w:rsid w:val="3CC64D02"/>
    <w:rsid w:val="3CE542E3"/>
    <w:rsid w:val="3D1D0DC6"/>
    <w:rsid w:val="3D232155"/>
    <w:rsid w:val="3D764477"/>
    <w:rsid w:val="3DE32978"/>
    <w:rsid w:val="3E2671E9"/>
    <w:rsid w:val="3E4F1453"/>
    <w:rsid w:val="3E710C5E"/>
    <w:rsid w:val="3E726EF0"/>
    <w:rsid w:val="3E860BED"/>
    <w:rsid w:val="3F2521B4"/>
    <w:rsid w:val="3F732F1F"/>
    <w:rsid w:val="400152DE"/>
    <w:rsid w:val="402315E4"/>
    <w:rsid w:val="40273D0A"/>
    <w:rsid w:val="40AB0497"/>
    <w:rsid w:val="41540B2E"/>
    <w:rsid w:val="41601281"/>
    <w:rsid w:val="419319BE"/>
    <w:rsid w:val="419C60EE"/>
    <w:rsid w:val="42576B28"/>
    <w:rsid w:val="42B86E9B"/>
    <w:rsid w:val="43525542"/>
    <w:rsid w:val="43AA3D0F"/>
    <w:rsid w:val="43C27FD1"/>
    <w:rsid w:val="4407632C"/>
    <w:rsid w:val="44246EDE"/>
    <w:rsid w:val="44366C11"/>
    <w:rsid w:val="44C7096D"/>
    <w:rsid w:val="44DC50C3"/>
    <w:rsid w:val="45760EA9"/>
    <w:rsid w:val="46374FA4"/>
    <w:rsid w:val="4687351F"/>
    <w:rsid w:val="46EA7EDB"/>
    <w:rsid w:val="475A5C56"/>
    <w:rsid w:val="475C24EB"/>
    <w:rsid w:val="475F4E51"/>
    <w:rsid w:val="48343EFF"/>
    <w:rsid w:val="484216E1"/>
    <w:rsid w:val="48531B40"/>
    <w:rsid w:val="48783354"/>
    <w:rsid w:val="487D6BBD"/>
    <w:rsid w:val="48A57EC2"/>
    <w:rsid w:val="48F84495"/>
    <w:rsid w:val="496F0BFB"/>
    <w:rsid w:val="4A72164F"/>
    <w:rsid w:val="4AE63E96"/>
    <w:rsid w:val="4B416C8E"/>
    <w:rsid w:val="4B7324F9"/>
    <w:rsid w:val="4BA332FA"/>
    <w:rsid w:val="4BBF4728"/>
    <w:rsid w:val="4BC863A1"/>
    <w:rsid w:val="4BE807F1"/>
    <w:rsid w:val="4C1E2465"/>
    <w:rsid w:val="4C717508"/>
    <w:rsid w:val="4C737080"/>
    <w:rsid w:val="4C7D6B0F"/>
    <w:rsid w:val="4C863888"/>
    <w:rsid w:val="4CA23096"/>
    <w:rsid w:val="4D265A75"/>
    <w:rsid w:val="4D5B0843"/>
    <w:rsid w:val="4D8D0E92"/>
    <w:rsid w:val="4D8D1626"/>
    <w:rsid w:val="4DB210B7"/>
    <w:rsid w:val="4DF9770F"/>
    <w:rsid w:val="4E465EC0"/>
    <w:rsid w:val="4F373CBD"/>
    <w:rsid w:val="4F4A3571"/>
    <w:rsid w:val="4F641DC0"/>
    <w:rsid w:val="4F7F321A"/>
    <w:rsid w:val="4FC2787B"/>
    <w:rsid w:val="4FDD1E22"/>
    <w:rsid w:val="5019366F"/>
    <w:rsid w:val="502B4D4B"/>
    <w:rsid w:val="5066262C"/>
    <w:rsid w:val="50B60EBE"/>
    <w:rsid w:val="50CE2168"/>
    <w:rsid w:val="50FD4D3F"/>
    <w:rsid w:val="51196B7F"/>
    <w:rsid w:val="511B3686"/>
    <w:rsid w:val="51694182"/>
    <w:rsid w:val="5176381F"/>
    <w:rsid w:val="51DB1DFE"/>
    <w:rsid w:val="51DD691E"/>
    <w:rsid w:val="522956BF"/>
    <w:rsid w:val="52334F5D"/>
    <w:rsid w:val="52554706"/>
    <w:rsid w:val="528154FB"/>
    <w:rsid w:val="52FB3500"/>
    <w:rsid w:val="534E5E76"/>
    <w:rsid w:val="53777EE3"/>
    <w:rsid w:val="53955035"/>
    <w:rsid w:val="53C03E02"/>
    <w:rsid w:val="53D33B35"/>
    <w:rsid w:val="543A174A"/>
    <w:rsid w:val="54444A33"/>
    <w:rsid w:val="546B6463"/>
    <w:rsid w:val="54A454D1"/>
    <w:rsid w:val="54C16083"/>
    <w:rsid w:val="54E83610"/>
    <w:rsid w:val="55BF6864"/>
    <w:rsid w:val="55CA4659"/>
    <w:rsid w:val="56120C9B"/>
    <w:rsid w:val="56290384"/>
    <w:rsid w:val="56E16569"/>
    <w:rsid w:val="56E20D30"/>
    <w:rsid w:val="570D06C6"/>
    <w:rsid w:val="574A6A03"/>
    <w:rsid w:val="57825F9E"/>
    <w:rsid w:val="57851FA0"/>
    <w:rsid w:val="57EC1669"/>
    <w:rsid w:val="584274DB"/>
    <w:rsid w:val="58906498"/>
    <w:rsid w:val="59387870"/>
    <w:rsid w:val="59EF71EF"/>
    <w:rsid w:val="59F12F67"/>
    <w:rsid w:val="5A317807"/>
    <w:rsid w:val="5A3213AE"/>
    <w:rsid w:val="5A6776CD"/>
    <w:rsid w:val="5A7D0C9E"/>
    <w:rsid w:val="5A92474A"/>
    <w:rsid w:val="5AD634AF"/>
    <w:rsid w:val="5AFA22EF"/>
    <w:rsid w:val="5B48305A"/>
    <w:rsid w:val="5B503CBD"/>
    <w:rsid w:val="5BD112A2"/>
    <w:rsid w:val="5BE2444B"/>
    <w:rsid w:val="5C401F83"/>
    <w:rsid w:val="5C8B6D23"/>
    <w:rsid w:val="5CF65AEE"/>
    <w:rsid w:val="5D6A375C"/>
    <w:rsid w:val="5DA64068"/>
    <w:rsid w:val="5DC94ECD"/>
    <w:rsid w:val="5DD72473"/>
    <w:rsid w:val="5E3478C6"/>
    <w:rsid w:val="5E6A778C"/>
    <w:rsid w:val="5F434264"/>
    <w:rsid w:val="5FAF36A8"/>
    <w:rsid w:val="60025ECE"/>
    <w:rsid w:val="607E751E"/>
    <w:rsid w:val="60C25A8C"/>
    <w:rsid w:val="612570C9"/>
    <w:rsid w:val="61442516"/>
    <w:rsid w:val="61D513C0"/>
    <w:rsid w:val="61DA0784"/>
    <w:rsid w:val="61ED495B"/>
    <w:rsid w:val="626403BD"/>
    <w:rsid w:val="62BB0009"/>
    <w:rsid w:val="62D96C8E"/>
    <w:rsid w:val="641E2BAA"/>
    <w:rsid w:val="646F6B02"/>
    <w:rsid w:val="64872E45"/>
    <w:rsid w:val="64B2736E"/>
    <w:rsid w:val="64B625E5"/>
    <w:rsid w:val="64B73617"/>
    <w:rsid w:val="651D3A38"/>
    <w:rsid w:val="65385EEE"/>
    <w:rsid w:val="657E406F"/>
    <w:rsid w:val="6583101F"/>
    <w:rsid w:val="65FC7E82"/>
    <w:rsid w:val="662D7AA8"/>
    <w:rsid w:val="66430E2C"/>
    <w:rsid w:val="6659436D"/>
    <w:rsid w:val="66A15B63"/>
    <w:rsid w:val="66B15F58"/>
    <w:rsid w:val="67735F97"/>
    <w:rsid w:val="677564D7"/>
    <w:rsid w:val="677A03D8"/>
    <w:rsid w:val="67897A2C"/>
    <w:rsid w:val="68306F68"/>
    <w:rsid w:val="68321007"/>
    <w:rsid w:val="68E1689C"/>
    <w:rsid w:val="68F8169B"/>
    <w:rsid w:val="690031C6"/>
    <w:rsid w:val="695E6043"/>
    <w:rsid w:val="69FD14EA"/>
    <w:rsid w:val="6A150CDB"/>
    <w:rsid w:val="6A3D3FA6"/>
    <w:rsid w:val="6A7A48B2"/>
    <w:rsid w:val="6A7C687C"/>
    <w:rsid w:val="6AA30543"/>
    <w:rsid w:val="6B246114"/>
    <w:rsid w:val="6B2A277C"/>
    <w:rsid w:val="6B32518D"/>
    <w:rsid w:val="6B923E7E"/>
    <w:rsid w:val="6BE26BB3"/>
    <w:rsid w:val="6C1D408F"/>
    <w:rsid w:val="6C35440C"/>
    <w:rsid w:val="6C6D67A4"/>
    <w:rsid w:val="6C722924"/>
    <w:rsid w:val="6CAB3449"/>
    <w:rsid w:val="6CE32BE3"/>
    <w:rsid w:val="6D015810"/>
    <w:rsid w:val="6D34343E"/>
    <w:rsid w:val="6D375E8D"/>
    <w:rsid w:val="6D6261FE"/>
    <w:rsid w:val="6E1B1ADB"/>
    <w:rsid w:val="6E514E37"/>
    <w:rsid w:val="6E8421A4"/>
    <w:rsid w:val="6E8832FB"/>
    <w:rsid w:val="6EA2535E"/>
    <w:rsid w:val="6EC32CCC"/>
    <w:rsid w:val="6F06705D"/>
    <w:rsid w:val="6F277E72"/>
    <w:rsid w:val="6F4D4C8B"/>
    <w:rsid w:val="6F9C0BD2"/>
    <w:rsid w:val="6FA81EC2"/>
    <w:rsid w:val="6FE50A20"/>
    <w:rsid w:val="6FF87B58"/>
    <w:rsid w:val="701C7146"/>
    <w:rsid w:val="70207CAA"/>
    <w:rsid w:val="70251764"/>
    <w:rsid w:val="70833152"/>
    <w:rsid w:val="70A42689"/>
    <w:rsid w:val="70B30B1E"/>
    <w:rsid w:val="70D5125B"/>
    <w:rsid w:val="711C66C3"/>
    <w:rsid w:val="717209D9"/>
    <w:rsid w:val="71F907B3"/>
    <w:rsid w:val="72814E86"/>
    <w:rsid w:val="72BF7C4E"/>
    <w:rsid w:val="72C47013"/>
    <w:rsid w:val="73165394"/>
    <w:rsid w:val="733A72D5"/>
    <w:rsid w:val="73B731C1"/>
    <w:rsid w:val="73C551BD"/>
    <w:rsid w:val="73E426C7"/>
    <w:rsid w:val="74054678"/>
    <w:rsid w:val="749B74FC"/>
    <w:rsid w:val="74CE7AAB"/>
    <w:rsid w:val="74F311C2"/>
    <w:rsid w:val="753F67B0"/>
    <w:rsid w:val="75954C96"/>
    <w:rsid w:val="75AD0232"/>
    <w:rsid w:val="75BC635F"/>
    <w:rsid w:val="76361BBE"/>
    <w:rsid w:val="76C33D5F"/>
    <w:rsid w:val="76E23F0B"/>
    <w:rsid w:val="76F65C09"/>
    <w:rsid w:val="77063A92"/>
    <w:rsid w:val="7718792D"/>
    <w:rsid w:val="774C49D4"/>
    <w:rsid w:val="774C5829"/>
    <w:rsid w:val="77B70EF4"/>
    <w:rsid w:val="77EE441B"/>
    <w:rsid w:val="78173E5E"/>
    <w:rsid w:val="78656BA2"/>
    <w:rsid w:val="7869531B"/>
    <w:rsid w:val="788A7670"/>
    <w:rsid w:val="78CC4E73"/>
    <w:rsid w:val="78E71CAD"/>
    <w:rsid w:val="790E1D11"/>
    <w:rsid w:val="791D747D"/>
    <w:rsid w:val="79FC262B"/>
    <w:rsid w:val="7A341A8C"/>
    <w:rsid w:val="7A37456E"/>
    <w:rsid w:val="7AA250E0"/>
    <w:rsid w:val="7AB34C3E"/>
    <w:rsid w:val="7AD149C3"/>
    <w:rsid w:val="7B62561B"/>
    <w:rsid w:val="7BC6204D"/>
    <w:rsid w:val="7BFC5A6F"/>
    <w:rsid w:val="7C136915"/>
    <w:rsid w:val="7C1674A9"/>
    <w:rsid w:val="7C4B01FE"/>
    <w:rsid w:val="7C5A7A98"/>
    <w:rsid w:val="7C8617DD"/>
    <w:rsid w:val="7CA31E23"/>
    <w:rsid w:val="7CB63E70"/>
    <w:rsid w:val="7D8F7D33"/>
    <w:rsid w:val="7DDC7906"/>
    <w:rsid w:val="7DE20C95"/>
    <w:rsid w:val="7E3C0871"/>
    <w:rsid w:val="7E9A0745"/>
    <w:rsid w:val="7EB83CD9"/>
    <w:rsid w:val="7EF06039"/>
    <w:rsid w:val="7F1B445E"/>
    <w:rsid w:val="7FD12072"/>
    <w:rsid w:val="7FDB3BED"/>
    <w:rsid w:val="7FFC23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6"/>
    <w:basedOn w:val="1"/>
    <w:next w:val="1"/>
    <w:qFormat/>
    <w:uiPriority w:val="9"/>
    <w:pPr>
      <w:keepNext/>
      <w:keepLines/>
      <w:spacing w:before="240" w:after="64" w:line="320" w:lineRule="auto"/>
      <w:outlineLvl w:val="5"/>
    </w:pPr>
    <w:rPr>
      <w:rFonts w:ascii="Cambria" w:hAnsi="Cambria"/>
      <w:b/>
      <w:bCs/>
      <w:sz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unhideWhenUsed/>
    <w:qFormat/>
    <w:uiPriority w:val="39"/>
    <w:pPr>
      <w:ind w:left="840" w:leftChars="400"/>
    </w:p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unhideWhenUsed/>
    <w:qFormat/>
    <w:uiPriority w:val="39"/>
  </w:style>
  <w:style w:type="paragraph" w:styleId="7">
    <w:name w:val="toc 2"/>
    <w:basedOn w:val="1"/>
    <w:next w:val="1"/>
    <w:unhideWhenUsed/>
    <w:qFormat/>
    <w:uiPriority w:val="39"/>
    <w:pPr>
      <w:ind w:left="420" w:leftChars="200"/>
    </w:pPr>
  </w:style>
  <w:style w:type="paragraph" w:styleId="8">
    <w:name w:val="Normal (Web)"/>
    <w:basedOn w:val="1"/>
    <w:qFormat/>
    <w:uiPriority w:val="0"/>
    <w:pPr>
      <w:spacing w:beforeAutospacing="1" w:afterAutospacing="1"/>
      <w:jc w:val="left"/>
    </w:pPr>
    <w:rPr>
      <w:kern w:val="0"/>
      <w:sz w:val="24"/>
    </w:rPr>
  </w:style>
  <w:style w:type="character" w:styleId="11">
    <w:name w:val="Hyperlink"/>
    <w:basedOn w:val="10"/>
    <w:unhideWhenUsed/>
    <w:qFormat/>
    <w:uiPriority w:val="99"/>
    <w:rPr>
      <w:color w:val="0000FF" w:themeColor="hyperlink"/>
      <w:u w:val="single"/>
      <w14:textFill>
        <w14:solidFill>
          <w14:schemeClr w14:val="hlink"/>
        </w14:solidFill>
      </w14:textFill>
    </w:rPr>
  </w:style>
  <w:style w:type="paragraph" w:styleId="12">
    <w:name w:val="No Spacing"/>
    <w:qFormat/>
    <w:uiPriority w:val="99"/>
    <w:pPr>
      <w:widowControl w:val="0"/>
      <w:jc w:val="both"/>
    </w:pPr>
    <w:rPr>
      <w:rFonts w:asciiTheme="minorHAnsi" w:hAnsiTheme="minorHAnsi" w:eastAsiaTheme="minorEastAsia" w:cstheme="minorBidi"/>
      <w:kern w:val="2"/>
      <w:sz w:val="21"/>
      <w:szCs w:val="22"/>
      <w:lang w:val="en-US" w:eastAsia="zh-CN" w:bidi="ar-SA"/>
    </w:rPr>
  </w:style>
  <w:style w:type="character" w:customStyle="1" w:styleId="13">
    <w:name w:val="页眉 字符"/>
    <w:basedOn w:val="10"/>
    <w:link w:val="5"/>
    <w:qFormat/>
    <w:uiPriority w:val="99"/>
    <w:rPr>
      <w:rFonts w:ascii="Times New Roman" w:hAnsi="Times New Roman" w:eastAsia="宋体" w:cs="Times New Roman"/>
      <w:sz w:val="18"/>
      <w:szCs w:val="18"/>
    </w:rPr>
  </w:style>
  <w:style w:type="character" w:customStyle="1" w:styleId="14">
    <w:name w:val="页脚 字符"/>
    <w:basedOn w:val="10"/>
    <w:link w:val="4"/>
    <w:qFormat/>
    <w:uiPriority w:val="99"/>
    <w:rPr>
      <w:rFonts w:ascii="Times New Roman" w:hAnsi="Times New Roman" w:eastAsia="宋体" w:cs="Times New Roman"/>
      <w:sz w:val="18"/>
      <w:szCs w:val="18"/>
    </w:rPr>
  </w:style>
  <w:style w:type="paragraph" w:styleId="15">
    <w:name w:val="List Paragraph"/>
    <w:basedOn w:val="1"/>
    <w:qFormat/>
    <w:uiPriority w:val="34"/>
    <w:pPr>
      <w:ind w:firstLine="420" w:firstLineChars="200"/>
    </w:pPr>
  </w:style>
  <w:style w:type="paragraph" w:customStyle="1" w:styleId="1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7">
    <w:name w:val="WPSOffice手动目录 1"/>
    <w:qFormat/>
    <w:uiPriority w:val="0"/>
    <w:rPr>
      <w:rFonts w:ascii="Times New Roman" w:hAnsi="Times New Roman" w:eastAsia="宋体" w:cs="Times New Roman"/>
      <w:lang w:val="en-US" w:eastAsia="zh-CN" w:bidi="ar-SA"/>
    </w:rPr>
  </w:style>
  <w:style w:type="paragraph" w:customStyle="1" w:styleId="18">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9">
    <w:name w:val="WPSOffice手动目录 3"/>
    <w:qFormat/>
    <w:uiPriority w:val="0"/>
    <w:pPr>
      <w:ind w:left="400" w:leftChars="4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906</Words>
  <Characters>5165</Characters>
  <Lines>43</Lines>
  <Paragraphs>12</Paragraphs>
  <TotalTime>164</TotalTime>
  <ScaleCrop>false</ScaleCrop>
  <LinksUpToDate>false</LinksUpToDate>
  <CharactersWithSpaces>6059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2020-04-20T08:58:00Z</dcterms:created>
  <dc:creator>Administrator</dc:creator>
  <cp:lastModifiedBy>asus</cp:lastModifiedBy>
  <cp:lastPrinted>2023-03-29T09:06:00Z</cp:lastPrinted>
  <dcterms:modified xsi:type="dcterms:W3CDTF">2023-09-11T07:29:08Z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65839F3C66D442339E1B2047FADCC83F</vt:lpwstr>
  </property>
</Properties>
</file>