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eastAsia="方正小标宋_GBK"/>
          <w:sz w:val="44"/>
          <w:szCs w:val="32"/>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rPr>
        <w:t>供销合作社联合社</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60" w:firstLine="0" w:firstLineChars="0"/>
        <w:jc w:val="center"/>
        <w:rPr>
          <w:rFonts w:hint="eastAsia" w:eastAsia="方正小标宋_GBK"/>
          <w:sz w:val="44"/>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为了进一步规范财政资金管理，牢固树立预算</w:t>
      </w:r>
      <w:bookmarkStart w:id="0" w:name="_GoBack"/>
      <w:bookmarkEnd w:id="0"/>
      <w:r>
        <w:rPr>
          <w:rFonts w:hint="eastAsia" w:ascii="仿宋" w:hAnsi="仿宋" w:eastAsia="仿宋" w:cs="仿宋"/>
          <w:sz w:val="32"/>
          <w:szCs w:val="32"/>
        </w:rPr>
        <w:t>绩效理念，强化部门支出责任，提高财政资金使用效益，进一步完善“全方位、全过程、全覆盖”的财政预算绩效管理体系。按照《重庆市财政局关于加快推进预算绩效管理工作的通知》（渝财绩〔2022〕1号）、《中共重庆市璧山区委重庆市璧山区人民政府关于全面实施预算绩效管理的实施意见》（璧山委发〔2020〕5号）、《关于开展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rPr>
        <w:t>绩效自评工作的通知》（璧财绩〔202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号）等文件有关规定。现将区供销社202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年部门整体支出绩效自评报告如下：</w:t>
      </w: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《关于开展202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rPr>
        <w:t>绩效自评工作的通知》（璧财绩〔202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号）等文件有关规定。现将区供销社202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年部门整体支出绩效自评报告如下：</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一、基本情况</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（一）部门基本情况。</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重庆市璧山区供销合作社联合社，单位地址：</w:t>
      </w:r>
      <w:r>
        <w:rPr>
          <w:rFonts w:hint="eastAsia" w:ascii="仿宋" w:hAnsi="仿宋" w:eastAsia="仿宋" w:cs="仿宋"/>
          <w:sz w:val="32"/>
          <w:szCs w:val="32"/>
          <w:highlight w:val="none"/>
        </w:rPr>
        <w:t>璧山区璧泉街道东林大道45号5、6楼</w:t>
      </w:r>
      <w:r>
        <w:rPr>
          <w:rFonts w:hint="eastAsia" w:ascii="仿宋" w:hAnsi="仿宋" w:eastAsia="仿宋" w:cs="仿宋"/>
          <w:sz w:val="32"/>
          <w:szCs w:val="32"/>
        </w:rPr>
        <w:t>。单位性质为参照公务员管理的正处级事业单位，在职职工1</w:t>
      </w:r>
      <w:r>
        <w:rPr>
          <w:rFonts w:hint="eastAsia" w:ascii="仿宋" w:hAnsi="仿宋" w:eastAsia="仿宋" w:cs="仿宋"/>
          <w:sz w:val="32"/>
          <w:szCs w:val="32"/>
          <w:lang w:val="en-US" w:eastAsia="zh-CN"/>
        </w:rPr>
        <w:t>5</w:t>
      </w:r>
      <w:r>
        <w:rPr>
          <w:rFonts w:hint="eastAsia" w:ascii="仿宋" w:hAnsi="仿宋" w:eastAsia="仿宋" w:cs="仿宋"/>
          <w:sz w:val="32"/>
          <w:szCs w:val="32"/>
        </w:rPr>
        <w:t>人。</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1.职责职能。单位的主要职责为对所属公司和基层供销社的农业生产资料、再生资源、烟花爆竹、日用消费品、农副产品等经营业务的指导管理，指导推进全区农民合作经济组织发展，参与农业产业化经营工作，依法运营本级社社有资产，维护社有资产的完整性，实现社有资产保值增值，处理好全区供销社系统的历史遗留问题，确保全区供销社系统的安全稳定。</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2.机构设置。区供销社内设4个科室，下辖全资和控股的5个公司和2</w:t>
      </w:r>
      <w:r>
        <w:rPr>
          <w:rFonts w:hint="eastAsia" w:ascii="仿宋" w:hAnsi="仿宋" w:eastAsia="仿宋" w:cs="仿宋"/>
          <w:sz w:val="32"/>
          <w:szCs w:val="32"/>
          <w:lang w:val="en-US" w:eastAsia="zh-CN"/>
        </w:rPr>
        <w:t>2</w:t>
      </w:r>
      <w:r>
        <w:rPr>
          <w:rFonts w:hint="eastAsia" w:ascii="仿宋" w:hAnsi="仿宋" w:eastAsia="仿宋" w:cs="仿宋"/>
          <w:sz w:val="32"/>
          <w:szCs w:val="32"/>
        </w:rPr>
        <w:t>个基层供销社或基层供销社有限公司。公司和基层供销社为独立核算的企业单位。</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3.单位构成。本单位202</w:t>
      </w:r>
      <w:r>
        <w:rPr>
          <w:rFonts w:hint="eastAsia" w:ascii="仿宋" w:hAnsi="仿宋" w:eastAsia="仿宋" w:cs="仿宋"/>
          <w:sz w:val="32"/>
          <w:szCs w:val="32"/>
          <w:lang w:val="en-US" w:eastAsia="zh-CN"/>
        </w:rPr>
        <w:t>2</w:t>
      </w:r>
      <w:r>
        <w:rPr>
          <w:rFonts w:hint="eastAsia" w:ascii="仿宋" w:hAnsi="仿宋" w:eastAsia="仿宋" w:cs="仿宋"/>
          <w:sz w:val="32"/>
          <w:szCs w:val="32"/>
        </w:rPr>
        <w:t>年度无纳入决算的二级预算单位。</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4.机构改革情况。按照重庆市机构改革方案要求，本单位未涉及机构改革。</w:t>
      </w:r>
    </w:p>
    <w:p>
      <w:pPr>
        <w:spacing w:line="596" w:lineRule="exact"/>
        <w:ind w:firstLine="640" w:firstLineChars="200"/>
        <w:rPr>
          <w:rFonts w:ascii="仿宋" w:hAnsi="仿宋" w:eastAsia="仿宋" w:cs="仿宋"/>
          <w:sz w:val="32"/>
          <w:szCs w:val="32"/>
        </w:rPr>
      </w:pPr>
      <w:r>
        <w:rPr>
          <w:rFonts w:hint="eastAsia" w:ascii="仿宋" w:hAnsi="仿宋" w:eastAsia="仿宋" w:cs="仿宋"/>
          <w:sz w:val="32"/>
          <w:szCs w:val="32"/>
        </w:rPr>
        <w:t>（二）预算及支出情况。</w:t>
      </w:r>
    </w:p>
    <w:p>
      <w:pPr>
        <w:spacing w:line="596" w:lineRule="exact"/>
        <w:ind w:firstLine="640" w:firstLineChars="200"/>
        <w:rPr>
          <w:rFonts w:eastAsia="方正仿宋_GBK"/>
          <w:sz w:val="32"/>
          <w:szCs w:val="32"/>
        </w:rPr>
      </w:pPr>
      <w:r>
        <w:rPr>
          <w:rFonts w:hint="eastAsia" w:ascii="仿宋" w:hAnsi="仿宋" w:eastAsia="仿宋" w:cs="仿宋"/>
          <w:b w:val="0"/>
          <w:bCs w:val="0"/>
          <w:sz w:val="32"/>
          <w:szCs w:val="32"/>
        </w:rPr>
        <w:t>财政资金整体支出。202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年我单位财政资金年初支出预算为</w:t>
      </w:r>
      <w:r>
        <w:rPr>
          <w:rFonts w:hint="eastAsia" w:ascii="仿宋" w:hAnsi="仿宋" w:eastAsia="仿宋" w:cs="仿宋"/>
          <w:b w:val="0"/>
          <w:bCs w:val="0"/>
          <w:sz w:val="32"/>
          <w:szCs w:val="32"/>
          <w:highlight w:val="none"/>
          <w:lang w:val="en-US" w:eastAsia="zh-CN"/>
        </w:rPr>
        <w:t>10807086</w:t>
      </w:r>
      <w:r>
        <w:rPr>
          <w:rFonts w:hint="eastAsia" w:ascii="仿宋" w:hAnsi="仿宋" w:eastAsia="仿宋" w:cs="仿宋"/>
          <w:b w:val="0"/>
          <w:bCs w:val="0"/>
          <w:sz w:val="32"/>
          <w:szCs w:val="32"/>
          <w:highlight w:val="none"/>
        </w:rPr>
        <w:t>元，年中调整预算为</w:t>
      </w:r>
      <w:r>
        <w:rPr>
          <w:rFonts w:hint="eastAsia" w:ascii="仿宋" w:hAnsi="仿宋" w:eastAsia="仿宋" w:cs="仿宋"/>
          <w:b w:val="0"/>
          <w:bCs w:val="0"/>
          <w:sz w:val="32"/>
          <w:szCs w:val="32"/>
          <w:highlight w:val="none"/>
          <w:lang w:val="en-US" w:eastAsia="zh-CN"/>
        </w:rPr>
        <w:t>7529525</w:t>
      </w:r>
      <w:r>
        <w:rPr>
          <w:rFonts w:hint="eastAsia" w:ascii="仿宋" w:hAnsi="仿宋" w:eastAsia="仿宋" w:cs="仿宋"/>
          <w:b w:val="0"/>
          <w:bCs w:val="0"/>
          <w:sz w:val="32"/>
          <w:szCs w:val="32"/>
          <w:highlight w:val="none"/>
        </w:rPr>
        <w:t>元，年末支出决算为</w:t>
      </w:r>
      <w:r>
        <w:rPr>
          <w:rFonts w:hint="eastAsia" w:ascii="仿宋" w:hAnsi="仿宋" w:eastAsia="仿宋" w:cs="仿宋"/>
          <w:b w:val="0"/>
          <w:bCs w:val="0"/>
          <w:sz w:val="32"/>
          <w:szCs w:val="32"/>
          <w:highlight w:val="none"/>
          <w:lang w:val="en-US" w:eastAsia="zh-CN"/>
        </w:rPr>
        <w:t>7529525</w:t>
      </w:r>
      <w:r>
        <w:rPr>
          <w:rFonts w:hint="eastAsia" w:ascii="仿宋" w:hAnsi="仿宋" w:eastAsia="仿宋" w:cs="仿宋"/>
          <w:b w:val="0"/>
          <w:bCs w:val="0"/>
          <w:sz w:val="32"/>
          <w:szCs w:val="32"/>
        </w:rPr>
        <w:t>元。</w:t>
      </w:r>
    </w:p>
    <w:p>
      <w:pPr>
        <w:numPr>
          <w:ilvl w:val="0"/>
          <w:numId w:val="1"/>
        </w:numPr>
        <w:spacing w:line="596" w:lineRule="exact"/>
        <w:ind w:firstLine="640" w:firstLineChars="200"/>
        <w:rPr>
          <w:rFonts w:hint="eastAsia" w:eastAsia="方正黑体_GBK"/>
          <w:sz w:val="32"/>
          <w:szCs w:val="32"/>
        </w:rPr>
      </w:pPr>
      <w:r>
        <w:rPr>
          <w:rFonts w:hint="eastAsia" w:eastAsia="方正黑体_GBK"/>
          <w:sz w:val="32"/>
          <w:szCs w:val="32"/>
        </w:rPr>
        <w:t>主要成效</w:t>
      </w:r>
    </w:p>
    <w:p>
      <w:pPr>
        <w:spacing w:line="596" w:lineRule="exact"/>
        <w:ind w:firstLine="640" w:firstLineChars="200"/>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t>完成区委区府和市总社工作目标任务，深化供销社综合改革，完成“三社”融合等各项为农服务的目标任务。保证区社人员、供养人员的工资、津补贴、补助等按时足额发放。做好本系统的各项管理工作，为下属企业提供优质高效的服务。</w:t>
      </w:r>
      <w:r>
        <w:rPr>
          <w:rFonts w:hint="eastAsia" w:ascii="仿宋" w:hAnsi="仿宋" w:eastAsia="仿宋" w:cs="仿宋"/>
          <w:b w:val="0"/>
          <w:bCs w:val="0"/>
          <w:sz w:val="32"/>
          <w:szCs w:val="32"/>
          <w:highlight w:val="none"/>
          <w:lang w:val="en-US" w:eastAsia="zh-CN"/>
        </w:rPr>
        <w:t>具体表现如下：</w:t>
      </w:r>
    </w:p>
    <w:p>
      <w:pPr>
        <w:spacing w:line="596" w:lineRule="exact"/>
        <w:ind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w:t>
      </w:r>
      <w:r>
        <w:rPr>
          <w:rFonts w:hint="default" w:ascii="仿宋" w:hAnsi="仿宋" w:eastAsia="仿宋" w:cs="仿宋"/>
          <w:b w:val="0"/>
          <w:bCs w:val="0"/>
          <w:sz w:val="32"/>
          <w:szCs w:val="32"/>
          <w:highlight w:val="none"/>
          <w:lang w:val="en-US" w:eastAsia="zh-CN"/>
        </w:rPr>
        <w:t>全年组建农村综合服务社星级社9个，完成率112%；农民专业合作社信用评价体系试点工作完成率达125%；农商行等金融机构对农民专业合作社等涉农主体的贷款余额从“旺农贷”实施以来累计达到5044万元，完成率达168%。</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w:t>
      </w:r>
      <w:r>
        <w:rPr>
          <w:rFonts w:hint="default" w:ascii="仿宋" w:hAnsi="仿宋" w:eastAsia="仿宋" w:cs="仿宋"/>
          <w:b w:val="0"/>
          <w:bCs w:val="0"/>
          <w:sz w:val="32"/>
          <w:szCs w:val="32"/>
          <w:highlight w:val="none"/>
          <w:lang w:val="en-US" w:eastAsia="zh-CN"/>
        </w:rPr>
        <w:t>完成以农民专业合作社为代表的涉农主体发放贷款1768万元</w:t>
      </w:r>
      <w:r>
        <w:rPr>
          <w:rFonts w:hint="eastAsia" w:ascii="仿宋" w:hAnsi="仿宋" w:eastAsia="仿宋" w:cs="仿宋"/>
          <w:b w:val="0"/>
          <w:bCs w:val="0"/>
          <w:sz w:val="32"/>
          <w:szCs w:val="32"/>
          <w:highlight w:val="none"/>
          <w:lang w:val="en-US" w:eastAsia="zh-CN"/>
        </w:rPr>
        <w:t>。</w:t>
      </w:r>
    </w:p>
    <w:p>
      <w:pPr>
        <w:spacing w:line="596" w:lineRule="exact"/>
        <w:ind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w:t>
      </w:r>
      <w:r>
        <w:rPr>
          <w:rFonts w:hint="default" w:ascii="仿宋" w:hAnsi="仿宋" w:eastAsia="仿宋" w:cs="仿宋"/>
          <w:b w:val="0"/>
          <w:bCs w:val="0"/>
          <w:sz w:val="32"/>
          <w:szCs w:val="32"/>
          <w:highlight w:val="none"/>
          <w:lang w:val="en-US" w:eastAsia="zh-CN"/>
        </w:rPr>
        <w:t>已改变办公用户拥护情况，改善了办公环境，提高了办公效率。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w:t>
      </w:r>
      <w:r>
        <w:rPr>
          <w:rFonts w:hint="default" w:ascii="仿宋" w:hAnsi="仿宋" w:eastAsia="仿宋" w:cs="仿宋"/>
          <w:b w:val="0"/>
          <w:bCs w:val="0"/>
          <w:sz w:val="32"/>
          <w:szCs w:val="32"/>
          <w:highlight w:val="none"/>
          <w:lang w:val="en-US" w:eastAsia="zh-CN"/>
        </w:rPr>
        <w:t>全年实际回收废弃农膜310.09吨，实际回收肥料包装物66.77吨，切实减少了农业面源污染，群众十分满意。</w:t>
      </w:r>
    </w:p>
    <w:p>
      <w:pPr>
        <w:spacing w:line="596" w:lineRule="exact"/>
        <w:ind w:firstLine="640"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w:t>
      </w:r>
      <w:r>
        <w:rPr>
          <w:rFonts w:hint="default" w:ascii="仿宋" w:hAnsi="仿宋" w:eastAsia="仿宋" w:cs="仿宋"/>
          <w:b w:val="0"/>
          <w:bCs w:val="0"/>
          <w:sz w:val="32"/>
          <w:szCs w:val="32"/>
          <w:highlight w:val="none"/>
          <w:lang w:val="en-US" w:eastAsia="zh-CN"/>
        </w:rPr>
        <w:t xml:space="preserve">切实加强加厚地膜及可降解地膜推广使用，全年实际推广面积2200亩以上，实现了提高废弃农膜回收率，减少农业白色污染。    </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60" w:lineRule="exact"/>
        <w:ind w:firstLine="640" w:firstLineChars="200"/>
        <w:rPr>
          <w:rFonts w:ascii="仿宋" w:hAnsi="仿宋" w:eastAsia="仿宋" w:cs="仿宋"/>
        </w:rPr>
      </w:pPr>
      <w:r>
        <w:rPr>
          <w:rFonts w:hint="eastAsia" w:ascii="仿宋" w:hAnsi="仿宋" w:eastAsia="仿宋" w:cs="仿宋"/>
          <w:sz w:val="32"/>
          <w:szCs w:val="32"/>
        </w:rPr>
        <w:t>重庆市璧山区供销合作社联合社</w:t>
      </w:r>
      <w:r>
        <w:rPr>
          <w:rFonts w:hint="eastAsia" w:ascii="仿宋" w:hAnsi="仿宋" w:eastAsia="仿宋" w:cs="仿宋"/>
          <w:sz w:val="32"/>
          <w:szCs w:val="32"/>
          <w:lang w:val="en-US" w:eastAsia="zh-CN"/>
        </w:rPr>
        <w:t>设置了12个指标</w:t>
      </w:r>
      <w:r>
        <w:rPr>
          <w:rFonts w:hint="eastAsia" w:ascii="仿宋" w:hAnsi="仿宋" w:eastAsia="仿宋" w:cs="仿宋"/>
          <w:sz w:val="32"/>
          <w:szCs w:val="32"/>
        </w:rPr>
        <w:t>进行综合绩效评分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总</w:t>
      </w:r>
      <w:r>
        <w:rPr>
          <w:rFonts w:hint="eastAsia" w:ascii="仿宋" w:hAnsi="仿宋" w:eastAsia="仿宋" w:cs="仿宋"/>
          <w:sz w:val="32"/>
          <w:szCs w:val="32"/>
        </w:rPr>
        <w:t>分值为100分。</w:t>
      </w:r>
      <w:r>
        <w:rPr>
          <w:rFonts w:hint="eastAsia" w:ascii="仿宋" w:hAnsi="仿宋" w:eastAsia="仿宋" w:cs="仿宋"/>
          <w:sz w:val="32"/>
          <w:szCs w:val="32"/>
        </w:rPr>
        <w:br w:type="textWrapping"/>
      </w:r>
      <w:r>
        <w:rPr>
          <w:rFonts w:hint="eastAsia" w:ascii="仿宋" w:hAnsi="仿宋" w:eastAsia="仿宋" w:cs="仿宋"/>
          <w:sz w:val="32"/>
          <w:szCs w:val="32"/>
        </w:rPr>
        <w:t xml:space="preserve">     综合绩效评分得分情况：</w:t>
      </w:r>
      <w:r>
        <w:rPr>
          <w:rFonts w:hint="eastAsia" w:ascii="仿宋" w:hAnsi="仿宋" w:eastAsia="仿宋" w:cs="仿宋"/>
          <w:spacing w:val="6"/>
          <w:sz w:val="32"/>
          <w:szCs w:val="32"/>
          <w:lang w:val="en-US" w:eastAsia="zh-CN"/>
        </w:rPr>
        <w:t>本单位职工满意度</w:t>
      </w:r>
      <w:r>
        <w:rPr>
          <w:rFonts w:hint="eastAsia" w:ascii="仿宋" w:hAnsi="仿宋" w:eastAsia="仿宋" w:cs="仿宋"/>
          <w:bCs/>
          <w:sz w:val="32"/>
          <w:szCs w:val="32"/>
          <w:lang w:val="en-US" w:eastAsia="zh-CN"/>
        </w:rPr>
        <w:t>5</w:t>
      </w:r>
      <w:r>
        <w:rPr>
          <w:rFonts w:hint="eastAsia" w:ascii="仿宋" w:hAnsi="仿宋" w:eastAsia="仿宋" w:cs="仿宋"/>
          <w:bCs/>
          <w:sz w:val="32"/>
          <w:szCs w:val="32"/>
        </w:rPr>
        <w:t>分、发放“三社”融合风险补偿贷款</w:t>
      </w:r>
      <w:r>
        <w:rPr>
          <w:rFonts w:hint="eastAsia" w:ascii="仿宋" w:hAnsi="仿宋" w:eastAsia="仿宋" w:cs="仿宋"/>
          <w:kern w:val="0"/>
          <w:sz w:val="32"/>
          <w:szCs w:val="32"/>
          <w:lang w:val="en-US" w:eastAsia="zh-CN"/>
        </w:rPr>
        <w:t>10</w:t>
      </w:r>
      <w:r>
        <w:rPr>
          <w:rFonts w:hint="eastAsia" w:ascii="仿宋" w:hAnsi="仿宋" w:eastAsia="仿宋" w:cs="仿宋"/>
          <w:sz w:val="32"/>
          <w:szCs w:val="32"/>
        </w:rPr>
        <w:t>分、废弃农膜回收利用</w:t>
      </w:r>
      <w:r>
        <w:rPr>
          <w:rFonts w:hint="eastAsia" w:ascii="仿宋" w:hAnsi="仿宋" w:eastAsia="仿宋" w:cs="仿宋"/>
          <w:sz w:val="32"/>
          <w:szCs w:val="32"/>
          <w:lang w:val="en-US" w:eastAsia="zh-CN"/>
        </w:rPr>
        <w:t>10</w:t>
      </w:r>
      <w:r>
        <w:rPr>
          <w:rFonts w:hint="eastAsia" w:ascii="仿宋" w:hAnsi="仿宋" w:eastAsia="仿宋" w:cs="仿宋"/>
          <w:sz w:val="32"/>
          <w:szCs w:val="32"/>
        </w:rPr>
        <w:t>分、供养人员满意度</w:t>
      </w:r>
      <w:r>
        <w:rPr>
          <w:rFonts w:hint="eastAsia" w:ascii="仿宋" w:hAnsi="仿宋" w:eastAsia="仿宋" w:cs="仿宋"/>
          <w:sz w:val="32"/>
          <w:szCs w:val="32"/>
          <w:lang w:val="en-US" w:eastAsia="zh-CN"/>
        </w:rPr>
        <w:t>5</w:t>
      </w:r>
      <w:r>
        <w:rPr>
          <w:rFonts w:hint="eastAsia" w:ascii="仿宋" w:hAnsi="仿宋" w:eastAsia="仿宋" w:cs="仿宋"/>
          <w:sz w:val="32"/>
          <w:szCs w:val="32"/>
        </w:rPr>
        <w:t>分、</w:t>
      </w:r>
      <w:r>
        <w:rPr>
          <w:rFonts w:hint="eastAsia" w:ascii="仿宋" w:hAnsi="仿宋" w:eastAsia="仿宋" w:cs="仿宋"/>
          <w:color w:val="000000" w:themeColor="text1"/>
          <w:sz w:val="32"/>
          <w:szCs w:val="32"/>
        </w:rPr>
        <w:t>加厚地膜及可降解地膜推广</w:t>
      </w:r>
      <w:r>
        <w:rPr>
          <w:rFonts w:hint="eastAsia" w:ascii="仿宋" w:hAnsi="仿宋" w:eastAsia="仿宋" w:cs="仿宋"/>
          <w:color w:val="000000" w:themeColor="text1"/>
          <w:sz w:val="32"/>
          <w:szCs w:val="32"/>
          <w:lang w:val="en-US" w:eastAsia="zh-CN"/>
        </w:rPr>
        <w:t>10</w:t>
      </w:r>
      <w:r>
        <w:rPr>
          <w:rFonts w:hint="eastAsia" w:ascii="仿宋" w:hAnsi="仿宋" w:eastAsia="仿宋" w:cs="仿宋"/>
          <w:sz w:val="32"/>
          <w:szCs w:val="32"/>
        </w:rPr>
        <w:t>分、</w:t>
      </w:r>
      <w:r>
        <w:rPr>
          <w:rFonts w:hint="eastAsia" w:ascii="仿宋" w:hAnsi="仿宋" w:eastAsia="仿宋" w:cs="仿宋"/>
          <w:color w:val="000000" w:themeColor="text1"/>
          <w:sz w:val="32"/>
          <w:szCs w:val="32"/>
        </w:rPr>
        <w:t>下属企业满意度</w:t>
      </w:r>
      <w:r>
        <w:rPr>
          <w:rFonts w:hint="eastAsia" w:ascii="仿宋" w:hAnsi="仿宋" w:eastAsia="仿宋" w:cs="仿宋"/>
          <w:color w:val="000000" w:themeColor="text1"/>
          <w:sz w:val="32"/>
          <w:szCs w:val="32"/>
          <w:lang w:val="en-US" w:eastAsia="zh-CN"/>
        </w:rPr>
        <w:t>10</w:t>
      </w:r>
      <w:r>
        <w:rPr>
          <w:rFonts w:hint="eastAsia" w:ascii="仿宋" w:hAnsi="仿宋" w:eastAsia="仿宋" w:cs="仿宋"/>
          <w:sz w:val="32"/>
          <w:szCs w:val="32"/>
        </w:rPr>
        <w:t>分</w:t>
      </w:r>
      <w:r>
        <w:rPr>
          <w:rFonts w:hint="eastAsia" w:ascii="仿宋" w:hAnsi="仿宋" w:eastAsia="仿宋" w:cs="仿宋"/>
          <w:sz w:val="32"/>
          <w:szCs w:val="32"/>
          <w:lang w:eastAsia="zh-CN"/>
        </w:rPr>
        <w:t>、项目绩效管理率</w:t>
      </w:r>
      <w:r>
        <w:rPr>
          <w:rFonts w:hint="eastAsia" w:ascii="仿宋" w:hAnsi="仿宋" w:eastAsia="仿宋" w:cs="仿宋"/>
          <w:sz w:val="32"/>
          <w:szCs w:val="32"/>
          <w:lang w:val="en-US" w:eastAsia="zh-CN"/>
        </w:rPr>
        <w:t>10分、新建、改造规范基层供销社10分、预决算公开率10分、房租费10分、化肥淡储贴息0分、预算执行率10分</w:t>
      </w:r>
      <w:r>
        <w:rPr>
          <w:rFonts w:hint="eastAsia" w:ascii="仿宋" w:hAnsi="仿宋" w:eastAsia="仿宋" w:cs="仿宋"/>
          <w:sz w:val="32"/>
          <w:szCs w:val="32"/>
        </w:rPr>
        <w:t>。</w:t>
      </w:r>
    </w:p>
    <w:p>
      <w:pPr>
        <w:spacing w:line="596"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综合绩效评分结果：总得分</w:t>
      </w:r>
      <w:r>
        <w:rPr>
          <w:rFonts w:hint="eastAsia" w:ascii="仿宋" w:hAnsi="仿宋" w:eastAsia="仿宋" w:cs="仿宋"/>
          <w:b/>
          <w:bCs/>
          <w:sz w:val="32"/>
          <w:szCs w:val="32"/>
          <w:lang w:val="en-US" w:eastAsia="zh-CN"/>
        </w:rPr>
        <w:t>95</w:t>
      </w:r>
      <w:r>
        <w:rPr>
          <w:rFonts w:hint="eastAsia" w:ascii="仿宋" w:hAnsi="仿宋" w:eastAsia="仿宋" w:cs="仿宋"/>
          <w:b/>
          <w:bCs/>
          <w:sz w:val="32"/>
          <w:szCs w:val="32"/>
        </w:rPr>
        <w:t>分，绩效评级为“优”。</w:t>
      </w:r>
    </w:p>
    <w:p>
      <w:pPr>
        <w:spacing w:line="596" w:lineRule="exact"/>
        <w:ind w:firstLine="640" w:firstLineChars="200"/>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6" w:lineRule="exact"/>
        <w:ind w:firstLine="640" w:firstLineChars="200"/>
        <w:rPr>
          <w:rFonts w:ascii="仿宋" w:hAnsi="仿宋" w:eastAsia="仿宋" w:cs="仿宋"/>
          <w:sz w:val="32"/>
          <w:szCs w:val="32"/>
        </w:rPr>
      </w:pPr>
      <w:r>
        <w:rPr>
          <w:rFonts w:ascii="仿宋" w:hAnsi="仿宋" w:eastAsia="仿宋" w:cs="仿宋"/>
          <w:sz w:val="32"/>
          <w:szCs w:val="32"/>
        </w:rPr>
        <w:t>1、个别项目效果不够好，绩效目标特别是基层社示范社建设中的年销售收入目标未完成。</w:t>
      </w:r>
    </w:p>
    <w:p>
      <w:pPr>
        <w:spacing w:line="596"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2、部分项目因验收标准过高，如化肥淡储实施企业无法达到标准，不能兑付贴息资金。</w:t>
      </w: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ind w:firstLine="640" w:firstLineChars="200"/>
        <w:rPr>
          <w:rFonts w:ascii="仿宋" w:hAnsi="仿宋" w:eastAsia="仿宋" w:cs="仿宋"/>
          <w:sz w:val="32"/>
          <w:szCs w:val="32"/>
        </w:rPr>
      </w:pPr>
      <w:r>
        <w:rPr>
          <w:rFonts w:hint="eastAsia" w:ascii="仿宋" w:hAnsi="仿宋" w:eastAsia="仿宋" w:cs="仿宋"/>
          <w:sz w:val="32"/>
          <w:szCs w:val="32"/>
        </w:rPr>
        <w:t>1、单位应结合项目实际情况设置细化、量化的绩效指标，并考虑指标的可行性、可考核性、相关性，有利于项目后期考核。</w:t>
      </w:r>
    </w:p>
    <w:p>
      <w:pPr>
        <w:pStyle w:val="3"/>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lang w:val="en-US" w:eastAsia="zh-CN"/>
        </w:rPr>
        <w:t>对化肥淡储贴息验收标准进行优化调整</w:t>
      </w:r>
      <w:r>
        <w:rPr>
          <w:rFonts w:ascii="仿宋" w:hAnsi="仿宋" w:eastAsia="仿宋" w:cs="仿宋"/>
          <w:sz w:val="32"/>
          <w:szCs w:val="32"/>
        </w:rPr>
        <w:t>，</w:t>
      </w:r>
      <w:r>
        <w:rPr>
          <w:rFonts w:hint="eastAsia" w:ascii="仿宋" w:hAnsi="仿宋" w:eastAsia="仿宋" w:cs="仿宋"/>
          <w:sz w:val="32"/>
          <w:szCs w:val="32"/>
          <w:lang w:val="en-US" w:eastAsia="zh-CN"/>
        </w:rPr>
        <w:t>调动有资质企业化肥淡季储备的</w:t>
      </w:r>
      <w:r>
        <w:rPr>
          <w:rFonts w:ascii="仿宋" w:hAnsi="仿宋" w:eastAsia="仿宋" w:cs="仿宋"/>
          <w:sz w:val="32"/>
          <w:szCs w:val="32"/>
        </w:rPr>
        <w:t>积极性</w:t>
      </w:r>
      <w:r>
        <w:rPr>
          <w:rFonts w:hint="eastAsia" w:ascii="仿宋" w:hAnsi="仿宋" w:eastAsia="仿宋" w:cs="仿宋"/>
          <w:sz w:val="32"/>
          <w:szCs w:val="32"/>
          <w:lang w:eastAsia="zh-CN"/>
        </w:rPr>
        <w:t>，确保春耕保供，让农民购买到质优价廉的化肥</w:t>
      </w:r>
      <w:r>
        <w:rPr>
          <w:rFonts w:ascii="仿宋" w:hAnsi="仿宋" w:eastAsia="仿宋" w:cs="仿宋"/>
          <w:sz w:val="32"/>
          <w:szCs w:val="32"/>
        </w:rPr>
        <w:t>。</w:t>
      </w:r>
    </w:p>
    <w:p>
      <w:pPr>
        <w:pStyle w:val="3"/>
        <w:spacing w:line="560" w:lineRule="exact"/>
        <w:ind w:firstLine="640" w:firstLineChars="200"/>
        <w:rPr>
          <w:rFonts w:ascii="仿宋" w:hAnsi="仿宋" w:eastAsia="仿宋" w:cs="仿宋"/>
          <w:sz w:val="32"/>
          <w:szCs w:val="32"/>
        </w:rPr>
      </w:pPr>
      <w:r>
        <w:rPr>
          <w:rFonts w:ascii="仿宋" w:hAnsi="仿宋" w:eastAsia="仿宋" w:cs="仿宋"/>
          <w:sz w:val="32"/>
          <w:szCs w:val="32"/>
        </w:rPr>
        <w:t>3、项目实施要及时，应当及早谋划、分析、选择好项目实施具体单位，在实施过程中加强监督检查，确保绩效目标的全部高质量实现。</w:t>
      </w:r>
    </w:p>
    <w:p>
      <w:pPr>
        <w:pStyle w:val="3"/>
        <w:spacing w:line="560" w:lineRule="exact"/>
        <w:ind w:firstLine="640" w:firstLineChars="200"/>
        <w:rPr>
          <w:rFonts w:ascii="仿宋" w:hAnsi="仿宋" w:eastAsia="仿宋" w:cs="仿宋"/>
          <w:sz w:val="32"/>
          <w:szCs w:val="32"/>
        </w:rPr>
      </w:pPr>
    </w:p>
    <w:p>
      <w:pPr>
        <w:pStyle w:val="3"/>
        <w:spacing w:line="560" w:lineRule="exact"/>
        <w:ind w:firstLine="640" w:firstLineChars="200"/>
        <w:rPr>
          <w:rFonts w:ascii="仿宋" w:hAnsi="仿宋" w:eastAsia="仿宋" w:cs="仿宋"/>
          <w:sz w:val="32"/>
          <w:szCs w:val="32"/>
        </w:rPr>
      </w:pPr>
    </w:p>
    <w:p>
      <w:pPr>
        <w:pStyle w:val="3"/>
        <w:spacing w:line="560" w:lineRule="exact"/>
        <w:ind w:firstLine="3200" w:firstLineChars="1000"/>
        <w:rPr>
          <w:rFonts w:hint="eastAsia" w:ascii="仿宋" w:hAnsi="仿宋" w:eastAsia="仿宋" w:cs="仿宋"/>
          <w:sz w:val="32"/>
          <w:szCs w:val="32"/>
          <w:lang w:eastAsia="zh-CN"/>
        </w:rPr>
      </w:pPr>
      <w:r>
        <w:rPr>
          <w:rFonts w:hint="eastAsia" w:ascii="仿宋" w:hAnsi="仿宋" w:eastAsia="仿宋" w:cs="仿宋"/>
          <w:sz w:val="32"/>
          <w:szCs w:val="32"/>
          <w:lang w:eastAsia="zh-CN"/>
        </w:rPr>
        <w:t>重庆市璧山区供销合作社联合社</w:t>
      </w:r>
    </w:p>
    <w:p>
      <w:pPr>
        <w:pStyle w:val="3"/>
        <w:spacing w:line="560" w:lineRule="exact"/>
        <w:ind w:firstLine="4160" w:firstLineChars="13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2023年3月31日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9C8C"/>
    <w:multiLevelType w:val="singleLevel"/>
    <w:tmpl w:val="171D9C8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66EF0"/>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BEC40D8"/>
    <w:rsid w:val="15CE6DEA"/>
    <w:rsid w:val="558D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qFormat/>
    <w:uiPriority w:val="0"/>
    <w:rPr>
      <w:rFonts w:hint="eastAsia" w:ascii="宋体" w:hAnsi="Courier New" w:cs="Courier New"/>
      <w:szCs w:val="21"/>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5"/>
    <w:uiPriority w:val="99"/>
    <w:rPr>
      <w:rFonts w:ascii="Times New Roman" w:hAnsi="Times New Roman" w:eastAsia="宋体" w:cs="Times New Roman"/>
      <w:sz w:val="18"/>
      <w:szCs w:val="18"/>
    </w:rPr>
  </w:style>
  <w:style w:type="character" w:customStyle="1" w:styleId="10">
    <w:name w:val="页脚 Char"/>
    <w:basedOn w:val="7"/>
    <w:link w:val="4"/>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Words>
  <Characters>160</Characters>
  <Lines>1</Lines>
  <Paragraphs>1</Paragraphs>
  <TotalTime>11</TotalTime>
  <ScaleCrop>false</ScaleCrop>
  <LinksUpToDate>false</LinksUpToDate>
  <CharactersWithSpaces>187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2023-03-31T06:43:55Z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